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1B7BC9" w14:textId="0FABC2CF" w:rsidR="00BC5F1D" w:rsidRDefault="000B748C" w:rsidP="00C63A11">
      <w:pPr>
        <w:spacing w:line="480" w:lineRule="auto"/>
        <w:rPr>
          <w:lang w:val="en-US"/>
        </w:rPr>
      </w:pPr>
      <w:r w:rsidRPr="007526AD">
        <w:rPr>
          <w:b/>
          <w:bCs/>
          <w:lang w:val="en-US"/>
        </w:rPr>
        <w:t xml:space="preserve">Title: </w:t>
      </w:r>
      <w:r w:rsidR="00E92D95">
        <w:rPr>
          <w:lang w:val="en-US"/>
        </w:rPr>
        <w:t>Eating di</w:t>
      </w:r>
      <w:r w:rsidR="002159FD">
        <w:rPr>
          <w:lang w:val="en-US"/>
        </w:rPr>
        <w:t>sorder</w:t>
      </w:r>
      <w:r w:rsidR="00FF3BB3">
        <w:rPr>
          <w:lang w:val="en-US"/>
        </w:rPr>
        <w:t>s</w:t>
      </w:r>
      <w:r w:rsidR="00C63A11" w:rsidRPr="007526AD">
        <w:rPr>
          <w:lang w:val="en-US"/>
        </w:rPr>
        <w:t xml:space="preserve"> and physical multimorbidity in the English general population</w:t>
      </w:r>
    </w:p>
    <w:p w14:paraId="592157D7" w14:textId="77777777" w:rsidR="007061E3" w:rsidRPr="007526AD" w:rsidRDefault="007061E3" w:rsidP="00C63A11">
      <w:pPr>
        <w:spacing w:line="480" w:lineRule="auto"/>
        <w:rPr>
          <w:lang w:val="en-US"/>
        </w:rPr>
      </w:pPr>
    </w:p>
    <w:p w14:paraId="0836B54C" w14:textId="02A32DFD" w:rsidR="00C63A11" w:rsidRPr="00200058" w:rsidRDefault="007061E3" w:rsidP="00C63A11">
      <w:pPr>
        <w:spacing w:line="480" w:lineRule="auto"/>
        <w:rPr>
          <w:vertAlign w:val="superscript"/>
          <w:lang w:val="en-US"/>
        </w:rPr>
      </w:pPr>
      <w:r w:rsidRPr="006A785B">
        <w:rPr>
          <w:lang w:val="en-US"/>
        </w:rPr>
        <w:t>Lee Smit</w:t>
      </w:r>
      <w:r w:rsidR="007D64D0" w:rsidRPr="006A785B">
        <w:rPr>
          <w:lang w:val="en-US"/>
        </w:rPr>
        <w:t>h</w:t>
      </w:r>
      <w:r w:rsidR="00200058" w:rsidRPr="006A785B">
        <w:rPr>
          <w:vertAlign w:val="superscript"/>
          <w:lang w:val="en-US"/>
        </w:rPr>
        <w:t>1</w:t>
      </w:r>
      <w:r w:rsidR="007D64D0" w:rsidRPr="006A785B">
        <w:rPr>
          <w:lang w:val="en-US"/>
        </w:rPr>
        <w:t xml:space="preserve">, </w:t>
      </w:r>
      <w:r w:rsidR="00BA097B" w:rsidRPr="006A785B">
        <w:rPr>
          <w:lang w:val="en-US"/>
        </w:rPr>
        <w:t>Guillermo F. López Sánchez</w:t>
      </w:r>
      <w:r w:rsidR="00BA097B" w:rsidRPr="006A785B">
        <w:rPr>
          <w:vertAlign w:val="superscript"/>
          <w:lang w:val="en-US"/>
        </w:rPr>
        <w:t>2</w:t>
      </w:r>
      <w:r w:rsidR="00D00A18">
        <w:rPr>
          <w:lang w:val="en-US"/>
        </w:rPr>
        <w:t>*</w:t>
      </w:r>
      <w:r w:rsidR="00BA097B" w:rsidRPr="006A785B">
        <w:rPr>
          <w:lang w:val="en-US"/>
        </w:rPr>
        <w:t xml:space="preserve">, </w:t>
      </w:r>
      <w:r w:rsidR="007D64D0" w:rsidRPr="006A785B">
        <w:rPr>
          <w:lang w:val="en-US"/>
        </w:rPr>
        <w:t>Emilio Fernandez-Egea</w:t>
      </w:r>
      <w:r w:rsidR="00BA097B" w:rsidRPr="006A785B">
        <w:rPr>
          <w:vertAlign w:val="superscript"/>
          <w:lang w:val="en-US"/>
        </w:rPr>
        <w:t>3</w:t>
      </w:r>
      <w:r w:rsidR="003F0AEE" w:rsidRPr="006A785B">
        <w:rPr>
          <w:vertAlign w:val="superscript"/>
          <w:lang w:val="en-US"/>
        </w:rPr>
        <w:t>,4</w:t>
      </w:r>
      <w:r w:rsidR="007D64D0" w:rsidRPr="006A785B">
        <w:rPr>
          <w:lang w:val="en-US"/>
        </w:rPr>
        <w:t>, Tamsin Ford</w:t>
      </w:r>
      <w:r w:rsidR="003F4087" w:rsidRPr="006A785B">
        <w:rPr>
          <w:vertAlign w:val="superscript"/>
          <w:lang w:val="en-US"/>
        </w:rPr>
        <w:t>3</w:t>
      </w:r>
      <w:r w:rsidR="007D64D0" w:rsidRPr="006A785B">
        <w:rPr>
          <w:lang w:val="en-US"/>
        </w:rPr>
        <w:t xml:space="preserve">, </w:t>
      </w:r>
      <w:r w:rsidR="005F764F" w:rsidRPr="006A785B">
        <w:rPr>
          <w:lang w:val="en-US"/>
        </w:rPr>
        <w:t>Christopher Parris</w:t>
      </w:r>
      <w:r w:rsidR="003F4087" w:rsidRPr="006A785B">
        <w:rPr>
          <w:vertAlign w:val="superscript"/>
          <w:lang w:val="en-US"/>
        </w:rPr>
        <w:t>5</w:t>
      </w:r>
      <w:r w:rsidR="005F764F" w:rsidRPr="006A785B">
        <w:rPr>
          <w:lang w:val="en-US"/>
        </w:rPr>
        <w:t xml:space="preserve">, </w:t>
      </w:r>
      <w:r w:rsidR="007D64D0" w:rsidRPr="006A785B">
        <w:rPr>
          <w:lang w:val="en-US"/>
        </w:rPr>
        <w:t xml:space="preserve">Benjamin </w:t>
      </w:r>
      <w:r w:rsidR="00611E75" w:rsidRPr="006A785B">
        <w:rPr>
          <w:lang w:val="en-US"/>
        </w:rPr>
        <w:t xml:space="preserve">R. </w:t>
      </w:r>
      <w:r w:rsidR="007D64D0" w:rsidRPr="006A785B">
        <w:rPr>
          <w:lang w:val="en-US"/>
        </w:rPr>
        <w:t>Underwood</w:t>
      </w:r>
      <w:r w:rsidR="003F4087" w:rsidRPr="006A785B">
        <w:rPr>
          <w:vertAlign w:val="superscript"/>
          <w:lang w:val="en-US"/>
        </w:rPr>
        <w:t>6</w:t>
      </w:r>
      <w:r w:rsidR="007D64D0" w:rsidRPr="006A785B">
        <w:rPr>
          <w:lang w:val="en-US"/>
        </w:rPr>
        <w:t>, Laurie Butler</w:t>
      </w:r>
      <w:r w:rsidR="00200058" w:rsidRPr="006A785B">
        <w:rPr>
          <w:vertAlign w:val="superscript"/>
          <w:lang w:val="en-US"/>
        </w:rPr>
        <w:t>1</w:t>
      </w:r>
      <w:r w:rsidR="007D64D0" w:rsidRPr="006A785B">
        <w:rPr>
          <w:lang w:val="en-US"/>
        </w:rPr>
        <w:t>, Yvonne Barnett</w:t>
      </w:r>
      <w:r w:rsidR="00200058" w:rsidRPr="006A785B">
        <w:rPr>
          <w:vertAlign w:val="superscript"/>
          <w:lang w:val="en-US"/>
        </w:rPr>
        <w:t>1</w:t>
      </w:r>
      <w:r w:rsidR="007D64D0" w:rsidRPr="006A785B">
        <w:rPr>
          <w:lang w:val="en-US"/>
        </w:rPr>
        <w:t>, Mike Trott</w:t>
      </w:r>
      <w:r w:rsidR="003F4087" w:rsidRPr="006A785B">
        <w:rPr>
          <w:vertAlign w:val="superscript"/>
          <w:lang w:val="en-US"/>
        </w:rPr>
        <w:t>7</w:t>
      </w:r>
      <w:r w:rsidR="007D64D0" w:rsidRPr="006A785B">
        <w:rPr>
          <w:lang w:val="en-US"/>
        </w:rPr>
        <w:t>, Ai Koyanagi</w:t>
      </w:r>
      <w:r w:rsidR="003F4087" w:rsidRPr="006A785B">
        <w:rPr>
          <w:vertAlign w:val="superscript"/>
          <w:lang w:val="en-US"/>
        </w:rPr>
        <w:t>8</w:t>
      </w:r>
    </w:p>
    <w:p w14:paraId="3FA5E621" w14:textId="13A48BA2" w:rsidR="00E55B0D" w:rsidRDefault="00E55B0D" w:rsidP="00C63A11">
      <w:pPr>
        <w:spacing w:line="480" w:lineRule="auto"/>
        <w:rPr>
          <w:lang w:val="en-US"/>
        </w:rPr>
      </w:pPr>
    </w:p>
    <w:p w14:paraId="2B6D88C4" w14:textId="77777777" w:rsidR="00E55B0D" w:rsidRPr="00A50BE9" w:rsidRDefault="00E55B0D" w:rsidP="00E55B0D">
      <w:pPr>
        <w:pStyle w:val="ListParagraph"/>
        <w:numPr>
          <w:ilvl w:val="0"/>
          <w:numId w:val="1"/>
        </w:numPr>
        <w:spacing w:line="480" w:lineRule="auto"/>
        <w:rPr>
          <w:lang w:val="en-US"/>
        </w:rPr>
      </w:pPr>
      <w:r w:rsidRPr="00A50BE9">
        <w:rPr>
          <w:lang w:val="en-US"/>
        </w:rPr>
        <w:t>Centre for Health Performance and Wellbeing, Anglia Ruskin University, Cambridge, UK.</w:t>
      </w:r>
    </w:p>
    <w:p w14:paraId="242493EF" w14:textId="6BBBD23A" w:rsidR="00E55B0D" w:rsidRDefault="00E55B0D" w:rsidP="00E55B0D">
      <w:pPr>
        <w:pStyle w:val="ListParagraph"/>
        <w:numPr>
          <w:ilvl w:val="0"/>
          <w:numId w:val="1"/>
        </w:numPr>
        <w:spacing w:line="480" w:lineRule="auto"/>
        <w:rPr>
          <w:lang w:val="en-US"/>
        </w:rPr>
      </w:pPr>
      <w:r w:rsidRPr="00A50BE9">
        <w:rPr>
          <w:lang w:val="en-US"/>
        </w:rPr>
        <w:t xml:space="preserve">Division of Preventive Medicine and Public Health, </w:t>
      </w:r>
      <w:r w:rsidRPr="008858AA">
        <w:rPr>
          <w:lang w:val="en-US"/>
        </w:rPr>
        <w:t>Department of Public Health Sciences</w:t>
      </w:r>
      <w:r w:rsidRPr="00A50BE9">
        <w:rPr>
          <w:lang w:val="en-US"/>
        </w:rPr>
        <w:t>, School of Medicine, University of Murcia, Murcia, Spain.</w:t>
      </w:r>
    </w:p>
    <w:p w14:paraId="21DBE0C1" w14:textId="5091AAB8" w:rsidR="003F0AEE" w:rsidRDefault="003F0AEE" w:rsidP="003F0AEE">
      <w:pPr>
        <w:pStyle w:val="ListParagraph"/>
        <w:numPr>
          <w:ilvl w:val="0"/>
          <w:numId w:val="1"/>
        </w:numPr>
        <w:spacing w:line="480" w:lineRule="auto"/>
        <w:rPr>
          <w:lang w:val="en-US"/>
        </w:rPr>
      </w:pPr>
      <w:r w:rsidRPr="003F0AEE">
        <w:rPr>
          <w:lang w:val="en-US"/>
        </w:rPr>
        <w:t>Department of Psychiatry, University o</w:t>
      </w:r>
      <w:r>
        <w:rPr>
          <w:lang w:val="en-US"/>
        </w:rPr>
        <w:t>f Cambridge, Cambridge, UK</w:t>
      </w:r>
    </w:p>
    <w:p w14:paraId="1F7CE313" w14:textId="11D66504" w:rsidR="003F0AEE" w:rsidRDefault="003F0AEE" w:rsidP="003F0AEE">
      <w:pPr>
        <w:pStyle w:val="ListParagraph"/>
        <w:numPr>
          <w:ilvl w:val="0"/>
          <w:numId w:val="1"/>
        </w:numPr>
        <w:spacing w:line="480" w:lineRule="auto"/>
        <w:rPr>
          <w:lang w:val="en-US"/>
        </w:rPr>
      </w:pPr>
      <w:r w:rsidRPr="003F0AEE">
        <w:rPr>
          <w:lang w:val="en-US"/>
        </w:rPr>
        <w:t xml:space="preserve">Cambridgeshire and Peterborough NHS Foundation Trust, </w:t>
      </w:r>
      <w:proofErr w:type="spellStart"/>
      <w:r w:rsidRPr="003F0AEE">
        <w:rPr>
          <w:lang w:val="en-US"/>
        </w:rPr>
        <w:t>Fulbourn</w:t>
      </w:r>
      <w:proofErr w:type="spellEnd"/>
      <w:r w:rsidRPr="003F0AEE">
        <w:rPr>
          <w:lang w:val="en-US"/>
        </w:rPr>
        <w:t xml:space="preserve"> Hospital, </w:t>
      </w:r>
      <w:proofErr w:type="spellStart"/>
      <w:r w:rsidRPr="003F0AEE">
        <w:rPr>
          <w:lang w:val="en-US"/>
        </w:rPr>
        <w:t>Fulbourn</w:t>
      </w:r>
      <w:proofErr w:type="spellEnd"/>
      <w:r w:rsidRPr="003F0AEE">
        <w:rPr>
          <w:lang w:val="en-US"/>
        </w:rPr>
        <w:t>, Cambridge, UK</w:t>
      </w:r>
    </w:p>
    <w:p w14:paraId="68EE06FE" w14:textId="1C0495E2" w:rsidR="000D5C13" w:rsidRDefault="000D5C13" w:rsidP="000D5C13">
      <w:pPr>
        <w:pStyle w:val="ListParagraph"/>
        <w:numPr>
          <w:ilvl w:val="0"/>
          <w:numId w:val="1"/>
        </w:numPr>
        <w:spacing w:line="480" w:lineRule="auto"/>
        <w:rPr>
          <w:lang w:val="en-US"/>
        </w:rPr>
      </w:pPr>
      <w:r w:rsidRPr="000D5C13">
        <w:rPr>
          <w:lang w:val="en-US"/>
        </w:rPr>
        <w:t>Medical Technology Research Centre</w:t>
      </w:r>
      <w:r>
        <w:rPr>
          <w:lang w:val="en-US"/>
        </w:rPr>
        <w:t xml:space="preserve">, </w:t>
      </w:r>
      <w:r w:rsidRPr="000D5C13">
        <w:rPr>
          <w:lang w:val="en-US"/>
        </w:rPr>
        <w:t>School of Life Sciences</w:t>
      </w:r>
      <w:r>
        <w:rPr>
          <w:lang w:val="en-US"/>
        </w:rPr>
        <w:t xml:space="preserve">, </w:t>
      </w:r>
      <w:r w:rsidRPr="000D5C13">
        <w:rPr>
          <w:lang w:val="en-US"/>
        </w:rPr>
        <w:t>Anglia Ruskin University</w:t>
      </w:r>
      <w:r>
        <w:rPr>
          <w:lang w:val="en-US"/>
        </w:rPr>
        <w:t xml:space="preserve">, </w:t>
      </w:r>
      <w:r w:rsidRPr="00A50BE9">
        <w:rPr>
          <w:lang w:val="en-US"/>
        </w:rPr>
        <w:t>Cambridge, UK.</w:t>
      </w:r>
    </w:p>
    <w:p w14:paraId="52B3A91B" w14:textId="77777777" w:rsidR="00611E75" w:rsidRDefault="00611E75" w:rsidP="00611E75">
      <w:pPr>
        <w:pStyle w:val="ListParagraph"/>
        <w:numPr>
          <w:ilvl w:val="0"/>
          <w:numId w:val="1"/>
        </w:numPr>
        <w:spacing w:line="480" w:lineRule="auto"/>
      </w:pPr>
      <w:r w:rsidRPr="00E445F2">
        <w:rPr>
          <w:lang w:val="en-US"/>
        </w:rPr>
        <w:t xml:space="preserve">Cambridgeshire and Peterborough NHS Foundation Trust, The </w:t>
      </w:r>
      <w:proofErr w:type="spellStart"/>
      <w:r w:rsidRPr="00E445F2">
        <w:rPr>
          <w:lang w:val="en-US"/>
        </w:rPr>
        <w:t>Gnodde</w:t>
      </w:r>
      <w:proofErr w:type="spellEnd"/>
      <w:r w:rsidRPr="00E445F2">
        <w:rPr>
          <w:lang w:val="en-US"/>
        </w:rPr>
        <w:t xml:space="preserve"> Goldman Sachs Translational Neuroscience Unit, University of Cambridge, Cambridge, UK</w:t>
      </w:r>
      <w:r>
        <w:rPr>
          <w:lang w:val="en-US"/>
        </w:rPr>
        <w:t>.</w:t>
      </w:r>
    </w:p>
    <w:p w14:paraId="05793DFC" w14:textId="313A1611" w:rsidR="0016567E" w:rsidRDefault="006A785B" w:rsidP="006A785B">
      <w:pPr>
        <w:pStyle w:val="ListParagraph"/>
        <w:numPr>
          <w:ilvl w:val="0"/>
          <w:numId w:val="1"/>
        </w:numPr>
        <w:rPr>
          <w:lang w:val="en-US"/>
        </w:rPr>
      </w:pPr>
      <w:r w:rsidRPr="006A785B">
        <w:rPr>
          <w:lang w:val="en-US"/>
        </w:rPr>
        <w:t>Centre for Public Health, Queens University Belfast, Belfast, UK</w:t>
      </w:r>
    </w:p>
    <w:p w14:paraId="1C6D6A29" w14:textId="77777777" w:rsidR="006A785B" w:rsidRPr="006A785B" w:rsidRDefault="006A785B" w:rsidP="006A785B">
      <w:pPr>
        <w:pStyle w:val="ListParagraph"/>
        <w:rPr>
          <w:lang w:val="en-US"/>
        </w:rPr>
      </w:pPr>
    </w:p>
    <w:p w14:paraId="40D4F784" w14:textId="59578ACF" w:rsidR="0016567E" w:rsidRPr="00E158A6" w:rsidRDefault="0016567E" w:rsidP="0016567E">
      <w:pPr>
        <w:pStyle w:val="ListParagraph"/>
        <w:numPr>
          <w:ilvl w:val="0"/>
          <w:numId w:val="1"/>
        </w:numPr>
        <w:spacing w:line="480" w:lineRule="auto"/>
        <w:rPr>
          <w:lang w:val="en-US"/>
        </w:rPr>
      </w:pPr>
      <w:r w:rsidRPr="00F70EC0">
        <w:rPr>
          <w:lang w:val="en-US"/>
        </w:rPr>
        <w:t xml:space="preserve">Research and Development Unit, Parc </w:t>
      </w:r>
      <w:proofErr w:type="spellStart"/>
      <w:r w:rsidRPr="00F70EC0">
        <w:rPr>
          <w:lang w:val="en-US"/>
        </w:rPr>
        <w:t>Sanitari</w:t>
      </w:r>
      <w:proofErr w:type="spellEnd"/>
      <w:r w:rsidRPr="00F70EC0">
        <w:rPr>
          <w:lang w:val="en-US"/>
        </w:rPr>
        <w:t xml:space="preserve"> Sant Joan de </w:t>
      </w:r>
      <w:proofErr w:type="spellStart"/>
      <w:r w:rsidRPr="00F70EC0">
        <w:rPr>
          <w:lang w:val="en-US"/>
        </w:rPr>
        <w:t>Déu</w:t>
      </w:r>
      <w:proofErr w:type="spellEnd"/>
      <w:r w:rsidRPr="00F70EC0">
        <w:rPr>
          <w:lang w:val="en-US"/>
        </w:rPr>
        <w:t xml:space="preserve">, Sant Boi de </w:t>
      </w:r>
      <w:proofErr w:type="spellStart"/>
      <w:r w:rsidRPr="00F70EC0">
        <w:rPr>
          <w:lang w:val="en-US"/>
        </w:rPr>
        <w:t>Llobregat</w:t>
      </w:r>
      <w:proofErr w:type="spellEnd"/>
      <w:r w:rsidRPr="00F70EC0">
        <w:rPr>
          <w:lang w:val="en-US"/>
        </w:rPr>
        <w:t>, Barcelona, Spain.</w:t>
      </w:r>
    </w:p>
    <w:p w14:paraId="0F7D32AE" w14:textId="168444AD" w:rsidR="0015427C" w:rsidRDefault="0015427C" w:rsidP="00C63A11">
      <w:pPr>
        <w:spacing w:line="480" w:lineRule="auto"/>
        <w:rPr>
          <w:lang w:val="en-US"/>
        </w:rPr>
      </w:pPr>
    </w:p>
    <w:p w14:paraId="08CE40D9" w14:textId="0DEB4FFE" w:rsidR="0015427C" w:rsidRPr="00E642C7" w:rsidRDefault="0015427C" w:rsidP="0015427C">
      <w:pPr>
        <w:spacing w:line="480" w:lineRule="auto"/>
        <w:ind w:left="360"/>
      </w:pPr>
      <w:r>
        <w:t>* Corresponding author</w:t>
      </w:r>
      <w:r w:rsidRPr="00E642C7">
        <w:t>:</w:t>
      </w:r>
      <w:r>
        <w:t xml:space="preserve"> </w:t>
      </w:r>
      <w:proofErr w:type="spellStart"/>
      <w:r w:rsidRPr="00646F0B">
        <w:t>Dr.</w:t>
      </w:r>
      <w:proofErr w:type="spellEnd"/>
      <w:r w:rsidRPr="00646F0B">
        <w:t xml:space="preserve"> Guillermo F. López Sánchez. </w:t>
      </w:r>
      <w:hyperlink r:id="rId8" w:history="1">
        <w:r w:rsidRPr="00E642C7">
          <w:rPr>
            <w:rStyle w:val="Hyperlink"/>
          </w:rPr>
          <w:t>gfls@um.es</w:t>
        </w:r>
      </w:hyperlink>
      <w:r w:rsidRPr="00E642C7">
        <w:t xml:space="preserve">  </w:t>
      </w:r>
    </w:p>
    <w:p w14:paraId="1EFAEC67" w14:textId="77777777" w:rsidR="0015427C" w:rsidRPr="0031192B" w:rsidRDefault="0015427C" w:rsidP="0015427C">
      <w:pPr>
        <w:spacing w:line="480" w:lineRule="auto"/>
        <w:ind w:left="360"/>
        <w:rPr>
          <w:b/>
        </w:rPr>
      </w:pPr>
    </w:p>
    <w:p w14:paraId="1B4BDE26" w14:textId="77777777" w:rsidR="0015427C" w:rsidRPr="00E642C7" w:rsidRDefault="0015427C" w:rsidP="0015427C">
      <w:pPr>
        <w:spacing w:line="480" w:lineRule="auto"/>
        <w:ind w:left="360"/>
      </w:pPr>
      <w:r w:rsidRPr="00E642C7">
        <w:rPr>
          <w:b/>
        </w:rPr>
        <w:lastRenderedPageBreak/>
        <w:t>Conflict of interest:</w:t>
      </w:r>
      <w:r w:rsidRPr="00E642C7">
        <w:t xml:space="preserve"> None.</w:t>
      </w:r>
    </w:p>
    <w:p w14:paraId="6057D5F5" w14:textId="77777777" w:rsidR="00F51EF7" w:rsidRDefault="0015427C" w:rsidP="00F51EF7">
      <w:pPr>
        <w:spacing w:line="480" w:lineRule="auto"/>
        <w:ind w:left="360"/>
      </w:pPr>
      <w:r w:rsidRPr="00E642C7">
        <w:rPr>
          <w:b/>
        </w:rPr>
        <w:t>Funding:</w:t>
      </w:r>
      <w:r w:rsidRPr="00E642C7">
        <w:t xml:space="preserve"> </w:t>
      </w:r>
      <w:proofErr w:type="spellStart"/>
      <w:r w:rsidRPr="00E642C7">
        <w:t>Dr.</w:t>
      </w:r>
      <w:proofErr w:type="spellEnd"/>
      <w:r w:rsidRPr="00E642C7">
        <w:t xml:space="preserve"> Guillermo F. López Sánchez is funded by the European Union – Next Generation EU.</w:t>
      </w:r>
    </w:p>
    <w:p w14:paraId="55CE327E" w14:textId="77777777" w:rsidR="004B0372" w:rsidRDefault="00F51EF7" w:rsidP="004B0372">
      <w:pPr>
        <w:spacing w:line="480" w:lineRule="auto"/>
        <w:ind w:left="360"/>
      </w:pPr>
      <w:r w:rsidRPr="00F51EF7">
        <w:rPr>
          <w:b/>
        </w:rPr>
        <w:t>Acknowledgments</w:t>
      </w:r>
      <w:r>
        <w:rPr>
          <w:b/>
        </w:rPr>
        <w:t xml:space="preserve">: </w:t>
      </w:r>
      <w:r>
        <w:t xml:space="preserve">We would like to thank the National </w:t>
      </w:r>
      <w:proofErr w:type="spellStart"/>
      <w:r>
        <w:t>Center</w:t>
      </w:r>
      <w:proofErr w:type="spellEnd"/>
      <w:r>
        <w:t xml:space="preserve"> for Social Research and the University of Leicester who were the Principal Investigators of this survey. In addition, we would also like to thank the UK Data Archive, the National </w:t>
      </w:r>
      <w:proofErr w:type="spellStart"/>
      <w:r>
        <w:t>Center</w:t>
      </w:r>
      <w:proofErr w:type="spellEnd"/>
      <w:r>
        <w:t xml:space="preserve"> for Social Research, and other relevant bodies for making these data </w:t>
      </w:r>
      <w:proofErr w:type="spellStart"/>
      <w:r>
        <w:t>publically</w:t>
      </w:r>
      <w:proofErr w:type="spellEnd"/>
      <w:r>
        <w:t xml:space="preserve"> available. They bear no responsibility for this analysis or interpretation of this </w:t>
      </w:r>
      <w:proofErr w:type="spellStart"/>
      <w:r>
        <w:t>publically</w:t>
      </w:r>
      <w:proofErr w:type="spellEnd"/>
      <w:r>
        <w:t xml:space="preserve"> available dataset.</w:t>
      </w:r>
    </w:p>
    <w:p w14:paraId="6FC37BE7" w14:textId="77777777" w:rsidR="004B0372" w:rsidRDefault="004B0372" w:rsidP="004B0372">
      <w:pPr>
        <w:spacing w:line="480" w:lineRule="auto"/>
        <w:ind w:left="360"/>
      </w:pPr>
      <w:proofErr w:type="spellStart"/>
      <w:r w:rsidRPr="00316342">
        <w:rPr>
          <w:b/>
          <w:lang w:val="en-US"/>
        </w:rPr>
        <w:t>Contributorship</w:t>
      </w:r>
      <w:proofErr w:type="spellEnd"/>
      <w:r w:rsidRPr="00316342">
        <w:rPr>
          <w:b/>
          <w:lang w:val="en-US"/>
        </w:rPr>
        <w:t xml:space="preserve"> Statement</w:t>
      </w:r>
      <w:r>
        <w:rPr>
          <w:b/>
          <w:lang w:val="en-US"/>
        </w:rPr>
        <w:t xml:space="preserve">: </w:t>
      </w:r>
    </w:p>
    <w:p w14:paraId="2516A10A" w14:textId="77777777" w:rsidR="004B0372" w:rsidRDefault="004B0372" w:rsidP="004B0372">
      <w:pPr>
        <w:spacing w:line="480" w:lineRule="auto"/>
        <w:ind w:left="360"/>
      </w:pPr>
      <w:r w:rsidRPr="00316342">
        <w:rPr>
          <w:lang w:val="en-US"/>
        </w:rPr>
        <w:t xml:space="preserve">Writing – Original Draft Preparation: </w:t>
      </w:r>
      <w:r w:rsidRPr="006A785B">
        <w:rPr>
          <w:lang w:val="en-US"/>
        </w:rPr>
        <w:t>Lee Smith, Ai Koyanagi</w:t>
      </w:r>
    </w:p>
    <w:p w14:paraId="12323A52" w14:textId="0BDC7F91" w:rsidR="004B0372" w:rsidRPr="004B0372" w:rsidRDefault="004B0372" w:rsidP="004B0372">
      <w:pPr>
        <w:spacing w:line="480" w:lineRule="auto"/>
        <w:ind w:left="360"/>
      </w:pPr>
      <w:r w:rsidRPr="00316342">
        <w:rPr>
          <w:lang w:val="en-US"/>
        </w:rPr>
        <w:t>Writing – Review &amp; Editing</w:t>
      </w:r>
      <w:r>
        <w:rPr>
          <w:lang w:val="en-US"/>
        </w:rPr>
        <w:t xml:space="preserve">: </w:t>
      </w:r>
      <w:r w:rsidRPr="006A785B">
        <w:rPr>
          <w:lang w:val="en-US"/>
        </w:rPr>
        <w:t>Guillermo F. López Sánchez, Emilio Fernandez-Egea, Tamsin Ford, Christopher Parris, Benjamin R. Underwood, Laurie Butler, Yvonne Barnett, Mike Trott</w:t>
      </w:r>
    </w:p>
    <w:p w14:paraId="7C10A9A5" w14:textId="77777777" w:rsidR="004B0372" w:rsidRPr="004B0372" w:rsidRDefault="004B0372" w:rsidP="00F51EF7">
      <w:pPr>
        <w:spacing w:line="480" w:lineRule="auto"/>
        <w:ind w:left="360"/>
        <w:rPr>
          <w:lang w:val="en-US"/>
        </w:rPr>
        <w:sectPr w:rsidR="004B0372" w:rsidRPr="004B0372">
          <w:footerReference w:type="even" r:id="rId9"/>
          <w:footerReference w:type="default" r:id="rId10"/>
          <w:pgSz w:w="12240" w:h="15840"/>
          <w:pgMar w:top="1440" w:right="1440" w:bottom="1440" w:left="1440" w:header="708" w:footer="708" w:gutter="0"/>
          <w:cols w:space="708"/>
          <w:docGrid w:linePitch="360"/>
        </w:sectPr>
      </w:pPr>
    </w:p>
    <w:p w14:paraId="1E0916FE" w14:textId="26E81254" w:rsidR="00A20CE4" w:rsidRPr="007526AD" w:rsidRDefault="00E06437" w:rsidP="00C63A11">
      <w:pPr>
        <w:spacing w:line="480" w:lineRule="auto"/>
        <w:rPr>
          <w:b/>
          <w:bCs/>
          <w:lang w:val="en-US"/>
        </w:rPr>
      </w:pPr>
      <w:r w:rsidRPr="007526AD">
        <w:rPr>
          <w:b/>
          <w:bCs/>
          <w:lang w:val="en-US"/>
        </w:rPr>
        <w:lastRenderedPageBreak/>
        <w:t>ABSTRACT</w:t>
      </w:r>
    </w:p>
    <w:p w14:paraId="779BA531" w14:textId="42CE74EB" w:rsidR="00C36548" w:rsidRDefault="0003535F" w:rsidP="00C63A11">
      <w:pPr>
        <w:spacing w:line="480" w:lineRule="auto"/>
        <w:rPr>
          <w:lang w:val="en-US"/>
        </w:rPr>
      </w:pPr>
      <w:r>
        <w:rPr>
          <w:b/>
          <w:bCs/>
          <w:lang w:val="en-US"/>
        </w:rPr>
        <w:t>Purpose</w:t>
      </w:r>
      <w:r w:rsidR="003E7CDC">
        <w:rPr>
          <w:b/>
          <w:bCs/>
          <w:lang w:val="en-US"/>
        </w:rPr>
        <w:t>:</w:t>
      </w:r>
      <w:r w:rsidR="00D4492C">
        <w:rPr>
          <w:lang w:val="en-US"/>
        </w:rPr>
        <w:t xml:space="preserve"> People with </w:t>
      </w:r>
      <w:r w:rsidR="00E92D95">
        <w:rPr>
          <w:lang w:val="en-US"/>
        </w:rPr>
        <w:t xml:space="preserve">eating </w:t>
      </w:r>
      <w:proofErr w:type="gramStart"/>
      <w:r w:rsidR="00E92D95">
        <w:rPr>
          <w:lang w:val="en-US"/>
        </w:rPr>
        <w:t>d</w:t>
      </w:r>
      <w:r w:rsidR="002159FD">
        <w:rPr>
          <w:lang w:val="en-US"/>
        </w:rPr>
        <w:t>isorder</w:t>
      </w:r>
      <w:r w:rsidR="00535BE8">
        <w:rPr>
          <w:lang w:val="en-US"/>
        </w:rPr>
        <w:t xml:space="preserve">s </w:t>
      </w:r>
      <w:r w:rsidR="00D4492C">
        <w:rPr>
          <w:lang w:val="en-US"/>
        </w:rPr>
        <w:t xml:space="preserve"> may</w:t>
      </w:r>
      <w:proofErr w:type="gramEnd"/>
      <w:r w:rsidR="00D4492C">
        <w:rPr>
          <w:lang w:val="en-US"/>
        </w:rPr>
        <w:t xml:space="preserve"> be at increased risk for physical health problems but there are no data on </w:t>
      </w:r>
      <w:r w:rsidR="003E7CDC">
        <w:rPr>
          <w:lang w:val="en-US"/>
        </w:rPr>
        <w:t xml:space="preserve">the relationship between </w:t>
      </w:r>
      <w:r w:rsidR="00E30719">
        <w:rPr>
          <w:lang w:val="en-US"/>
        </w:rPr>
        <w:t>eating di</w:t>
      </w:r>
      <w:r w:rsidR="002159FD">
        <w:rPr>
          <w:lang w:val="en-US"/>
        </w:rPr>
        <w:t>sorder</w:t>
      </w:r>
      <w:r w:rsidR="00535BE8">
        <w:rPr>
          <w:lang w:val="en-US"/>
        </w:rPr>
        <w:t>s</w:t>
      </w:r>
      <w:r w:rsidR="00E30719">
        <w:rPr>
          <w:lang w:val="en-US"/>
        </w:rPr>
        <w:t xml:space="preserve"> </w:t>
      </w:r>
      <w:r w:rsidR="003E7CDC">
        <w:rPr>
          <w:lang w:val="en-US"/>
        </w:rPr>
        <w:t>and physical multimorbidity</w:t>
      </w:r>
      <w:r w:rsidR="00C36548">
        <w:rPr>
          <w:lang w:val="en-US"/>
        </w:rPr>
        <w:t xml:space="preserve"> (</w:t>
      </w:r>
      <w:r w:rsidR="000419A1">
        <w:rPr>
          <w:lang w:val="en-US"/>
        </w:rPr>
        <w:t xml:space="preserve">i.e., </w:t>
      </w:r>
      <w:r w:rsidR="00C36548">
        <w:rPr>
          <w:lang w:val="en-US"/>
        </w:rPr>
        <w:t xml:space="preserve">≥2 </w:t>
      </w:r>
      <w:r w:rsidR="000419A1">
        <w:rPr>
          <w:lang w:val="en-US"/>
        </w:rPr>
        <w:t>physical</w:t>
      </w:r>
      <w:r w:rsidR="00C36548">
        <w:rPr>
          <w:lang w:val="en-US"/>
        </w:rPr>
        <w:t xml:space="preserve"> conditions)</w:t>
      </w:r>
      <w:r w:rsidR="003E7CDC">
        <w:rPr>
          <w:lang w:val="en-US"/>
        </w:rPr>
        <w:t xml:space="preserve"> and its potential</w:t>
      </w:r>
      <w:r w:rsidR="0051272B">
        <w:rPr>
          <w:lang w:val="en-US"/>
        </w:rPr>
        <w:t xml:space="preserve"> mediators</w:t>
      </w:r>
      <w:r w:rsidR="00AC5C6F">
        <w:rPr>
          <w:lang w:val="en-US"/>
        </w:rPr>
        <w:t xml:space="preserve">. </w:t>
      </w:r>
      <w:r w:rsidR="003E7CDC">
        <w:rPr>
          <w:lang w:val="en-US"/>
        </w:rPr>
        <w:t xml:space="preserve">Thus, </w:t>
      </w:r>
      <w:r w:rsidR="0051272B">
        <w:rPr>
          <w:lang w:val="en-US"/>
        </w:rPr>
        <w:t xml:space="preserve">we </w:t>
      </w:r>
      <w:r w:rsidR="003E7CDC" w:rsidRPr="003E7CDC">
        <w:rPr>
          <w:lang w:val="en-US"/>
        </w:rPr>
        <w:t>investigate</w:t>
      </w:r>
      <w:r w:rsidR="0051272B">
        <w:rPr>
          <w:lang w:val="en-US"/>
        </w:rPr>
        <w:t>d</w:t>
      </w:r>
      <w:r w:rsidR="003E7CDC" w:rsidRPr="003E7CDC">
        <w:rPr>
          <w:lang w:val="en-US"/>
        </w:rPr>
        <w:t xml:space="preserve"> </w:t>
      </w:r>
      <w:r w:rsidR="00021F26">
        <w:rPr>
          <w:lang w:val="en-US"/>
        </w:rPr>
        <w:t xml:space="preserve">this association </w:t>
      </w:r>
      <w:r w:rsidR="006D6B17">
        <w:rPr>
          <w:lang w:val="en-US"/>
        </w:rPr>
        <w:t xml:space="preserve">in a representative sample of adults from the UK, and quantified the extent to which this can be explained by various psychological and physical conditions, and lifestyle </w:t>
      </w:r>
      <w:r w:rsidR="006D6B17" w:rsidRPr="00E10040">
        <w:rPr>
          <w:lang w:val="en-US"/>
        </w:rPr>
        <w:t>factors.</w:t>
      </w:r>
      <w:r w:rsidR="00E10040" w:rsidRPr="00E10040">
        <w:rPr>
          <w:lang w:val="en-US"/>
        </w:rPr>
        <w:t xml:space="preserve"> </w:t>
      </w:r>
    </w:p>
    <w:p w14:paraId="07E71FFC" w14:textId="42587659" w:rsidR="00C36548" w:rsidRPr="00F7451C" w:rsidRDefault="00C36548" w:rsidP="00C63A11">
      <w:pPr>
        <w:spacing w:line="480" w:lineRule="auto"/>
        <w:rPr>
          <w:b/>
          <w:bCs/>
          <w:lang w:val="en-US"/>
        </w:rPr>
      </w:pPr>
      <w:r w:rsidRPr="00F7451C">
        <w:rPr>
          <w:b/>
          <w:bCs/>
          <w:lang w:val="en-US"/>
        </w:rPr>
        <w:t xml:space="preserve">Methods: </w:t>
      </w:r>
      <w:r w:rsidR="00F7451C">
        <w:rPr>
          <w:color w:val="212121"/>
          <w:shd w:val="clear" w:color="auto" w:fill="FFFFFF"/>
        </w:rPr>
        <w:t>C</w:t>
      </w:r>
      <w:r w:rsidR="00F7451C" w:rsidRPr="006F6023">
        <w:rPr>
          <w:color w:val="212121"/>
          <w:shd w:val="clear" w:color="auto" w:fill="FFFFFF"/>
        </w:rPr>
        <w:t xml:space="preserve">ross-sectional data </w:t>
      </w:r>
      <w:r w:rsidR="00F7451C">
        <w:rPr>
          <w:color w:val="212121"/>
          <w:shd w:val="clear" w:color="auto" w:fill="FFFFFF"/>
        </w:rPr>
        <w:t xml:space="preserve">of the </w:t>
      </w:r>
      <w:r w:rsidR="00F7451C" w:rsidRPr="006F6023">
        <w:rPr>
          <w:color w:val="212121"/>
          <w:shd w:val="clear" w:color="auto" w:fill="FFFFFF"/>
        </w:rPr>
        <w:t xml:space="preserve">2007 Adult Psychiatric Morbidity Survey </w:t>
      </w:r>
      <w:r w:rsidR="00F7451C">
        <w:rPr>
          <w:color w:val="212121"/>
          <w:shd w:val="clear" w:color="auto" w:fill="FFFFFF"/>
        </w:rPr>
        <w:t xml:space="preserve">were </w:t>
      </w:r>
      <w:proofErr w:type="spellStart"/>
      <w:r w:rsidR="00F7451C">
        <w:rPr>
          <w:color w:val="212121"/>
          <w:shd w:val="clear" w:color="auto" w:fill="FFFFFF"/>
        </w:rPr>
        <w:t>analyzed</w:t>
      </w:r>
      <w:proofErr w:type="spellEnd"/>
      <w:r w:rsidR="00F7451C">
        <w:rPr>
          <w:color w:val="212121"/>
          <w:shd w:val="clear" w:color="auto" w:fill="FFFFFF"/>
        </w:rPr>
        <w:t xml:space="preserve">. </w:t>
      </w:r>
      <w:r w:rsidR="00F7451C" w:rsidRPr="006F6023">
        <w:rPr>
          <w:color w:val="212121"/>
          <w:shd w:val="clear" w:color="auto" w:fill="FFFFFF"/>
        </w:rPr>
        <w:t>Questions from the five-item SCOFF screening instrument were used to identify</w:t>
      </w:r>
      <w:r w:rsidR="006B0B53">
        <w:rPr>
          <w:color w:val="212121"/>
          <w:shd w:val="clear" w:color="auto" w:fill="FFFFFF"/>
        </w:rPr>
        <w:t xml:space="preserve"> possible eating disorder</w:t>
      </w:r>
      <w:r w:rsidR="00F7451C" w:rsidRPr="006F6023">
        <w:rPr>
          <w:color w:val="212121"/>
          <w:shd w:val="clear" w:color="auto" w:fill="FFFFFF"/>
        </w:rPr>
        <w:t>.</w:t>
      </w:r>
      <w:r w:rsidR="00DD47A1">
        <w:rPr>
          <w:color w:val="212121"/>
          <w:shd w:val="clear" w:color="auto" w:fill="FFFFFF"/>
        </w:rPr>
        <w:t xml:space="preserve"> </w:t>
      </w:r>
      <w:r w:rsidR="00DD47A1" w:rsidRPr="00D81640">
        <w:rPr>
          <w:color w:val="212121"/>
          <w:shd w:val="clear" w:color="auto" w:fill="FFFFFF"/>
        </w:rPr>
        <w:t>Respondents were asked about 20 physical health conditions.</w:t>
      </w:r>
      <w:r w:rsidR="00DD47A1">
        <w:rPr>
          <w:lang w:val="en-US"/>
        </w:rPr>
        <w:t xml:space="preserve"> Multivariable logistic regression and mediation analysis were conducted.</w:t>
      </w:r>
    </w:p>
    <w:p w14:paraId="5F6019DB" w14:textId="1605CFF2" w:rsidR="004224A2" w:rsidRDefault="00C36548" w:rsidP="004224A2">
      <w:pPr>
        <w:spacing w:line="480" w:lineRule="auto"/>
        <w:rPr>
          <w:lang w:val="en-US"/>
        </w:rPr>
      </w:pPr>
      <w:r w:rsidRPr="00F7451C">
        <w:rPr>
          <w:b/>
          <w:bCs/>
          <w:lang w:val="en-US"/>
        </w:rPr>
        <w:t xml:space="preserve">Results: </w:t>
      </w:r>
      <w:r w:rsidR="004224A2">
        <w:rPr>
          <w:lang w:val="en-US"/>
        </w:rPr>
        <w:t xml:space="preserve">Data on </w:t>
      </w:r>
      <w:r w:rsidR="004224A2" w:rsidRPr="007526AD">
        <w:rPr>
          <w:lang w:val="en-US"/>
        </w:rPr>
        <w:t>7403 individuals aged ≥16 years were</w:t>
      </w:r>
      <w:r w:rsidR="004224A2">
        <w:rPr>
          <w:lang w:val="en-US"/>
        </w:rPr>
        <w:t xml:space="preserve"> analyzed [mean (SD) age </w:t>
      </w:r>
      <w:r w:rsidR="004224A2" w:rsidRPr="007526AD">
        <w:rPr>
          <w:lang w:val="en-US"/>
        </w:rPr>
        <w:t>46.3 (18.6)</w:t>
      </w:r>
      <w:r w:rsidR="004224A2">
        <w:rPr>
          <w:lang w:val="en-US"/>
        </w:rPr>
        <w:t xml:space="preserve"> years; 48.6% males]</w:t>
      </w:r>
      <w:r w:rsidR="004224A2" w:rsidRPr="007526AD">
        <w:rPr>
          <w:lang w:val="en-US"/>
        </w:rPr>
        <w:t xml:space="preserve">. </w:t>
      </w:r>
      <w:r w:rsidR="004224A2">
        <w:rPr>
          <w:lang w:val="en-US"/>
        </w:rPr>
        <w:t xml:space="preserve">After adjustment, </w:t>
      </w:r>
      <w:r w:rsidR="00351E6D">
        <w:rPr>
          <w:lang w:val="en-US"/>
        </w:rPr>
        <w:t xml:space="preserve">possible eating disorder </w:t>
      </w:r>
      <w:r w:rsidR="004224A2">
        <w:rPr>
          <w:lang w:val="en-US"/>
        </w:rPr>
        <w:t xml:space="preserve">was associated with 2.11 (95%CI=1.67-2.67) times higher odds for physical multimorbidity. Anxiety disorder explained the largest proportion </w:t>
      </w:r>
      <w:r w:rsidR="00FE692C">
        <w:rPr>
          <w:lang w:val="en-US"/>
        </w:rPr>
        <w:t xml:space="preserve">this association </w:t>
      </w:r>
      <w:r w:rsidR="004224A2">
        <w:rPr>
          <w:lang w:val="en-US"/>
        </w:rPr>
        <w:t xml:space="preserve">(mediated percentage 26.3%), followed by insomnia (21.8%), perceived stress (13.4%), depression (13.1%), obesity (13.0%), and alcohol dependence (4.3%). </w:t>
      </w:r>
    </w:p>
    <w:p w14:paraId="5BD8AA33" w14:textId="09F6687B" w:rsidR="00E91C76" w:rsidRPr="007526AD" w:rsidRDefault="0003535F" w:rsidP="00E91C76">
      <w:pPr>
        <w:spacing w:line="480" w:lineRule="auto"/>
        <w:rPr>
          <w:lang w:val="en-US"/>
        </w:rPr>
      </w:pPr>
      <w:r>
        <w:rPr>
          <w:b/>
          <w:bCs/>
          <w:lang w:val="en-US"/>
        </w:rPr>
        <w:t>Conclusion</w:t>
      </w:r>
      <w:r w:rsidR="00C36548" w:rsidRPr="00F7451C">
        <w:rPr>
          <w:b/>
          <w:bCs/>
          <w:lang w:val="en-US"/>
        </w:rPr>
        <w:t>:</w:t>
      </w:r>
      <w:r w:rsidR="00C36548" w:rsidRPr="00F7451C">
        <w:rPr>
          <w:lang w:val="en-US"/>
        </w:rPr>
        <w:t xml:space="preserve"> </w:t>
      </w:r>
      <w:r w:rsidR="00E91C76">
        <w:rPr>
          <w:lang w:val="en-US"/>
        </w:rPr>
        <w:t xml:space="preserve">Future longitudinal studies are warranted to understand potential causality and the underlying mechanisms in the association between </w:t>
      </w:r>
      <w:r w:rsidR="00E92D95">
        <w:rPr>
          <w:lang w:val="en-US"/>
        </w:rPr>
        <w:t xml:space="preserve">eating </w:t>
      </w:r>
      <w:proofErr w:type="gramStart"/>
      <w:r w:rsidR="00E92D95">
        <w:rPr>
          <w:lang w:val="en-US"/>
        </w:rPr>
        <w:t>di</w:t>
      </w:r>
      <w:r w:rsidR="002159FD">
        <w:rPr>
          <w:lang w:val="en-US"/>
        </w:rPr>
        <w:t xml:space="preserve">sorder </w:t>
      </w:r>
      <w:r w:rsidR="00E91C76">
        <w:rPr>
          <w:lang w:val="en-US"/>
        </w:rPr>
        <w:t xml:space="preserve"> and</w:t>
      </w:r>
      <w:proofErr w:type="gramEnd"/>
      <w:r w:rsidR="00E91C76">
        <w:rPr>
          <w:lang w:val="en-US"/>
        </w:rPr>
        <w:t xml:space="preserve"> multimorbidity, and whether addressing the identified potential mediators in people with </w:t>
      </w:r>
      <w:r w:rsidR="00E92D95">
        <w:rPr>
          <w:lang w:val="en-US"/>
        </w:rPr>
        <w:t>eating di</w:t>
      </w:r>
      <w:r w:rsidR="00535BE8">
        <w:rPr>
          <w:lang w:val="en-US"/>
        </w:rPr>
        <w:t>sorders</w:t>
      </w:r>
      <w:r w:rsidR="00E30719">
        <w:rPr>
          <w:lang w:val="en-US"/>
        </w:rPr>
        <w:t xml:space="preserve"> </w:t>
      </w:r>
      <w:r w:rsidR="00E91C76">
        <w:rPr>
          <w:lang w:val="en-US"/>
        </w:rPr>
        <w:t xml:space="preserve">can reduce multimorbidity. </w:t>
      </w:r>
    </w:p>
    <w:p w14:paraId="207E4BD4" w14:textId="716DC13A" w:rsidR="005D7482" w:rsidRDefault="00C36548" w:rsidP="00C63A11">
      <w:pPr>
        <w:spacing w:line="480" w:lineRule="auto"/>
        <w:rPr>
          <w:lang w:val="en-US"/>
        </w:rPr>
      </w:pPr>
      <w:r>
        <w:rPr>
          <w:b/>
          <w:bCs/>
          <w:lang w:val="en-US"/>
        </w:rPr>
        <w:t xml:space="preserve">Key Words: </w:t>
      </w:r>
      <w:r>
        <w:rPr>
          <w:lang w:val="en-US"/>
        </w:rPr>
        <w:t xml:space="preserve">Eating disorder, </w:t>
      </w:r>
      <w:r w:rsidR="00161DF4">
        <w:rPr>
          <w:lang w:val="en-US"/>
        </w:rPr>
        <w:t>D</w:t>
      </w:r>
      <w:r>
        <w:rPr>
          <w:lang w:val="en-US"/>
        </w:rPr>
        <w:t xml:space="preserve">isordered eating, </w:t>
      </w:r>
      <w:r w:rsidR="00161DF4">
        <w:rPr>
          <w:lang w:val="en-US"/>
        </w:rPr>
        <w:t>C</w:t>
      </w:r>
      <w:r>
        <w:rPr>
          <w:lang w:val="en-US"/>
        </w:rPr>
        <w:t xml:space="preserve">hronic disease, </w:t>
      </w:r>
      <w:r w:rsidR="00161DF4">
        <w:rPr>
          <w:lang w:val="en-US"/>
        </w:rPr>
        <w:t>M</w:t>
      </w:r>
      <w:r>
        <w:rPr>
          <w:lang w:val="en-US"/>
        </w:rPr>
        <w:t>ultimorbidity, UK, Adults, Epidemiology</w:t>
      </w:r>
    </w:p>
    <w:p w14:paraId="64C1FC52" w14:textId="6DB05373" w:rsidR="001507A8" w:rsidRPr="007526AD" w:rsidRDefault="001507A8" w:rsidP="00C63A11">
      <w:pPr>
        <w:spacing w:line="480" w:lineRule="auto"/>
        <w:rPr>
          <w:lang w:val="en-US"/>
        </w:rPr>
        <w:sectPr w:rsidR="001507A8" w:rsidRPr="007526AD">
          <w:pgSz w:w="12240" w:h="15840"/>
          <w:pgMar w:top="1440" w:right="1440" w:bottom="1440" w:left="1440" w:header="708" w:footer="708" w:gutter="0"/>
          <w:cols w:space="708"/>
          <w:docGrid w:linePitch="360"/>
        </w:sectPr>
      </w:pPr>
    </w:p>
    <w:p w14:paraId="468F2C33" w14:textId="5A0C9C03" w:rsidR="00E06437" w:rsidRDefault="00A3339F" w:rsidP="00C63A11">
      <w:pPr>
        <w:spacing w:line="480" w:lineRule="auto"/>
        <w:rPr>
          <w:b/>
          <w:bCs/>
          <w:lang w:val="en-US"/>
        </w:rPr>
      </w:pPr>
      <w:r w:rsidRPr="007526AD">
        <w:rPr>
          <w:b/>
          <w:bCs/>
          <w:lang w:val="en-US"/>
        </w:rPr>
        <w:lastRenderedPageBreak/>
        <w:t>INTRODUCTION</w:t>
      </w:r>
    </w:p>
    <w:p w14:paraId="1B5A66AD" w14:textId="6691DC86" w:rsidR="00D25ABB" w:rsidRDefault="00D25ABB" w:rsidP="00C63A11">
      <w:pPr>
        <w:spacing w:line="480" w:lineRule="auto"/>
        <w:rPr>
          <w:lang w:val="en-US"/>
        </w:rPr>
      </w:pPr>
      <w:r w:rsidRPr="00D25ABB">
        <w:rPr>
          <w:lang w:val="en-US"/>
        </w:rPr>
        <w:t>When two or more physical conditions exist simultaneously in an individual, this condition is called</w:t>
      </w:r>
      <w:r w:rsidR="003E7CDC">
        <w:rPr>
          <w:lang w:val="en-US"/>
        </w:rPr>
        <w:t xml:space="preserve"> physical</w:t>
      </w:r>
      <w:r w:rsidR="001261C4">
        <w:rPr>
          <w:lang w:val="en-US"/>
        </w:rPr>
        <w:t xml:space="preserve"> </w:t>
      </w:r>
      <w:r w:rsidRPr="00D25ABB">
        <w:rPr>
          <w:lang w:val="en-US"/>
        </w:rPr>
        <w:t>multimorbidity</w:t>
      </w:r>
      <w:r w:rsidR="006553AA">
        <w:rPr>
          <w:lang w:val="en-US"/>
        </w:rPr>
        <w:t xml:space="preserve"> </w:t>
      </w:r>
      <w:r w:rsidR="006553AA">
        <w:rPr>
          <w:lang w:val="en-US"/>
        </w:rPr>
        <w:fldChar w:fldCharType="begin" w:fldLock="1"/>
      </w:r>
      <w:r w:rsidR="009037BE">
        <w:rPr>
          <w:lang w:val="en-US"/>
        </w:rPr>
        <w:instrText>ADDIN CSL_CITATION {"citationItems":[{"id":"ITEM-1","itemData":{"URL":"https://www.nice.org.uk/guidance/ng56/chapter/recommendations#multimorbidity","accessed":{"date-parts":[["2022","7","23"]]},"author":[{"dropping-particle":"","family":"NICE | The National Institute for Health and Care Excellence","given":"","non-dropping-particle":"","parse-names":false,"suffix":""}],"id":"ITEM-1","issued":{"date-parts":[["2016"]]},"title":"Multimorbidity: clinical assessment and management","type":"webpage"},"uris":["http://www.mendeley.com/documents/?uuid=9ec470d5-292b-42fa-b7b3-a8e013b846c3"]}],"mendeley":{"formattedCitation":"[1]","plainTextFormattedCitation":"[1]","previouslyFormattedCitation":"(NICE | The National Institute for Health and Care Excellence, 2016)"},"properties":{"noteIndex":0},"schema":"https://github.com/citation-style-language/schema/raw/master/csl-citation.json"}</w:instrText>
      </w:r>
      <w:r w:rsidR="006553AA">
        <w:rPr>
          <w:lang w:val="en-US"/>
        </w:rPr>
        <w:fldChar w:fldCharType="separate"/>
      </w:r>
      <w:r w:rsidR="009037BE" w:rsidRPr="009037BE">
        <w:rPr>
          <w:noProof/>
          <w:lang w:val="en-US"/>
        </w:rPr>
        <w:t>[1]</w:t>
      </w:r>
      <w:r w:rsidR="006553AA">
        <w:rPr>
          <w:lang w:val="en-US"/>
        </w:rPr>
        <w:fldChar w:fldCharType="end"/>
      </w:r>
      <w:r>
        <w:rPr>
          <w:lang w:val="en-US"/>
        </w:rPr>
        <w:t>.</w:t>
      </w:r>
      <w:r w:rsidR="00144C67">
        <w:rPr>
          <w:lang w:val="en-US"/>
        </w:rPr>
        <w:t xml:space="preserve"> </w:t>
      </w:r>
      <w:r w:rsidRPr="00D25ABB">
        <w:rPr>
          <w:lang w:val="en-US"/>
        </w:rPr>
        <w:t>Multimorbidity is an important risk concept as it is associated with adverse outcomes such as lower quality of life</w:t>
      </w:r>
      <w:r w:rsidR="00144C67">
        <w:rPr>
          <w:lang w:val="en-US"/>
        </w:rPr>
        <w:t xml:space="preserve"> </w:t>
      </w:r>
      <w:r w:rsidR="00144C67">
        <w:rPr>
          <w:lang w:val="en-US"/>
        </w:rPr>
        <w:fldChar w:fldCharType="begin" w:fldLock="1"/>
      </w:r>
      <w:r w:rsidR="009037BE">
        <w:rPr>
          <w:lang w:val="en-US"/>
        </w:rPr>
        <w:instrText>ADDIN CSL_CITATION {"citationItems":[{"id":"ITEM-1","itemData":{"ISSN":"1477-7525","author":[{"dropping-particle":"","family":"Fortin","given":"Martin","non-dropping-particle":"","parse-names":false,"suffix":""},{"dropping-particle":"","family":"Lapointe","given":"Lise","non-dropping-particle":"","parse-names":false,"suffix":""},{"dropping-particle":"","family":"Hudon","given":"Catherine","non-dropping-particle":"","parse-names":false,"suffix":""},{"dropping-particle":"","family":"Vanasse","given":"Alain","non-dropping-particle":"","parse-names":false,"suffix":""},{"dropping-particle":"","family":"Ntetu","given":"Antoine L","non-dropping-particle":"","parse-names":false,"suffix":""},{"dropping-particle":"","family":"Maltais","given":"Danielle","non-dropping-particle":"","parse-names":false,"suffix":""}],"container-title":"Health and Quality of life Outcomes","id":"ITEM-1","issue":"1","issued":{"date-parts":[["2004"]]},"page":"1-12","publisher":"BioMed Central","title":"Multimorbidity and quality of life in primary care: a systematic review","type":"article-journal","volume":"2"},"uris":["http://www.mendeley.com/documents/?uuid=ff7e7f0e-5eea-4ff9-a408-ed10890c99a6"]}],"mendeley":{"formattedCitation":"[2]","plainTextFormattedCitation":"[2]","previouslyFormattedCitation":"(Fortin et al., 2004)"},"properties":{"noteIndex":0},"schema":"https://github.com/citation-style-language/schema/raw/master/csl-citation.json"}</w:instrText>
      </w:r>
      <w:r w:rsidR="00144C67">
        <w:rPr>
          <w:lang w:val="en-US"/>
        </w:rPr>
        <w:fldChar w:fldCharType="separate"/>
      </w:r>
      <w:r w:rsidR="009037BE" w:rsidRPr="009037BE">
        <w:rPr>
          <w:noProof/>
          <w:lang w:val="en-US"/>
        </w:rPr>
        <w:t>[2]</w:t>
      </w:r>
      <w:r w:rsidR="00144C67">
        <w:rPr>
          <w:lang w:val="en-US"/>
        </w:rPr>
        <w:fldChar w:fldCharType="end"/>
      </w:r>
      <w:r w:rsidRPr="00D25ABB">
        <w:rPr>
          <w:lang w:val="en-US"/>
        </w:rPr>
        <w:t>,</w:t>
      </w:r>
      <w:r w:rsidR="00144C67">
        <w:rPr>
          <w:lang w:val="en-US"/>
        </w:rPr>
        <w:t xml:space="preserve"> </w:t>
      </w:r>
      <w:r w:rsidR="006F6023" w:rsidRPr="006F6023">
        <w:rPr>
          <w:lang w:val="en-US"/>
        </w:rPr>
        <w:t>unmet need, sickness days</w:t>
      </w:r>
      <w:r w:rsidR="006F6023">
        <w:rPr>
          <w:lang w:val="en-US"/>
        </w:rPr>
        <w:t xml:space="preserve">, </w:t>
      </w:r>
      <w:r w:rsidR="006F6023" w:rsidRPr="006F6023">
        <w:rPr>
          <w:lang w:val="en-US"/>
        </w:rPr>
        <w:t>reduced perceived health status</w:t>
      </w:r>
      <w:r w:rsidR="00144C67">
        <w:rPr>
          <w:lang w:val="en-US"/>
        </w:rPr>
        <w:t xml:space="preserve"> </w:t>
      </w:r>
      <w:r w:rsidR="00144C67">
        <w:rPr>
          <w:lang w:val="en-US"/>
        </w:rPr>
        <w:fldChar w:fldCharType="begin" w:fldLock="1"/>
      </w:r>
      <w:r w:rsidR="009037BE">
        <w:rPr>
          <w:lang w:val="en-US"/>
        </w:rPr>
        <w:instrText>ADDIN CSL_CITATION {"citationItems":[{"id":"ITEM-1","itemData":{"author":[{"dropping-particle":"","family":"Kim","given":"Jungyeon","non-dropping-particle":"","parse-names":false,"suffix":""},{"dropping-particle":"","family":"Keshavjee","given":"Salmaan","non-dropping-particle":"","parse-names":false,"suffix":""},{"dropping-particle":"","family":"Atun","given":"Rifat","non-dropping-particle":"","parse-names":false,"suffix":""}],"container-title":"Journal of Global Health","id":"ITEM-1","issue":"2","issued":{"date-parts":[["2020"]]},"publisher":"International Society for Global Health","title":"Trends, patterns and health consequences of multimorbidity among South Korea adults: analysis of nationally representative survey data 2007-2016","type":"article-journal","volume":"10"},"uris":["http://www.mendeley.com/documents/?uuid=354c2436-c932-4c7b-948c-bbe8d083ae78"]}],"mendeley":{"formattedCitation":"[3]","plainTextFormattedCitation":"[3]","previouslyFormattedCitation":"(Kim, Keshavjee, &amp; Atun, 2020)"},"properties":{"noteIndex":0},"schema":"https://github.com/citation-style-language/schema/raw/master/csl-citation.json"}</w:instrText>
      </w:r>
      <w:r w:rsidR="00144C67">
        <w:rPr>
          <w:lang w:val="en-US"/>
        </w:rPr>
        <w:fldChar w:fldCharType="separate"/>
      </w:r>
      <w:r w:rsidR="009037BE" w:rsidRPr="009037BE">
        <w:rPr>
          <w:noProof/>
          <w:lang w:val="en-US"/>
        </w:rPr>
        <w:t>[3]</w:t>
      </w:r>
      <w:r w:rsidR="00144C67">
        <w:rPr>
          <w:lang w:val="en-US"/>
        </w:rPr>
        <w:fldChar w:fldCharType="end"/>
      </w:r>
      <w:r w:rsidR="00B3181D">
        <w:rPr>
          <w:lang w:val="en-US"/>
        </w:rPr>
        <w:t xml:space="preserve">, </w:t>
      </w:r>
      <w:r w:rsidRPr="00D25ABB">
        <w:rPr>
          <w:lang w:val="en-US"/>
        </w:rPr>
        <w:t>and higher risk for premature mortality</w:t>
      </w:r>
      <w:r w:rsidR="00144C67">
        <w:rPr>
          <w:lang w:val="en-US"/>
        </w:rPr>
        <w:t xml:space="preserve"> </w:t>
      </w:r>
      <w:r w:rsidR="00144C67">
        <w:rPr>
          <w:lang w:val="en-US"/>
        </w:rPr>
        <w:fldChar w:fldCharType="begin" w:fldLock="1"/>
      </w:r>
      <w:r w:rsidR="009037BE">
        <w:rPr>
          <w:lang w:val="en-US"/>
        </w:rPr>
        <w:instrText>ADDIN CSL_CITATION {"citationItems":[{"id":"ITEM-1","itemData":{"ISSN":"0884-8734","author":[{"dropping-particle":"","family":"Gallo","given":"Joseph J","non-dropping-particle":"","parse-names":false,"suffix":""},{"dropping-particle":"","family":"Hwang","given":"Seungyoung","non-dropping-particle":"","parse-names":false,"suffix":""},{"dropping-particle":"","family":"Joo","given":"Jin Hui","non-dropping-particle":"","parse-names":false,"suffix":""},{"dropping-particle":"","family":"Bogner","given":"Hillary R","non-dropping-particle":"","parse-names":false,"suffix":""},{"dropping-particle":"","family":"Morales","given":"Knashawn H","non-dropping-particle":"","parse-names":false,"suffix":""},{"dropping-particle":"","family":"Bruce","given":"Martha L","non-dropping-particle":"","parse-names":false,"suffix":""},{"dropping-particle":"","family":"Reynolds","given":"Charles F","non-dropping-particle":"","parse-names":false,"suffix":""}],"container-title":"Journal of general internal medicine","id":"ITEM-1","issued":{"date-parts":[["2016"]]},"page":"380-386","publisher":"Springer","title":"Multimorbidity, depression, and mortality in primary care: randomized clinical trial of an evidence-based depression care management program on mortality risk","type":"article-journal","volume":"31"},"uris":["http://www.mendeley.com/documents/?uuid=89ddfeca-5aa5-4254-90e4-0bc3c55ee86d"]}],"mendeley":{"formattedCitation":"[4]","plainTextFormattedCitation":"[4]","previouslyFormattedCitation":"(Gallo et al., 2016)"},"properties":{"noteIndex":0},"schema":"https://github.com/citation-style-language/schema/raw/master/csl-citation.json"}</w:instrText>
      </w:r>
      <w:r w:rsidR="00144C67">
        <w:rPr>
          <w:lang w:val="en-US"/>
        </w:rPr>
        <w:fldChar w:fldCharType="separate"/>
      </w:r>
      <w:r w:rsidR="009037BE" w:rsidRPr="009037BE">
        <w:rPr>
          <w:noProof/>
          <w:lang w:val="en-US"/>
        </w:rPr>
        <w:t>[4]</w:t>
      </w:r>
      <w:r w:rsidR="00144C67">
        <w:rPr>
          <w:lang w:val="en-US"/>
        </w:rPr>
        <w:fldChar w:fldCharType="end"/>
      </w:r>
      <w:r w:rsidRPr="00D25ABB">
        <w:rPr>
          <w:lang w:val="en-US"/>
        </w:rPr>
        <w:t>.</w:t>
      </w:r>
      <w:r w:rsidRPr="00D25ABB">
        <w:t xml:space="preserve"> </w:t>
      </w:r>
      <w:r w:rsidR="001261C4">
        <w:rPr>
          <w:lang w:val="en-US"/>
        </w:rPr>
        <w:t xml:space="preserve">In addition, a recent systematic review </w:t>
      </w:r>
      <w:r w:rsidR="001261C4" w:rsidRPr="001261C4">
        <w:rPr>
          <w:lang w:val="en-US"/>
        </w:rPr>
        <w:t xml:space="preserve">found </w:t>
      </w:r>
      <w:r w:rsidR="00F163CB">
        <w:rPr>
          <w:lang w:val="en-US"/>
        </w:rPr>
        <w:t xml:space="preserve">that </w:t>
      </w:r>
      <w:r w:rsidR="001261C4">
        <w:rPr>
          <w:lang w:val="en-US"/>
        </w:rPr>
        <w:t xml:space="preserve">multimorbidity </w:t>
      </w:r>
      <w:r w:rsidR="00F163CB">
        <w:rPr>
          <w:lang w:val="en-US"/>
        </w:rPr>
        <w:t xml:space="preserve">is </w:t>
      </w:r>
      <w:r w:rsidR="001261C4" w:rsidRPr="001261C4">
        <w:rPr>
          <w:lang w:val="en-US"/>
        </w:rPr>
        <w:t>associated with increased total</w:t>
      </w:r>
      <w:r w:rsidR="00F163CB">
        <w:rPr>
          <w:lang w:val="en-US"/>
        </w:rPr>
        <w:t xml:space="preserve"> healthcare </w:t>
      </w:r>
      <w:r w:rsidR="001261C4" w:rsidRPr="001261C4">
        <w:rPr>
          <w:lang w:val="en-US"/>
        </w:rPr>
        <w:t>costs</w:t>
      </w:r>
      <w:r w:rsidR="00F163CB">
        <w:rPr>
          <w:lang w:val="en-US"/>
        </w:rPr>
        <w:t xml:space="preserve"> including</w:t>
      </w:r>
      <w:r w:rsidR="001261C4" w:rsidRPr="001261C4">
        <w:rPr>
          <w:lang w:val="en-US"/>
        </w:rPr>
        <w:t xml:space="preserve"> hospital costs, care transition costs, </w:t>
      </w:r>
      <w:r w:rsidR="001E0B59">
        <w:rPr>
          <w:lang w:val="en-US"/>
        </w:rPr>
        <w:t xml:space="preserve">and costs for </w:t>
      </w:r>
      <w:r w:rsidR="001261C4" w:rsidRPr="001261C4">
        <w:rPr>
          <w:lang w:val="en-US"/>
        </w:rPr>
        <w:t>primary car</w:t>
      </w:r>
      <w:r w:rsidR="00C56AB0">
        <w:rPr>
          <w:lang w:val="en-US"/>
        </w:rPr>
        <w:t>e</w:t>
      </w:r>
      <w:r w:rsidR="001261C4" w:rsidRPr="001261C4">
        <w:rPr>
          <w:lang w:val="en-US"/>
        </w:rPr>
        <w:t>, dental care, emergency department</w:t>
      </w:r>
      <w:r w:rsidR="00C56AB0">
        <w:rPr>
          <w:lang w:val="en-US"/>
        </w:rPr>
        <w:t xml:space="preserve"> use</w:t>
      </w:r>
      <w:r w:rsidR="001261C4" w:rsidRPr="001261C4">
        <w:rPr>
          <w:lang w:val="en-US"/>
        </w:rPr>
        <w:t>, and hospitali</w:t>
      </w:r>
      <w:r w:rsidR="00F163CB">
        <w:rPr>
          <w:lang w:val="en-US"/>
        </w:rPr>
        <w:t>zations</w:t>
      </w:r>
      <w:r w:rsidR="00144C67">
        <w:rPr>
          <w:lang w:val="en-US"/>
        </w:rPr>
        <w:t xml:space="preserve"> </w:t>
      </w:r>
      <w:r w:rsidR="00144C67">
        <w:rPr>
          <w:lang w:val="en-US"/>
        </w:rPr>
        <w:fldChar w:fldCharType="begin" w:fldLock="1"/>
      </w:r>
      <w:r w:rsidR="009037BE">
        <w:rPr>
          <w:lang w:val="en-US"/>
        </w:rPr>
        <w:instrText>ADDIN CSL_CITATION {"citationItems":[{"id":"ITEM-1","itemData":{"author":[{"dropping-particle":"","family":"Soley-Bori","given":"Marina","non-dropping-particle":"","parse-names":false,"suffix":""},{"dropping-particle":"","family":"Ashworth","given":"Mark","non-dropping-particle":"","parse-names":false,"suffix":""},{"dropping-particle":"","family":"Bisquera","given":"Alessandra","non-dropping-particle":"","parse-names":false,"suffix":""},{"dropping-particle":"","family":"Dodhia","given":"Hiten","non-dropping-particle":"","parse-names":false,"suffix":""},{"dropping-particle":"","family":"Lynch","given":"Rebecca","non-dropping-particle":"","parse-names":false,"suffix":""},{"dropping-particle":"","family":"Wang","given":"Yanzhong","non-dropping-particle":"","parse-names":false,"suffix":""},{"dropping-particle":"","family":"Fox-Rushby","given":"Julia","non-dropping-particle":"","parse-names":false,"suffix":""}],"container-title":"British Journal of General Practice","id":"ITEM-1","issue":"702","issued":{"date-parts":[["2021"]]},"note":"pmid:33257463","page":"e39-e46","publisher":"British Journal of General Practice","title":"Impact of multimorbidity on healthcare costs and utilisation: a systematic review of the UK literature","type":"article-journal","volume":"71"},"uris":["http://www.mendeley.com/documents/?uuid=115a5816-4bac-3090-80dc-a8784d1f515b"]}],"mendeley":{"formattedCitation":"[5]","plainTextFormattedCitation":"[5]","previouslyFormattedCitation":"(Soley-Bori et al., 2021)"},"properties":{"noteIndex":0},"schema":"https://github.com/citation-style-language/schema/raw/master/csl-citation.json"}</w:instrText>
      </w:r>
      <w:r w:rsidR="00144C67">
        <w:rPr>
          <w:lang w:val="en-US"/>
        </w:rPr>
        <w:fldChar w:fldCharType="separate"/>
      </w:r>
      <w:r w:rsidR="009037BE" w:rsidRPr="009037BE">
        <w:rPr>
          <w:noProof/>
          <w:lang w:val="en-US"/>
        </w:rPr>
        <w:t>[5]</w:t>
      </w:r>
      <w:r w:rsidR="00144C67">
        <w:rPr>
          <w:lang w:val="en-US"/>
        </w:rPr>
        <w:fldChar w:fldCharType="end"/>
      </w:r>
      <w:r w:rsidR="001261C4" w:rsidRPr="001261C4">
        <w:rPr>
          <w:lang w:val="en-US"/>
        </w:rPr>
        <w:t>.</w:t>
      </w:r>
      <w:r w:rsidR="001261C4">
        <w:rPr>
          <w:lang w:val="en-US"/>
        </w:rPr>
        <w:t xml:space="preserve"> </w:t>
      </w:r>
      <w:r w:rsidR="00E30719">
        <w:rPr>
          <w:lang w:val="en-US"/>
        </w:rPr>
        <w:t>Multimorbidity has a global prevalence of 42.4%</w:t>
      </w:r>
      <w:r w:rsidR="00144C67">
        <w:rPr>
          <w:lang w:val="en-US"/>
        </w:rPr>
        <w:t xml:space="preserve"> </w:t>
      </w:r>
      <w:r w:rsidR="00144C67">
        <w:rPr>
          <w:lang w:val="en-US"/>
        </w:rPr>
        <w:fldChar w:fldCharType="begin" w:fldLock="1"/>
      </w:r>
      <w:r w:rsidR="009037BE">
        <w:rPr>
          <w:lang w:val="en-US"/>
        </w:rPr>
        <w:instrText>ADDIN CSL_CITATION {"citationItems":[{"id":"ITEM-1","itemData":{"ISSN":"2044-6055","author":[{"dropping-particle":"","family":"Ho","given":"Iris Szu-Szu","non-dropping-particle":"","parse-names":false,"suffix":""},{"dropping-particle":"","family":"Azcoaga-Lorenzo","given":"Amaya","non-dropping-particle":"","parse-names":false,"suffix":""},{"dropping-particle":"","family":"Akbari","given":"Ashley","non-dropping-particle":"","parse-names":false,"suffix":""},{"dropping-particle":"","family":"Davies","given":"Jim","non-dropping-particle":"","parse-names":false,"suffix":""},{"dropping-particle":"","family":"Hodgins","given":"Peter","non-dropping-particle":"","parse-names":false,"suffix":""},{"dropping-particle":"","family":"Khunti","given":"Kamlesh","non-dropping-particle":"","parse-names":false,"suffix":""},{"dropping-particle":"","family":"Kadam","given":"Umesh","non-dropping-particle":"","parse-names":false,"suffix":""},{"dropping-particle":"","family":"Lyons","given":"Ronan","non-dropping-particle":"","parse-names":false,"suffix":""},{"dropping-particle":"","family":"McCowan","given":"Colin","non-dropping-particle":"","parse-names":false,"suffix":""},{"dropping-particle":"","family":"Mercer","given":"Stewart W","non-dropping-particle":"","parse-names":false,"suffix":""}],"container-title":"BMJ open","id":"ITEM-1","issue":"4","issued":{"date-parts":[["2022"]]},"page":"e057017","publisher":"British Medical Journal Publishing Group","title":"Variation in the estimated prevalence of multimorbidity: systematic review and meta-analysis of 193 international studies","type":"article-journal","volume":"12"},"uris":["http://www.mendeley.com/documents/?uuid=8c82ff83-b386-45b2-97d7-ae3b44a72f2a"]}],"mendeley":{"formattedCitation":"[6]","plainTextFormattedCitation":"[6]","previouslyFormattedCitation":"(Ho et al., 2022)"},"properties":{"noteIndex":0},"schema":"https://github.com/citation-style-language/schema/raw/master/csl-citation.json"}</w:instrText>
      </w:r>
      <w:r w:rsidR="00144C67">
        <w:rPr>
          <w:lang w:val="en-US"/>
        </w:rPr>
        <w:fldChar w:fldCharType="separate"/>
      </w:r>
      <w:r w:rsidR="009037BE" w:rsidRPr="009037BE">
        <w:rPr>
          <w:noProof/>
          <w:lang w:val="en-US"/>
        </w:rPr>
        <w:t>[6]</w:t>
      </w:r>
      <w:r w:rsidR="00144C67">
        <w:rPr>
          <w:lang w:val="en-US"/>
        </w:rPr>
        <w:fldChar w:fldCharType="end"/>
      </w:r>
      <w:r w:rsidR="00144C67">
        <w:rPr>
          <w:lang w:val="en-US"/>
        </w:rPr>
        <w:t xml:space="preserve">, </w:t>
      </w:r>
      <w:r w:rsidR="00E30719">
        <w:rPr>
          <w:lang w:val="en-US"/>
        </w:rPr>
        <w:t>and</w:t>
      </w:r>
      <w:r w:rsidR="001D74AD">
        <w:rPr>
          <w:lang w:val="en-US"/>
        </w:rPr>
        <w:t xml:space="preserve"> </w:t>
      </w:r>
      <w:r w:rsidR="00E30719">
        <w:rPr>
          <w:lang w:val="en-US"/>
        </w:rPr>
        <w:t>i</w:t>
      </w:r>
      <w:r w:rsidR="00F163CB">
        <w:rPr>
          <w:lang w:val="en-US"/>
        </w:rPr>
        <w:t>n the UK, the prevalence of multimorbidity has been reported to be high</w:t>
      </w:r>
      <w:r w:rsidR="00791DE9">
        <w:rPr>
          <w:lang w:val="en-US"/>
        </w:rPr>
        <w:t xml:space="preserve"> (</w:t>
      </w:r>
      <w:r w:rsidR="00E30719">
        <w:rPr>
          <w:lang w:val="en-US"/>
        </w:rPr>
        <w:t xml:space="preserve">approximately 54% for those aged </w:t>
      </w:r>
      <w:r w:rsidR="00791DE9">
        <w:rPr>
          <w:lang w:val="en-US"/>
        </w:rPr>
        <w:t>≥</w:t>
      </w:r>
      <w:r w:rsidR="00E30719">
        <w:rPr>
          <w:lang w:val="en-US"/>
        </w:rPr>
        <w:t>65 years</w:t>
      </w:r>
      <w:r w:rsidR="00791DE9">
        <w:rPr>
          <w:lang w:val="en-US"/>
        </w:rPr>
        <w:t xml:space="preserve">) </w:t>
      </w:r>
      <w:r w:rsidR="00F427B2">
        <w:rPr>
          <w:lang w:val="en-US"/>
        </w:rPr>
        <w:t>and this is predicted to rise</w:t>
      </w:r>
      <w:r w:rsidR="00144C67">
        <w:rPr>
          <w:lang w:val="en-US"/>
        </w:rPr>
        <w:t xml:space="preserve"> </w:t>
      </w:r>
      <w:r w:rsidR="00144C67">
        <w:rPr>
          <w:lang w:val="en-US"/>
        </w:rPr>
        <w:fldChar w:fldCharType="begin" w:fldLock="1"/>
      </w:r>
      <w:r w:rsidR="009037BE">
        <w:rPr>
          <w:lang w:val="en-US"/>
        </w:rPr>
        <w:instrText>ADDIN CSL_CITATION {"citationItems":[{"id":"ITEM-1","itemData":{"URL":"https://evidence.nihr.ac.uk/alert/multi-morbidity-predicted-to-increase-in-the-uk-over-the-next-20-years/","author":[{"dropping-particle":"","family":"National Institute for Health Research","given":"| NIHR","non-dropping-particle":"","parse-names":false,"suffix":""}],"id":"ITEM-1","issue":"25/11/","issued":{"date-parts":[["2018"]]},"title":"Multi-morbidity predicted to increase in the UK over the next 20 years","type":"webpage","volume":"2021"},"uris":["http://www.mendeley.com/documents/?uuid=9b9d605d-e021-31a3-a2c9-7167052c543e"]}],"mendeley":{"formattedCitation":"[7]","plainTextFormattedCitation":"[7]","previouslyFormattedCitation":"(National Institute for Health Research, 2018)"},"properties":{"noteIndex":0},"schema":"https://github.com/citation-style-language/schema/raw/master/csl-citation.json"}</w:instrText>
      </w:r>
      <w:r w:rsidR="00144C67">
        <w:rPr>
          <w:lang w:val="en-US"/>
        </w:rPr>
        <w:fldChar w:fldCharType="separate"/>
      </w:r>
      <w:r w:rsidR="009037BE" w:rsidRPr="009037BE">
        <w:rPr>
          <w:noProof/>
          <w:lang w:val="en-US"/>
        </w:rPr>
        <w:t>[7]</w:t>
      </w:r>
      <w:r w:rsidR="00144C67">
        <w:rPr>
          <w:lang w:val="en-US"/>
        </w:rPr>
        <w:fldChar w:fldCharType="end"/>
      </w:r>
      <w:r w:rsidR="00F427B2">
        <w:rPr>
          <w:lang w:val="en-US"/>
        </w:rPr>
        <w:t xml:space="preserve"> </w:t>
      </w:r>
      <w:r w:rsidR="00F163CB">
        <w:rPr>
          <w:lang w:val="en-US"/>
        </w:rPr>
        <w:t xml:space="preserve">mainly due to rapid ageing occurring in this </w:t>
      </w:r>
      <w:r w:rsidR="004721F0">
        <w:rPr>
          <w:lang w:val="en-US"/>
        </w:rPr>
        <w:t>country</w:t>
      </w:r>
      <w:r w:rsidR="00F163CB">
        <w:rPr>
          <w:lang w:val="en-US"/>
        </w:rPr>
        <w:t xml:space="preserve">. </w:t>
      </w:r>
      <w:r w:rsidR="001261C4">
        <w:rPr>
          <w:lang w:val="en-US"/>
        </w:rPr>
        <w:t>Considering the profound impact of multimorbidity</w:t>
      </w:r>
      <w:r w:rsidR="008D470A">
        <w:rPr>
          <w:lang w:val="en-US"/>
        </w:rPr>
        <w:t xml:space="preserve"> and its high prevalence</w:t>
      </w:r>
      <w:r w:rsidR="00F163CB">
        <w:rPr>
          <w:lang w:val="en-US"/>
        </w:rPr>
        <w:t>,</w:t>
      </w:r>
      <w:r w:rsidR="002750DD">
        <w:rPr>
          <w:lang w:val="en-US"/>
        </w:rPr>
        <w:t xml:space="preserve"> </w:t>
      </w:r>
      <w:r w:rsidR="001261C4">
        <w:rPr>
          <w:lang w:val="en-US"/>
        </w:rPr>
        <w:t xml:space="preserve">it is of utmost importance to identify groups </w:t>
      </w:r>
      <w:r w:rsidR="00BB56EF">
        <w:rPr>
          <w:lang w:val="en-US"/>
        </w:rPr>
        <w:t>at particularly high</w:t>
      </w:r>
      <w:r w:rsidR="001261C4">
        <w:rPr>
          <w:lang w:val="en-US"/>
        </w:rPr>
        <w:t xml:space="preserve"> risk</w:t>
      </w:r>
      <w:r w:rsidR="00F163CB">
        <w:rPr>
          <w:lang w:val="en-US"/>
        </w:rPr>
        <w:t xml:space="preserve"> </w:t>
      </w:r>
      <w:r w:rsidR="001D7EB6">
        <w:rPr>
          <w:lang w:val="en-US"/>
        </w:rPr>
        <w:t>for</w:t>
      </w:r>
      <w:r w:rsidR="00F163CB">
        <w:rPr>
          <w:lang w:val="en-US"/>
        </w:rPr>
        <w:t xml:space="preserve"> this condition</w:t>
      </w:r>
      <w:r w:rsidR="001261C4">
        <w:rPr>
          <w:lang w:val="en-US"/>
        </w:rPr>
        <w:t xml:space="preserve"> to inform targeted intervention and policy. </w:t>
      </w:r>
    </w:p>
    <w:p w14:paraId="1EB8D399" w14:textId="77777777" w:rsidR="008D1BB0" w:rsidRDefault="008D1BB0" w:rsidP="00C63A11">
      <w:pPr>
        <w:spacing w:line="480" w:lineRule="auto"/>
        <w:rPr>
          <w:lang w:val="en-US"/>
        </w:rPr>
      </w:pPr>
    </w:p>
    <w:p w14:paraId="5B43D85F" w14:textId="466F7C8D" w:rsidR="00195F59" w:rsidRDefault="001261C4" w:rsidP="002376F7">
      <w:pPr>
        <w:spacing w:line="480" w:lineRule="auto"/>
        <w:rPr>
          <w:lang w:val="en-US"/>
        </w:rPr>
      </w:pPr>
      <w:r>
        <w:rPr>
          <w:lang w:val="en-US"/>
        </w:rPr>
        <w:t xml:space="preserve">One group at potentially high risk </w:t>
      </w:r>
      <w:r w:rsidR="004D7D90">
        <w:rPr>
          <w:lang w:val="en-US"/>
        </w:rPr>
        <w:t xml:space="preserve">for </w:t>
      </w:r>
      <w:r w:rsidR="004F13CB">
        <w:rPr>
          <w:lang w:val="en-US"/>
        </w:rPr>
        <w:t>multimorbidity are</w:t>
      </w:r>
      <w:r>
        <w:rPr>
          <w:lang w:val="en-US"/>
        </w:rPr>
        <w:t xml:space="preserve"> those with eating disorders</w:t>
      </w:r>
      <w:r w:rsidR="00A85D6F">
        <w:rPr>
          <w:lang w:val="en-US"/>
        </w:rPr>
        <w:t xml:space="preserve"> </w:t>
      </w:r>
      <w:r w:rsidR="00E92D95">
        <w:rPr>
          <w:lang w:val="en-US"/>
        </w:rPr>
        <w:t>or</w:t>
      </w:r>
      <w:r w:rsidR="00F47000">
        <w:rPr>
          <w:lang w:val="en-US"/>
        </w:rPr>
        <w:t xml:space="preserve"> wider </w:t>
      </w:r>
      <w:r w:rsidR="00942ED6">
        <w:rPr>
          <w:lang w:val="en-US"/>
        </w:rPr>
        <w:t>abnormal eating behavior</w:t>
      </w:r>
      <w:r w:rsidR="00E92D95">
        <w:rPr>
          <w:lang w:val="en-US"/>
        </w:rPr>
        <w:t>,</w:t>
      </w:r>
      <w:r w:rsidR="00942ED6">
        <w:rPr>
          <w:lang w:val="en-US"/>
        </w:rPr>
        <w:t xml:space="preserve"> </w:t>
      </w:r>
      <w:r w:rsidR="00A85D6F">
        <w:rPr>
          <w:lang w:val="en-US"/>
        </w:rPr>
        <w:t xml:space="preserve">as previous studies have shown that these conditions </w:t>
      </w:r>
      <w:r w:rsidR="000753AD">
        <w:rPr>
          <w:lang w:val="en-US"/>
        </w:rPr>
        <w:t xml:space="preserve">may increase risk for </w:t>
      </w:r>
      <w:r w:rsidR="000977E9">
        <w:rPr>
          <w:lang w:val="en-US"/>
        </w:rPr>
        <w:t>a variety of</w:t>
      </w:r>
      <w:r w:rsidR="000753AD">
        <w:rPr>
          <w:lang w:val="en-US"/>
        </w:rPr>
        <w:t xml:space="preserve"> physical conditions such as </w:t>
      </w:r>
      <w:r w:rsidR="006F6023">
        <w:rPr>
          <w:lang w:val="en-US"/>
        </w:rPr>
        <w:t>osteoporosis</w:t>
      </w:r>
      <w:r w:rsidR="00144C67">
        <w:rPr>
          <w:lang w:val="en-US"/>
        </w:rPr>
        <w:t xml:space="preserve"> </w:t>
      </w:r>
      <w:r w:rsidR="00144C67">
        <w:rPr>
          <w:lang w:val="en-US"/>
        </w:rPr>
        <w:fldChar w:fldCharType="begin" w:fldLock="1"/>
      </w:r>
      <w:r w:rsidR="009037BE">
        <w:rPr>
          <w:lang w:val="en-US"/>
        </w:rPr>
        <w:instrText>ADDIN CSL_CITATION {"citationItems":[{"id":"ITEM-1","itemData":{"ISSN":"0001-690X","author":[{"dropping-particle":"","family":"Solmi","given":"M","non-dropping-particle":"","parse-names":false,"suffix":""},{"dropping-particle":"","family":"Veronese","given":"N","non-dropping-particle":"","parse-names":false,"suffix":""},{"dropping-particle":"","family":"Correll","given":"C U","non-dropping-particle":"","parse-names":false,"suffix":""},{"dropping-particle":"","family":"Favaro","given":"A","non-dropping-particle":"","parse-names":false,"suffix":""},{"dropping-particle":"","family":"Santonastaso","given":"P","non-dropping-particle":"","parse-names":false,"suffix":""},{"dropping-particle":"","family":"Caregaro","given":"L","non-dropping-particle":"","parse-names":false,"suffix":""},{"dropping-particle":"","family":"Vancampfort","given":"Davy","non-dropping-particle":"","parse-names":false,"suffix":""},{"dropping-particle":"","family":"Luchini","given":"C","non-dropping-particle":"","parse-names":false,"suffix":""},{"dropping-particle":"","family":"Hert","given":"Marc","non-dropping-particle":"De","parse-names":false,"suffix":""},{"dropping-particle":"","family":"Stubbs","given":"B","non-dropping-particle":"","parse-names":false,"suffix":""}],"container-title":"Acta Psychiatrica Scandinavica","id":"ITEM-1","issue":"5","issued":{"date-parts":[["2016"]]},"page":"341-351","publisher":"Wiley Online Library","title":"Bone mineral density, osteoporosis, and fractures among people with eating disorders: A systematic review and meta‐analysis","type":"article-journal","volume":"133"},"uris":["http://www.mendeley.com/documents/?uuid=32227d17-b6d6-4bd4-9fc2-79910f4fcb16"]}],"mendeley":{"formattedCitation":"[8]","plainTextFormattedCitation":"[8]","previouslyFormattedCitation":"(Solmi et al., 2016)"},"properties":{"noteIndex":0},"schema":"https://github.com/citation-style-language/schema/raw/master/csl-citation.json"}</w:instrText>
      </w:r>
      <w:r w:rsidR="00144C67">
        <w:rPr>
          <w:lang w:val="en-US"/>
        </w:rPr>
        <w:fldChar w:fldCharType="separate"/>
      </w:r>
      <w:r w:rsidR="009037BE" w:rsidRPr="009037BE">
        <w:rPr>
          <w:noProof/>
          <w:lang w:val="en-US"/>
        </w:rPr>
        <w:t>[8]</w:t>
      </w:r>
      <w:r w:rsidR="00144C67">
        <w:rPr>
          <w:lang w:val="en-US"/>
        </w:rPr>
        <w:fldChar w:fldCharType="end"/>
      </w:r>
      <w:r w:rsidR="006F6023">
        <w:rPr>
          <w:lang w:val="en-US"/>
        </w:rPr>
        <w:t>,</w:t>
      </w:r>
      <w:r w:rsidR="00554066">
        <w:rPr>
          <w:lang w:val="en-US"/>
        </w:rPr>
        <w:t xml:space="preserve"> endocrine disorders</w:t>
      </w:r>
      <w:r w:rsidR="000753AD">
        <w:rPr>
          <w:lang w:val="en-US"/>
        </w:rPr>
        <w:t xml:space="preserve">, </w:t>
      </w:r>
      <w:r w:rsidR="00554066">
        <w:rPr>
          <w:lang w:val="en-US"/>
        </w:rPr>
        <w:t>and kidney failure</w:t>
      </w:r>
      <w:r w:rsidR="00144C67">
        <w:rPr>
          <w:lang w:val="en-US"/>
        </w:rPr>
        <w:t xml:space="preserve"> </w:t>
      </w:r>
      <w:r w:rsidR="00144C67">
        <w:rPr>
          <w:lang w:val="en-US"/>
        </w:rPr>
        <w:fldChar w:fldCharType="begin" w:fldLock="1"/>
      </w:r>
      <w:r w:rsidR="009037BE">
        <w:rPr>
          <w:lang w:val="en-US"/>
        </w:rPr>
        <w:instrText>ADDIN CSL_CITATION {"citationItems":[{"id":"ITEM-1","itemData":{"ISSN":"1660-2110","author":[{"dropping-particle":"","family":"Cavoli","given":"Gioacchino Li","non-dropping-particle":"","parse-names":false,"suffix":""},{"dropping-particle":"","family":"Mulè","given":"Giuseppe","non-dropping-particle":"","parse-names":false,"suffix":""},{"dropping-particle":"","family":"Rotolo","given":"Ugo","non-dropping-particle":"","parse-names":false,"suffix":""}],"container-title":"Nephron Clinical Practice","id":"ITEM-1","issue":"4","issued":{"date-parts":[["2011"]]},"page":"c338-c341","publisher":"Karger Publishers","title":"Renal involvement in psychological eating disorders","type":"article-journal","volume":"119"},"uris":["http://www.mendeley.com/documents/?uuid=84390ba9-0d0f-4c4a-9e37-dbc15c7574a9"]}],"mendeley":{"formattedCitation":"[9]","plainTextFormattedCitation":"[9]","previouslyFormattedCitation":"(Cavoli, Mulè, &amp; Rotolo, 2011)"},"properties":{"noteIndex":0},"schema":"https://github.com/citation-style-language/schema/raw/master/csl-citation.json"}</w:instrText>
      </w:r>
      <w:r w:rsidR="00144C67">
        <w:rPr>
          <w:lang w:val="en-US"/>
        </w:rPr>
        <w:fldChar w:fldCharType="separate"/>
      </w:r>
      <w:r w:rsidR="009037BE" w:rsidRPr="009037BE">
        <w:rPr>
          <w:noProof/>
          <w:lang w:val="en-US"/>
        </w:rPr>
        <w:t>[9]</w:t>
      </w:r>
      <w:r w:rsidR="00144C67">
        <w:rPr>
          <w:lang w:val="en-US"/>
        </w:rPr>
        <w:fldChar w:fldCharType="end"/>
      </w:r>
      <w:r w:rsidR="000753AD">
        <w:rPr>
          <w:lang w:val="en-US"/>
        </w:rPr>
        <w:t xml:space="preserve">. </w:t>
      </w:r>
      <w:r w:rsidR="00195F59" w:rsidRPr="00195F59">
        <w:rPr>
          <w:lang w:val="en-US"/>
        </w:rPr>
        <w:t>Eating di</w:t>
      </w:r>
      <w:r w:rsidR="00535BE8">
        <w:rPr>
          <w:lang w:val="en-US"/>
        </w:rPr>
        <w:t>sorders</w:t>
      </w:r>
      <w:r w:rsidR="00195F59" w:rsidRPr="00195F59">
        <w:rPr>
          <w:lang w:val="en-US"/>
        </w:rPr>
        <w:t xml:space="preserve"> can be defined as a pathological relationship with food that leads to significant disruptions in a person's day to day life, and can lead to severe consequences, including </w:t>
      </w:r>
      <w:r w:rsidR="000753AD">
        <w:rPr>
          <w:lang w:val="en-US"/>
        </w:rPr>
        <w:t xml:space="preserve">premature </w:t>
      </w:r>
      <w:r w:rsidR="00195F59">
        <w:rPr>
          <w:lang w:val="en-US"/>
        </w:rPr>
        <w:t>mortality</w:t>
      </w:r>
      <w:r w:rsidR="00195F59" w:rsidRPr="00195F59">
        <w:rPr>
          <w:lang w:val="en-US"/>
        </w:rPr>
        <w:t xml:space="preserve">. These disorders have defined clinical criteria </w:t>
      </w:r>
      <w:r w:rsidR="000753AD">
        <w:rPr>
          <w:lang w:val="en-US"/>
        </w:rPr>
        <w:t xml:space="preserve">based on the </w:t>
      </w:r>
      <w:r w:rsidR="00195F59" w:rsidRPr="00195F59">
        <w:rPr>
          <w:lang w:val="en-US"/>
        </w:rPr>
        <w:t>Diagnostic and Statistical manual of mental disorders (DSM-</w:t>
      </w:r>
      <w:r w:rsidR="00E92D95">
        <w:rPr>
          <w:lang w:val="en-US"/>
        </w:rPr>
        <w:t>5-TR</w:t>
      </w:r>
      <w:r w:rsidR="00195F59" w:rsidRPr="00195F59">
        <w:rPr>
          <w:lang w:val="en-US"/>
        </w:rPr>
        <w:t>)</w:t>
      </w:r>
      <w:r w:rsidR="00144C67">
        <w:rPr>
          <w:lang w:val="en-US"/>
        </w:rPr>
        <w:t xml:space="preserve"> </w:t>
      </w:r>
      <w:r w:rsidR="00144C67">
        <w:rPr>
          <w:lang w:val="en-US"/>
        </w:rPr>
        <w:fldChar w:fldCharType="begin" w:fldLock="1"/>
      </w:r>
      <w:r w:rsidR="009037BE">
        <w:rPr>
          <w:lang w:val="en-US"/>
        </w:rPr>
        <w:instrText>ADDIN CSL_CITATION {"citationItems":[{"id":"ITEM-1","itemData":{"author":[{"dropping-particle":"","family":"American Psychiatric Association","given":"","non-dropping-particle":"","parse-names":false,"suffix":""}],"id":"ITEM-1","issued":{"date-parts":[["2013"]]},"publisher":"American Psychiatric Pub","title":"Diagnostic and statistical manual of mental disorders (DSM-5®)","type":"book"},"uris":["http://www.mendeley.com/documents/?uuid=803eeace-508f-393d-8f6a-32736f90f7df"]}],"mendeley":{"formattedCitation":"[10]","plainTextFormattedCitation":"[10]","previouslyFormattedCitation":"(American Psychiatric Association, 2013)"},"properties":{"noteIndex":0},"schema":"https://github.com/citation-style-language/schema/raw/master/csl-citation.json"}</w:instrText>
      </w:r>
      <w:r w:rsidR="00144C67">
        <w:rPr>
          <w:lang w:val="en-US"/>
        </w:rPr>
        <w:fldChar w:fldCharType="separate"/>
      </w:r>
      <w:r w:rsidR="009037BE" w:rsidRPr="009037BE">
        <w:rPr>
          <w:noProof/>
          <w:lang w:val="en-US"/>
        </w:rPr>
        <w:t>[10]</w:t>
      </w:r>
      <w:r w:rsidR="00144C67">
        <w:rPr>
          <w:lang w:val="en-US"/>
        </w:rPr>
        <w:fldChar w:fldCharType="end"/>
      </w:r>
      <w:r w:rsidR="00195F59" w:rsidRPr="00195F59">
        <w:rPr>
          <w:lang w:val="en-US"/>
        </w:rPr>
        <w:t>,</w:t>
      </w:r>
      <w:r w:rsidR="00144C67">
        <w:rPr>
          <w:lang w:val="en-US"/>
        </w:rPr>
        <w:t xml:space="preserve"> </w:t>
      </w:r>
      <w:r w:rsidR="00195F59" w:rsidRPr="00195F59">
        <w:rPr>
          <w:lang w:val="en-US"/>
        </w:rPr>
        <w:t xml:space="preserve">or the International Classification of Diseases </w:t>
      </w:r>
      <w:r w:rsidR="00195F59">
        <w:rPr>
          <w:lang w:val="en-US"/>
        </w:rPr>
        <w:t xml:space="preserve">11 </w:t>
      </w:r>
      <w:r w:rsidR="00195F59" w:rsidRPr="00195F59">
        <w:rPr>
          <w:lang w:val="en-US"/>
        </w:rPr>
        <w:t>(ICD-1</w:t>
      </w:r>
      <w:r w:rsidR="00195F59">
        <w:rPr>
          <w:lang w:val="en-US"/>
        </w:rPr>
        <w:t>1</w:t>
      </w:r>
      <w:r w:rsidR="00195F59" w:rsidRPr="00195F59">
        <w:rPr>
          <w:lang w:val="en-US"/>
        </w:rPr>
        <w:t>)</w:t>
      </w:r>
      <w:r w:rsidR="00482A18">
        <w:rPr>
          <w:lang w:val="en-US"/>
        </w:rPr>
        <w:t xml:space="preserve"> </w:t>
      </w:r>
      <w:r w:rsidR="00482A18">
        <w:rPr>
          <w:lang w:val="en-US"/>
        </w:rPr>
        <w:fldChar w:fldCharType="begin" w:fldLock="1"/>
      </w:r>
      <w:r w:rsidR="009037BE">
        <w:rPr>
          <w:lang w:val="en-US"/>
        </w:rPr>
        <w:instrText>ADDIN CSL_CITATION {"citationItems":[{"id":"ITEM-1","itemData":{"URL":"https://www.who.int/standards/classifications/classification-of-diseases","accessed":{"date-parts":[["2023","3","13"]]},"author":[{"dropping-particle":"","family":"World health organization","given":"","non-dropping-particle":"","parse-names":false,"suffix":""}],"id":"ITEM-1","issued":{"date-parts":[["2023"]]},"title":"International Statistical Classification of Diseases and Related Health Problems (ICD)","type":"webpage"},"uris":["http://www.mendeley.com/documents/?uuid=e2881e14-c712-4dfb-9955-a7720d588d3c"]}],"mendeley":{"formattedCitation":"[11]","plainTextFormattedCitation":"[11]","previouslyFormattedCitation":"(World health organization, 2023)"},"properties":{"noteIndex":0},"schema":"https://github.com/citation-style-language/schema/raw/master/csl-citation.json"}</w:instrText>
      </w:r>
      <w:r w:rsidR="00482A18">
        <w:rPr>
          <w:lang w:val="en-US"/>
        </w:rPr>
        <w:fldChar w:fldCharType="separate"/>
      </w:r>
      <w:r w:rsidR="009037BE" w:rsidRPr="009037BE">
        <w:rPr>
          <w:noProof/>
          <w:lang w:val="en-US"/>
        </w:rPr>
        <w:t>[11]</w:t>
      </w:r>
      <w:r w:rsidR="00482A18">
        <w:rPr>
          <w:lang w:val="en-US"/>
        </w:rPr>
        <w:fldChar w:fldCharType="end"/>
      </w:r>
      <w:r w:rsidR="00482A18">
        <w:rPr>
          <w:lang w:val="en-US"/>
        </w:rPr>
        <w:t xml:space="preserve">, </w:t>
      </w:r>
      <w:r w:rsidR="00535260" w:rsidRPr="00E30719">
        <w:rPr>
          <w:rStyle w:val="Hyperlink"/>
          <w:color w:val="000000" w:themeColor="text1"/>
          <w:u w:val="none"/>
          <w:lang w:val="en-US"/>
        </w:rPr>
        <w:t>and</w:t>
      </w:r>
      <w:r w:rsidR="00195F59" w:rsidRPr="00E30719">
        <w:rPr>
          <w:color w:val="000000" w:themeColor="text1"/>
          <w:lang w:val="en-US"/>
        </w:rPr>
        <w:t xml:space="preserve"> </w:t>
      </w:r>
      <w:r w:rsidR="00067B0E" w:rsidRPr="00E30719">
        <w:rPr>
          <w:color w:val="000000" w:themeColor="text1"/>
          <w:lang w:val="en-US"/>
        </w:rPr>
        <w:t xml:space="preserve">an estimated </w:t>
      </w:r>
      <w:r w:rsidR="00067B0E" w:rsidRPr="00F22497">
        <w:rPr>
          <w:lang w:val="en-US"/>
        </w:rPr>
        <w:t xml:space="preserve">70 million </w:t>
      </w:r>
      <w:r w:rsidR="00150F43">
        <w:rPr>
          <w:lang w:val="en-US"/>
        </w:rPr>
        <w:t xml:space="preserve">people </w:t>
      </w:r>
      <w:r w:rsidR="00067B0E" w:rsidRPr="00F22497">
        <w:rPr>
          <w:lang w:val="en-US"/>
        </w:rPr>
        <w:t xml:space="preserve">worldwide suffer from eating </w:t>
      </w:r>
      <w:r w:rsidR="00E92D95">
        <w:rPr>
          <w:lang w:val="en-US"/>
        </w:rPr>
        <w:t>di</w:t>
      </w:r>
      <w:r w:rsidR="00535BE8">
        <w:rPr>
          <w:lang w:val="en-US"/>
        </w:rPr>
        <w:t>sorders</w:t>
      </w:r>
      <w:r w:rsidR="00464649">
        <w:rPr>
          <w:lang w:val="en-US"/>
        </w:rPr>
        <w:t xml:space="preserve"> </w:t>
      </w:r>
      <w:r w:rsidR="00464649">
        <w:rPr>
          <w:lang w:val="en-US"/>
        </w:rPr>
        <w:fldChar w:fldCharType="begin" w:fldLock="1"/>
      </w:r>
      <w:r w:rsidR="009037BE">
        <w:rPr>
          <w:lang w:val="en-US"/>
        </w:rPr>
        <w:instrText>ADDIN CSL_CITATION {"citationItems":[{"id":"ITEM-1","itemData":{"author":[{"dropping-particle":"","family":"Sardar","given":"Muhammad Rizwan","non-dropping-particle":"","parse-names":false,"suffix":""},{"dropping-particle":"","family":"Greway","given":"Andrea","non-dropping-particle":"","parse-names":false,"suffix":""},{"dropping-particle":"","family":"DeAngelis","given":"Michael","non-dropping-particle":"","parse-names":false,"suffix":""},{"dropping-particle":"","family":"Tysko","given":"Erin O'Malley","non-dropping-particle":"","parse-names":false,"suffix":""},{"dropping-particle":"","family":"Lehmann","given":"Shawn","non-dropping-particle":"","parse-names":false,"suffix":""},{"dropping-particle":"","family":"Wohlstetter","given":"Melinda","non-dropping-particle":"","parse-names":false,"suffix":""},{"dropping-particle":"","family":"Patel","given":"Riti","non-dropping-particle":"","parse-names":false,"suffix":""}],"container-title":"Heart Views: The Official Journal of the Gulf Heart Association","id":"ITEM-1","issue":"3","issued":{"date-parts":[["2015"]]},"page":"88","publisher":"Wolters Kluwer--Medknow Publications","title":"Cardiovascular impact of eating disorders in adults: a single center experience and literature review","type":"article-journal","volume":"16"},"uris":["http://www.mendeley.com/documents/?uuid=153cbd51-facf-4b73-b8f9-646546573577"]}],"mendeley":{"formattedCitation":"[12]","plainTextFormattedCitation":"[12]","previouslyFormattedCitation":"(Sardar et al., 2015)"},"properties":{"noteIndex":0},"schema":"https://github.com/citation-style-language/schema/raw/master/csl-citation.json"}</w:instrText>
      </w:r>
      <w:r w:rsidR="00464649">
        <w:rPr>
          <w:lang w:val="en-US"/>
        </w:rPr>
        <w:fldChar w:fldCharType="separate"/>
      </w:r>
      <w:r w:rsidR="009037BE" w:rsidRPr="009037BE">
        <w:rPr>
          <w:noProof/>
          <w:lang w:val="en-US"/>
        </w:rPr>
        <w:t>[12]</w:t>
      </w:r>
      <w:r w:rsidR="00464649">
        <w:rPr>
          <w:lang w:val="en-US"/>
        </w:rPr>
        <w:fldChar w:fldCharType="end"/>
      </w:r>
      <w:r w:rsidR="00067B0E" w:rsidRPr="00F22497">
        <w:rPr>
          <w:lang w:val="en-US"/>
        </w:rPr>
        <w:t>.</w:t>
      </w:r>
      <w:r w:rsidR="00067B0E" w:rsidRPr="00F22497">
        <w:t xml:space="preserve"> </w:t>
      </w:r>
      <w:r w:rsidR="0060244D">
        <w:rPr>
          <w:lang w:val="en-US"/>
        </w:rPr>
        <w:t xml:space="preserve">In particular, in the UK, it is thought that between </w:t>
      </w:r>
      <w:r w:rsidR="0060244D" w:rsidRPr="00554066">
        <w:rPr>
          <w:lang w:val="en-US"/>
        </w:rPr>
        <w:t xml:space="preserve">1.25 and 3.4 </w:t>
      </w:r>
      <w:r w:rsidR="0060244D" w:rsidRPr="00554066">
        <w:rPr>
          <w:lang w:val="en-US"/>
        </w:rPr>
        <w:lastRenderedPageBreak/>
        <w:t>million people</w:t>
      </w:r>
      <w:r w:rsidR="0060244D">
        <w:rPr>
          <w:lang w:val="en-US"/>
        </w:rPr>
        <w:t xml:space="preserve"> have </w:t>
      </w:r>
      <w:r w:rsidR="00E92D95">
        <w:rPr>
          <w:lang w:val="en-US"/>
        </w:rPr>
        <w:t>an eating disorder</w:t>
      </w:r>
      <w:r w:rsidR="00464649">
        <w:rPr>
          <w:lang w:val="en-US"/>
        </w:rPr>
        <w:t xml:space="preserve"> </w:t>
      </w:r>
      <w:r w:rsidR="00464649">
        <w:rPr>
          <w:lang w:val="en-US"/>
        </w:rPr>
        <w:fldChar w:fldCharType="begin" w:fldLock="1"/>
      </w:r>
      <w:r w:rsidR="009037BE">
        <w:rPr>
          <w:lang w:val="en-US"/>
        </w:rPr>
        <w:instrText>ADDIN CSL_CITATION {"citationItems":[{"id":"ITEM-1","itemData":{"URL":"https://www.priorygroup.com/eating-disorders/eating-disorder-statistics","accessed":{"date-parts":[["2023","3","13"]]},"author":[{"dropping-particle":"","family":"Priory","given":"","non-dropping-particle":"","parse-names":false,"suffix":""}],"id":"ITEM-1","issued":{"date-parts":[["2023"]]},"title":"Eating Disorder Statistics","type":"webpage"},"uris":["http://www.mendeley.com/documents/?uuid=df6acf20-e5cf-4ec0-ab09-a48448f5f616"]}],"mendeley":{"formattedCitation":"[13]","plainTextFormattedCitation":"[13]","previouslyFormattedCitation":"(Priory, 2023)"},"properties":{"noteIndex":0},"schema":"https://github.com/citation-style-language/schema/raw/master/csl-citation.json"}</w:instrText>
      </w:r>
      <w:r w:rsidR="00464649">
        <w:rPr>
          <w:lang w:val="en-US"/>
        </w:rPr>
        <w:fldChar w:fldCharType="separate"/>
      </w:r>
      <w:r w:rsidR="009037BE" w:rsidRPr="009037BE">
        <w:rPr>
          <w:noProof/>
          <w:lang w:val="en-US"/>
        </w:rPr>
        <w:t>[13]</w:t>
      </w:r>
      <w:r w:rsidR="00464649">
        <w:rPr>
          <w:lang w:val="en-US"/>
        </w:rPr>
        <w:fldChar w:fldCharType="end"/>
      </w:r>
      <w:r w:rsidR="0060244D">
        <w:rPr>
          <w:lang w:val="en-US"/>
        </w:rPr>
        <w:t xml:space="preserve">. </w:t>
      </w:r>
      <w:r w:rsidR="00067B0E">
        <w:rPr>
          <w:lang w:val="en-US"/>
        </w:rPr>
        <w:t xml:space="preserve">A recent systematic review </w:t>
      </w:r>
      <w:r w:rsidR="00E83B76">
        <w:rPr>
          <w:lang w:val="en-US"/>
        </w:rPr>
        <w:t xml:space="preserve">reported that the prevalence of </w:t>
      </w:r>
      <w:r w:rsidR="00F427B2">
        <w:rPr>
          <w:lang w:val="en-US"/>
        </w:rPr>
        <w:t>eating disorders</w:t>
      </w:r>
      <w:r w:rsidR="00E83B76">
        <w:rPr>
          <w:lang w:val="en-US"/>
        </w:rPr>
        <w:t xml:space="preserve"> in adolescents and children was 22.4%</w:t>
      </w:r>
      <w:r w:rsidR="003C66F2">
        <w:rPr>
          <w:lang w:val="en-US"/>
        </w:rPr>
        <w:t xml:space="preserve"> </w:t>
      </w:r>
      <w:r w:rsidR="003C66F2">
        <w:rPr>
          <w:lang w:val="en-US"/>
        </w:rPr>
        <w:fldChar w:fldCharType="begin" w:fldLock="1"/>
      </w:r>
      <w:r w:rsidR="009037BE">
        <w:rPr>
          <w:lang w:val="en-US"/>
        </w:rPr>
        <w:instrText>ADDIN CSL_CITATION {"citationItems":[{"id":"ITEM-1","itemData":{"author":[{"dropping-particle":"","family":"López-Gil","given":"José Francisco","non-dropping-particle":"","parse-names":false,"suffix":""},{"dropping-particle":"","family":"García-Hermoso","given":"Antonio","non-dropping-particle":"","parse-names":false,"suffix":""},{"dropping-particle":"","family":"Smith","given":"Lee","non-dropping-particle":"","parse-names":false,"suffix":""},{"dropping-particle":"","family":"Firth","given":"Joseph","non-dropping-particle":"","parse-names":false,"suffix":""},{"dropping-particle":"","family":"Trott","given":"Mike","non-dropping-particle":"","parse-names":false,"suffix":""},{"dropping-particle":"","family":"Mesas","given":"Arthur Eumann","non-dropping-particle":"","parse-names":false,"suffix":""},{"dropping-particle":"","family":"Jiménez-López","given":"Estela","non-dropping-particle":"","parse-names":false,"suffix":""},{"dropping-particle":"","family":"Gutiérrez-Espinoza","given":"Héctor","non-dropping-particle":"","parse-names":false,"suffix":""},{"dropping-particle":"","family":"Tárraga-López","given":"Pedro J","non-dropping-particle":"","parse-names":false,"suffix":""},{"dropping-particle":"","family":"Victoria-Montesinos","given":"Desirée","non-dropping-particle":"","parse-names":false,"suffix":""}],"container-title":"JAMA pediatrics","id":"ITEM-1","issued":{"date-parts":[["2023"]]},"title":"Global Proportion of Disordered Eating in Children and Adolescents: A Systematic Review and Meta-analysis","type":"article-journal"},"uris":["http://www.mendeley.com/documents/?uuid=3d57bcf2-47c1-44ee-b1d9-c963d5f86e89"]}],"mendeley":{"formattedCitation":"[14]","plainTextFormattedCitation":"[14]","previouslyFormattedCitation":"(López-Gil et al., 2023)"},"properties":{"noteIndex":0},"schema":"https://github.com/citation-style-language/schema/raw/master/csl-citation.json"}</w:instrText>
      </w:r>
      <w:r w:rsidR="003C66F2">
        <w:rPr>
          <w:lang w:val="en-US"/>
        </w:rPr>
        <w:fldChar w:fldCharType="separate"/>
      </w:r>
      <w:r w:rsidR="009037BE" w:rsidRPr="009037BE">
        <w:rPr>
          <w:noProof/>
          <w:lang w:val="en-US"/>
        </w:rPr>
        <w:t>[14]</w:t>
      </w:r>
      <w:r w:rsidR="003C66F2">
        <w:rPr>
          <w:lang w:val="en-US"/>
        </w:rPr>
        <w:fldChar w:fldCharType="end"/>
      </w:r>
      <w:r w:rsidR="00E83B76">
        <w:rPr>
          <w:lang w:val="en-US"/>
        </w:rPr>
        <w:t>,</w:t>
      </w:r>
      <w:r w:rsidR="004A2FF8">
        <w:rPr>
          <w:lang w:val="en-US"/>
        </w:rPr>
        <w:t xml:space="preserve"> </w:t>
      </w:r>
      <w:r w:rsidR="00D849E6">
        <w:rPr>
          <w:lang w:val="en-US"/>
        </w:rPr>
        <w:t xml:space="preserve">with some primary studies indicating higher prevalence rates for adults </w:t>
      </w:r>
      <w:r w:rsidR="00554066">
        <w:rPr>
          <w:lang w:val="en-US"/>
        </w:rPr>
        <w:t>(~31%)</w:t>
      </w:r>
      <w:r w:rsidR="003C66F2">
        <w:rPr>
          <w:lang w:val="en-US"/>
        </w:rPr>
        <w:t xml:space="preserve"> </w:t>
      </w:r>
      <w:r w:rsidR="003C66F2">
        <w:rPr>
          <w:lang w:val="en-US"/>
        </w:rPr>
        <w:fldChar w:fldCharType="begin" w:fldLock="1"/>
      </w:r>
      <w:r w:rsidR="009037BE">
        <w:rPr>
          <w:lang w:val="en-US"/>
        </w:rPr>
        <w:instrText>ADDIN CSL_CITATION {"citationItems":[{"id":"ITEM-1","itemData":{"ISSN":"0165-1781","author":[{"dropping-particle":"","family":"Trott","given":"Mike","non-dropping-particle":"","parse-names":false,"suffix":""},{"dropping-particle":"","family":"Johnstone","given":"James","non-dropping-particle":"","parse-names":false,"suffix":""},{"dropping-particle":"","family":"Pardhan","given":"Shahina","non-dropping-particle":"","parse-names":false,"suffix":""},{"dropping-particle":"","family":"Barnett","given":"Yvonne","non-dropping-particle":"","parse-names":false,"suffix":""},{"dropping-particle":"","family":"Smith","given":"Lee","non-dropping-particle":"","parse-names":false,"suffix":""}],"container-title":"Psychiatry research","id":"ITEM-1","issued":{"date-parts":[["2021"]]},"page":"113831","publisher":"Elsevier","title":"Changes in body dysmorphic disorder, eating disorder, and exercise addiction symptomology during the COVID-19 pandemic: A longitudinal study of 319 health club users","type":"article-journal","volume":"298"},"uris":["http://www.mendeley.com/documents/?uuid=35cb2df5-650e-4e05-9fc6-7bbfa4ae4469"]}],"mendeley":{"formattedCitation":"[15]","plainTextFormattedCitation":"[15]","previouslyFormattedCitation":"(Trott, Johnstone, Pardhan, Barnett, &amp; Smith, 2021)"},"properties":{"noteIndex":0},"schema":"https://github.com/citation-style-language/schema/raw/master/csl-citation.json"}</w:instrText>
      </w:r>
      <w:r w:rsidR="003C66F2">
        <w:rPr>
          <w:lang w:val="en-US"/>
        </w:rPr>
        <w:fldChar w:fldCharType="separate"/>
      </w:r>
      <w:r w:rsidR="009037BE" w:rsidRPr="009037BE">
        <w:rPr>
          <w:noProof/>
          <w:lang w:val="en-US"/>
        </w:rPr>
        <w:t>[15]</w:t>
      </w:r>
      <w:r w:rsidR="003C66F2">
        <w:rPr>
          <w:lang w:val="en-US"/>
        </w:rPr>
        <w:fldChar w:fldCharType="end"/>
      </w:r>
      <w:r w:rsidR="00D849E6">
        <w:rPr>
          <w:lang w:val="en-US"/>
        </w:rPr>
        <w:t xml:space="preserve">, </w:t>
      </w:r>
      <w:r w:rsidR="001D0A41">
        <w:rPr>
          <w:lang w:val="en-US"/>
        </w:rPr>
        <w:t xml:space="preserve">suggesting that this is </w:t>
      </w:r>
      <w:r w:rsidR="006E19CE">
        <w:rPr>
          <w:lang w:val="en-US"/>
        </w:rPr>
        <w:t xml:space="preserve">a </w:t>
      </w:r>
      <w:r w:rsidR="006D509D">
        <w:rPr>
          <w:lang w:val="en-US"/>
        </w:rPr>
        <w:t xml:space="preserve">public health </w:t>
      </w:r>
      <w:r w:rsidR="006E19CE">
        <w:rPr>
          <w:lang w:val="en-US"/>
        </w:rPr>
        <w:t>problem that needs to be addressed</w:t>
      </w:r>
      <w:r w:rsidR="00A46068">
        <w:rPr>
          <w:lang w:val="en-US"/>
        </w:rPr>
        <w:t>.</w:t>
      </w:r>
      <w:r w:rsidR="00C61751">
        <w:rPr>
          <w:lang w:val="en-US"/>
        </w:rPr>
        <w:t xml:space="preserve"> </w:t>
      </w:r>
    </w:p>
    <w:p w14:paraId="63A9598F" w14:textId="77777777" w:rsidR="00195F59" w:rsidRDefault="00195F59" w:rsidP="00C63A11">
      <w:pPr>
        <w:spacing w:line="480" w:lineRule="auto"/>
        <w:rPr>
          <w:lang w:val="en-US"/>
        </w:rPr>
      </w:pPr>
    </w:p>
    <w:p w14:paraId="17951203" w14:textId="1E2880FB" w:rsidR="00C61751" w:rsidRDefault="004F13CB" w:rsidP="00C61751">
      <w:pPr>
        <w:spacing w:line="480" w:lineRule="auto"/>
        <w:rPr>
          <w:lang w:val="en-US"/>
        </w:rPr>
      </w:pPr>
      <w:r>
        <w:rPr>
          <w:lang w:val="en-US"/>
        </w:rPr>
        <w:t>Eating di</w:t>
      </w:r>
      <w:r w:rsidR="00535BE8">
        <w:rPr>
          <w:lang w:val="en-US"/>
        </w:rPr>
        <w:t>sorders</w:t>
      </w:r>
      <w:r>
        <w:rPr>
          <w:lang w:val="en-US"/>
        </w:rPr>
        <w:t xml:space="preserve"> </w:t>
      </w:r>
      <w:r w:rsidR="001131E3">
        <w:rPr>
          <w:lang w:val="en-US"/>
        </w:rPr>
        <w:t xml:space="preserve">may lead to </w:t>
      </w:r>
      <w:r>
        <w:rPr>
          <w:lang w:val="en-US"/>
        </w:rPr>
        <w:t xml:space="preserve">a higher risk </w:t>
      </w:r>
      <w:r w:rsidR="001131E3">
        <w:rPr>
          <w:lang w:val="en-US"/>
        </w:rPr>
        <w:t>for</w:t>
      </w:r>
      <w:r>
        <w:rPr>
          <w:lang w:val="en-US"/>
        </w:rPr>
        <w:t xml:space="preserve"> multimorbidity</w:t>
      </w:r>
      <w:r w:rsidR="00440860">
        <w:rPr>
          <w:lang w:val="en-US"/>
        </w:rPr>
        <w:t xml:space="preserve">, </w:t>
      </w:r>
      <w:r w:rsidR="00F22497">
        <w:rPr>
          <w:lang w:val="en-US"/>
        </w:rPr>
        <w:t xml:space="preserve">for example, </w:t>
      </w:r>
      <w:r w:rsidR="006F1623">
        <w:rPr>
          <w:lang w:val="en-US"/>
        </w:rPr>
        <w:t xml:space="preserve">via </w:t>
      </w:r>
      <w:r w:rsidR="005F3EBC">
        <w:rPr>
          <w:lang w:val="en-US"/>
        </w:rPr>
        <w:t>low-grade inflammation</w:t>
      </w:r>
      <w:r w:rsidR="00C524C5">
        <w:rPr>
          <w:lang w:val="en-US"/>
        </w:rPr>
        <w:t xml:space="preserve"> </w:t>
      </w:r>
      <w:r w:rsidR="00C524C5">
        <w:rPr>
          <w:lang w:val="en-US"/>
        </w:rPr>
        <w:fldChar w:fldCharType="begin" w:fldLock="1"/>
      </w:r>
      <w:r w:rsidR="009037BE">
        <w:rPr>
          <w:lang w:val="en-US"/>
        </w:rPr>
        <w:instrText>ADDIN CSL_CITATION {"citationItems":[{"id":"ITEM-1","itemData":{"ISSN":"0160-6689","author":[{"dropping-particle":"","family":"Dargél","given":"Aroldo A","non-dropping-particle":"","parse-names":false,"suffix":""},{"dropping-particle":"","family":"Godin","given":"Ophelia","non-dropping-particle":"","parse-names":false,"suffix":""},{"dropping-particle":"","family":"Kapczinski","given":"Flávio","non-dropping-particle":"","parse-names":false,"suffix":""},{"dropping-particle":"","family":"Kupfer","given":"David J","non-dropping-particle":"","parse-names":false,"suffix":""},{"dropping-particle":"","family":"Leboyer","given":"Marion","non-dropping-particle":"","parse-names":false,"suffix":""}],"container-title":"The Journal of clinical psychiatry","id":"ITEM-1","issue":"2","issued":{"date-parts":[["2015"]]},"page":"3919","publisher":"Physicians Postgraduate Press, Inc.","title":"C-reactive protein alterations in bipolar disorder: a meta-analysis","type":"article-journal","volume":"76"},"uris":["http://www.mendeley.com/documents/?uuid=0aa1a053-ffd7-43eb-9b19-7845b5f0f2be"]}],"mendeley":{"formattedCitation":"[16]","plainTextFormattedCitation":"[16]","previouslyFormattedCitation":"(Dargél, Godin, Kapczinski, Kupfer, &amp; Leboyer, 2015)"},"properties":{"noteIndex":0},"schema":"https://github.com/citation-style-language/schema/raw/master/csl-citation.json"}</w:instrText>
      </w:r>
      <w:r w:rsidR="00C524C5">
        <w:rPr>
          <w:lang w:val="en-US"/>
        </w:rPr>
        <w:fldChar w:fldCharType="separate"/>
      </w:r>
      <w:r w:rsidR="009037BE" w:rsidRPr="009037BE">
        <w:rPr>
          <w:noProof/>
          <w:lang w:val="en-US"/>
        </w:rPr>
        <w:t>[16]</w:t>
      </w:r>
      <w:r w:rsidR="00C524C5">
        <w:rPr>
          <w:lang w:val="en-US"/>
        </w:rPr>
        <w:fldChar w:fldCharType="end"/>
      </w:r>
      <w:r w:rsidR="005F3EBC">
        <w:rPr>
          <w:lang w:val="en-US"/>
        </w:rPr>
        <w:t xml:space="preserve">. </w:t>
      </w:r>
      <w:r w:rsidR="00440860">
        <w:rPr>
          <w:lang w:val="en-US"/>
        </w:rPr>
        <w:t>For example, i</w:t>
      </w:r>
      <w:r w:rsidR="006F1623">
        <w:rPr>
          <w:lang w:val="en-US"/>
        </w:rPr>
        <w:t>n the case of binge eating disorders</w:t>
      </w:r>
      <w:r w:rsidR="00440860">
        <w:rPr>
          <w:lang w:val="en-US"/>
        </w:rPr>
        <w:t>,</w:t>
      </w:r>
      <w:r w:rsidR="006F1623">
        <w:rPr>
          <w:lang w:val="en-US"/>
        </w:rPr>
        <w:t xml:space="preserve"> inflammation may be increased via overweight/obesity that often results in </w:t>
      </w:r>
      <w:r w:rsidR="006F1623" w:rsidRPr="006F1623">
        <w:rPr>
          <w:lang w:val="en-US"/>
        </w:rPr>
        <w:t xml:space="preserve">an increased production of free fatty acids, interleukin-6, tumor necrosis factor-α, </w:t>
      </w:r>
      <w:proofErr w:type="spellStart"/>
      <w:r w:rsidR="006F1623" w:rsidRPr="006F1623">
        <w:rPr>
          <w:lang w:val="en-US"/>
        </w:rPr>
        <w:t>hs</w:t>
      </w:r>
      <w:proofErr w:type="spellEnd"/>
      <w:r w:rsidR="006F1623" w:rsidRPr="006F1623">
        <w:rPr>
          <w:lang w:val="en-US"/>
        </w:rPr>
        <w:t>-CRP</w:t>
      </w:r>
      <w:r w:rsidR="00440860">
        <w:rPr>
          <w:lang w:val="en-US"/>
        </w:rPr>
        <w:t>,</w:t>
      </w:r>
      <w:r w:rsidR="006F1623">
        <w:rPr>
          <w:lang w:val="en-US"/>
        </w:rPr>
        <w:t xml:space="preserve"> and rapid eating practices that result in elevated serum lipids</w:t>
      </w:r>
      <w:r w:rsidR="00C524C5">
        <w:rPr>
          <w:lang w:val="en-US"/>
        </w:rPr>
        <w:t xml:space="preserve"> </w:t>
      </w:r>
      <w:r w:rsidR="00C524C5">
        <w:rPr>
          <w:lang w:val="en-US"/>
        </w:rPr>
        <w:fldChar w:fldCharType="begin" w:fldLock="1"/>
      </w:r>
      <w:r w:rsidR="009037BE">
        <w:rPr>
          <w:lang w:val="en-US"/>
        </w:rPr>
        <w:instrText>ADDIN CSL_CITATION {"citationItems":[{"id":"ITEM-1","itemData":{"author":[{"dropping-particle":"","family":"Succurro","given":"Elena","non-dropping-particle":"","parse-names":false,"suffix":""},{"dropping-particle":"","family":"Segura-Garcia","given":"Cristina","non-dropping-particle":"","parse-names":false,"suffix":""},{"dropping-particle":"","family":"Ruffo","given":"Mariafrancesca","non-dropping-particle":"","parse-names":false,"suffix":""},{"dropping-particle":"","family":"Caroleo","given":"Mariarita","non-dropping-particle":"","parse-names":false,"suffix":""},{"dropping-particle":"","family":"Rania","given":"Marianna","non-dropping-particle":"","parse-names":false,"suffix":""},{"dropping-particle":"","family":"Aloi","given":"Matteo","non-dropping-particle":"","parse-names":false,"suffix":""},{"dropping-particle":"","family":"Fazio","given":"Pasquale","non-dropping-particle":"De","parse-names":false,"suffix":""},{"dropping-particle":"","family":"Sesti","given":"Giorgio","non-dropping-particle":"","parse-names":false,"suffix":""},{"dropping-particle":"","family":"Arturi","given":"Franco","non-dropping-particle":"","parse-names":false,"suffix":""}],"container-title":"Medicine","id":"ITEM-1","issue":"52","issued":{"date-parts":[["2015"]]},"publisher":"Wolters Kluwer Health","title":"Obese patients with a binge eating disorder have an unfavorable metabolic and inflammatory profile","type":"article-journal","volume":"94"},"uris":["http://www.mendeley.com/documents/?uuid=5dff4f0a-b15d-4135-8367-970a15ad28b9"]},{"id":"ITEM-2","itemData":{"ISSN":"2340-8812","author":[{"dropping-particle":"","family":"Espinoza-Salinas","given":"A","non-dropping-particle":"","parse-names":false,"suffix":""},{"dropping-particle":"","family":"Bobadilla-Olivares","given":"M","non-dropping-particle":"","parse-names":false,"suffix":""},{"dropping-particle":"","family":"Millaqueo","given":"C","non-dropping-particle":"","parse-names":false,"suffix":""},{"dropping-particle":"","family":"Núñez","given":"M","non-dropping-particle":"","parse-names":false,"suffix":""},{"dropping-particle":"","family":"Oyarzun-Chicuy","given":"G","non-dropping-particle":"","parse-names":false,"suffix":""},{"dropping-particle":"","family":"Cano-Montoya","given":"J","non-dropping-particle":"","parse-names":false,"suffix":""},{"dropping-particle":"","family":"Peiret-Villacura","given":"L","non-dropping-particle":"","parse-names":false,"suffix":""},{"dropping-particle":"","family":"Pinto-Correa","given":"P","non-dropping-particle":"","parse-names":false,"suffix":""},{"dropping-particle":"","family":"Arenas-Sánchez","given":"G","non-dropping-particle":"","parse-names":false,"suffix":""}],"container-title":"SPORT TK-Revista EuroAmericana de Ciencias del Deporte","id":"ITEM-2","issued":{"date-parts":[["2022"]]},"page":"5","title":"Efecto agudo de ejercicio isométrico sobre parámetros autonómicos en adultos sedentarios obesos y con sobrepeso","type":"article-journal","volume":"11"},"uris":["http://www.mendeley.com/documents/?uuid=8b333989-f952-4295-abc3-50bccac9597d"]}],"mendeley":{"formattedCitation":"[17, 18]","plainTextFormattedCitation":"[17, 18]","previouslyFormattedCitation":"(Espinoza-Salinas et al., 2022; Succurro et al., 2015)"},"properties":{"noteIndex":0},"schema":"https://github.com/citation-style-language/schema/raw/master/csl-citation.json"}</w:instrText>
      </w:r>
      <w:r w:rsidR="00C524C5">
        <w:rPr>
          <w:lang w:val="en-US"/>
        </w:rPr>
        <w:fldChar w:fldCharType="separate"/>
      </w:r>
      <w:r w:rsidR="009037BE" w:rsidRPr="009037BE">
        <w:rPr>
          <w:noProof/>
          <w:lang w:val="en-US"/>
        </w:rPr>
        <w:t>[17, 18]</w:t>
      </w:r>
      <w:r w:rsidR="00C524C5">
        <w:rPr>
          <w:lang w:val="en-US"/>
        </w:rPr>
        <w:fldChar w:fldCharType="end"/>
      </w:r>
      <w:r w:rsidR="006F1623">
        <w:rPr>
          <w:lang w:val="en-US"/>
        </w:rPr>
        <w:t>. I</w:t>
      </w:r>
      <w:r w:rsidR="005F3EBC">
        <w:rPr>
          <w:lang w:val="en-US"/>
        </w:rPr>
        <w:t xml:space="preserve">ndeed, inflammation </w:t>
      </w:r>
      <w:r w:rsidR="00832ED8">
        <w:rPr>
          <w:lang w:val="en-US"/>
        </w:rPr>
        <w:t xml:space="preserve">can increase risk for </w:t>
      </w:r>
      <w:r w:rsidR="005F3EBC">
        <w:rPr>
          <w:lang w:val="en-US"/>
        </w:rPr>
        <w:t>multiple chronic conditions and multimorbidity</w:t>
      </w:r>
      <w:r w:rsidR="00832ED8">
        <w:rPr>
          <w:lang w:val="en-US"/>
        </w:rPr>
        <w:t xml:space="preserve">, via alternations in immune function, for </w:t>
      </w:r>
      <w:r w:rsidR="00D0049C">
        <w:rPr>
          <w:lang w:val="en-US"/>
        </w:rPr>
        <w:t>instance</w:t>
      </w:r>
      <w:r w:rsidR="00B147C2">
        <w:rPr>
          <w:lang w:val="en-US"/>
        </w:rPr>
        <w:t xml:space="preserve"> </w:t>
      </w:r>
      <w:r w:rsidR="00B147C2">
        <w:rPr>
          <w:lang w:val="en-US"/>
        </w:rPr>
        <w:fldChar w:fldCharType="begin" w:fldLock="1"/>
      </w:r>
      <w:r w:rsidR="009037BE">
        <w:rPr>
          <w:lang w:val="en-US"/>
        </w:rPr>
        <w:instrText>ADDIN CSL_CITATION {"citationItems":[{"id":"ITEM-1","itemData":{"ISSN":"0263-6352","author":[{"dropping-particle":"","family":"Bautista","given":"Leonelo E","non-dropping-particle":"","parse-names":false,"suffix":""},{"dropping-particle":"","family":"López-Jaramillo","given":"Patricio","non-dropping-particle":"","parse-names":false,"suffix":""},{"dropping-particle":"","family":"Vera","given":"Lina M","non-dropping-particle":"","parse-names":false,"suffix":""},{"dropping-particle":"","family":"Casas","given":"Juan P","non-dropping-particle":"","parse-names":false,"suffix":""},{"dropping-particle":"","family":"Otero","given":"Ana P","non-dropping-particle":"","parse-names":false,"suffix":""},{"dropping-particle":"","family":"Guaracao","given":"Ana I","non-dropping-particle":"","parse-names":false,"suffix":""}],"container-title":"Journal of hypertension","id":"ITEM-1","issue":"5","issued":{"date-parts":[["2001"]]},"page":"857-861","publisher":"LWW","title":"Is C-reactive protein an independent risk factor for essential hypertension?","type":"article-journal","volume":"19"},"uris":["http://www.mendeley.com/documents/?uuid=66c9c2d6-bda8-4798-8769-d050714e219e"]},{"id":"ITEM-2","itemData":{"ISSN":"0959-8138","author":[{"dropping-particle":"","family":"Mendall","given":"M A","non-dropping-particle":"","parse-names":false,"suffix":""},{"dropping-particle":"","family":"Patel","given":"Praful","non-dropping-particle":"","parse-names":false,"suffix":""},{"dropping-particle":"","family":"Ballam","given":"Lydia","non-dropping-particle":"","parse-names":false,"suffix":""},{"dropping-particle":"","family":"Strachan","given":"D","non-dropping-particle":"","parse-names":false,"suffix":""},{"dropping-particle":"","family":"Northfield","given":"T C","non-dropping-particle":"","parse-names":false,"suffix":""}],"container-title":"Bmj","id":"ITEM-2","issue":"7038","issued":{"date-parts":[["1996"]]},"page":"1061-1065","publisher":"British Medical Journal Publishing Group","title":"C reactive protein and its relation to cardiovascular risk factors: a population based cross sectional study","type":"article-journal","volume":"312"},"uris":["http://www.mendeley.com/documents/?uuid=534c05c6-63a0-49ea-bfee-d9d1f3994f3c"]},{"id":"ITEM-3","itemData":{"ISSN":"0004-3591","author":[{"dropping-particle":"","family":"Nielen","given":"Markus M J","non-dropping-particle":"","parse-names":false,"suffix":""},{"dropping-particle":"","family":"Schaardenburg","given":"Dirkjan","non-dropping-particle":"Van","parse-names":false,"suffix":""},{"dropping-particle":"","family":"Reesink","given":"Henk W","non-dropping-particle":"","parse-names":false,"suffix":""},{"dropping-particle":"","family":"Twisk","given":"Jos W R","non-dropping-particle":"","parse-names":false,"suffix":""},{"dropping-particle":"","family":"Stadt","given":"Rob J","non-dropping-particle":"Van De","parse-names":false,"suffix":""},{"dropping-particle":"","family":"Horst‐Bruinsma","given":"Irene E","non-dropping-particle":"Van Der","parse-names":false,"suffix":""},{"dropping-particle":"","family":"Gast","given":"Truus","non-dropping-particle":"De","parse-names":false,"suffix":""},{"dropping-particle":"","family":"Habibuw","given":"Moud R","non-dropping-particle":"","parse-names":false,"suffix":""},{"dropping-particle":"","family":"Vandenbroucke","given":"Jan P","non-dropping-particle":"","parse-names":false,"suffix":""},{"dropping-particle":"","family":"Dijkmans","given":"Ben A C","non-dropping-particle":"","parse-names":false,"suffix":""}],"container-title":"Arthritis &amp; Rheumatism: Official Journal of the American College of Rheumatology","id":"ITEM-3","issue":"8","issued":{"date-parts":[["2004"]]},"page":"2423-2427","publisher":"Wiley Online Library","title":"Increased levels of C‐reactive protein in serum from blood donors before the onset of rheumatoid arthritis","type":"article-journal","volume":"50"},"uris":["http://www.mendeley.com/documents/?uuid=699649e9-b65a-4673-9703-760ff6136c02"]},{"id":"ITEM-4","itemData":{"ISSN":"1542-3565","author":[{"dropping-particle":"","family":"Lochhead","given":"Paul","non-dropping-particle":"","parse-names":false,"suffix":""},{"dropping-particle":"","family":"Khalili","given":"Hamed","non-dropping-particle":"","parse-names":false,"suffix":""},{"dropping-particle":"","family":"Ananthakrishnan","given":"Ashwin N","non-dropping-particle":"","parse-names":false,"suffix":""},{"dropping-particle":"","family":"Richter","given":"James M","non-dropping-particle":"","parse-names":false,"suffix":""},{"dropping-particle":"","family":"Chan","given":"Andrew T","non-dropping-particle":"","parse-names":false,"suffix":""}],"container-title":"Clinical Gastroenterology and Hepatology","id":"ITEM-4","issue":"6","issued":{"date-parts":[["2016"]]},"page":"818-824","publisher":"Elsevier","title":"Association between circulating levels of C-reactive protein and interleukin-6 and risk of inflammatory bowel disease","type":"article-journal","volume":"14"},"uris":["http://www.mendeley.com/documents/?uuid=12322266-0e88-49eb-9d7e-023db6a69f42"]},{"id":"ITEM-5","itemData":{"ISSN":"0953-6205","author":[{"dropping-particle":"","family":"Garrafa","given":"Emirena","non-dropping-particle":"","parse-names":false,"suffix":""},{"dropping-particle":"","family":"Casnici","given":"Niccolò","non-dropping-particle":"","parse-names":false,"suffix":""},{"dropping-particle":"","family":"Squazzoni","given":"Flaminio","non-dropping-particle":"","parse-names":false,"suffix":""},{"dropping-particle":"","family":"Uberti","given":"Daniela","non-dropping-particle":"","parse-names":false,"suffix":""},{"dropping-particle":"","family":"Marengoni","given":"Alessandra","non-dropping-particle":"","parse-names":false,"suffix":""}],"container-title":"European Journal of Internal Medicine","id":"ITEM-5","issued":{"date-parts":[["2017"]]},"page":"e25-e26","publisher":"Elsevier","title":"C-reactive protein, lipoprotein (a) and cystatin C levels increase with multimorbidity in older persons","type":"article-journal","volume":"42"},"uris":["http://www.mendeley.com/documents/?uuid=c985a89a-31dc-42b6-beb1-1dcb5a6d801d"]}],"mendeley":{"formattedCitation":"[19–23]","plainTextFormattedCitation":"[19–23]","previouslyFormattedCitation":"(Bautista et al., 2001; Garrafa, Casnici, Squazzoni, Uberti, &amp; Marengoni, 2017; Lochhead, Khalili, Ananthakrishnan, Richter, &amp; Chan, 2016; Mendall, Patel, Ballam, Strachan, &amp; Northfield, 1996; Nielen et al., 2004)"},"properties":{"noteIndex":0},"schema":"https://github.com/citation-style-language/schema/raw/master/csl-citation.json"}</w:instrText>
      </w:r>
      <w:r w:rsidR="00B147C2">
        <w:rPr>
          <w:lang w:val="en-US"/>
        </w:rPr>
        <w:fldChar w:fldCharType="separate"/>
      </w:r>
      <w:r w:rsidR="009037BE" w:rsidRPr="009037BE">
        <w:rPr>
          <w:noProof/>
          <w:lang w:val="en-US"/>
        </w:rPr>
        <w:t>[19–23]</w:t>
      </w:r>
      <w:r w:rsidR="00B147C2">
        <w:rPr>
          <w:lang w:val="en-US"/>
        </w:rPr>
        <w:fldChar w:fldCharType="end"/>
      </w:r>
      <w:r w:rsidR="005F3EBC">
        <w:rPr>
          <w:lang w:val="en-US"/>
        </w:rPr>
        <w:t>.</w:t>
      </w:r>
      <w:r w:rsidR="00B147C2">
        <w:rPr>
          <w:lang w:val="en-US"/>
        </w:rPr>
        <w:t xml:space="preserve"> </w:t>
      </w:r>
      <w:r w:rsidR="00CE70DC">
        <w:rPr>
          <w:lang w:val="en-US"/>
        </w:rPr>
        <w:t xml:space="preserve">Moreover, eating </w:t>
      </w:r>
      <w:r w:rsidR="00535BE8">
        <w:rPr>
          <w:lang w:val="en-US"/>
        </w:rPr>
        <w:t>disorders</w:t>
      </w:r>
      <w:r w:rsidR="00CE70DC">
        <w:rPr>
          <w:lang w:val="en-US"/>
        </w:rPr>
        <w:t xml:space="preserve"> have been found to be associated with low bone mineral density</w:t>
      </w:r>
      <w:r w:rsidR="00B147C2">
        <w:rPr>
          <w:lang w:val="en-US"/>
        </w:rPr>
        <w:t xml:space="preserve"> </w:t>
      </w:r>
      <w:r w:rsidR="00B147C2">
        <w:rPr>
          <w:lang w:val="en-US"/>
        </w:rPr>
        <w:fldChar w:fldCharType="begin" w:fldLock="1"/>
      </w:r>
      <w:r w:rsidR="009037BE">
        <w:rPr>
          <w:lang w:val="en-US"/>
        </w:rPr>
        <w:instrText>ADDIN CSL_CITATION {"citationItems":[{"id":"ITEM-1","itemData":{"ISSN":"0378-5122","author":[{"dropping-particle":"","family":"Meczekalski","given":"Blazej","non-dropping-particle":"","parse-names":false,"suffix":""},{"dropping-particle":"","family":"Podfigurna-Stopa","given":"Agnieszka","non-dropping-particle":"","parse-names":false,"suffix":""},{"dropping-particle":"","family":"Katulski","given":"Krzysztof","non-dropping-particle":"","parse-names":false,"suffix":""}],"container-title":"Maturitas","id":"ITEM-1","issue":"3","issued":{"date-parts":[["2013"]]},"page":"215-220","publisher":"Elsevier","title":"Long-term consequences of anorexia nervosa","type":"article-journal","volume":"75"},"uris":["http://www.mendeley.com/documents/?uuid=f06ea2b6-7043-46e3-8cd5-7804c9ec6ad6"]}],"mendeley":{"formattedCitation":"[24]","plainTextFormattedCitation":"[24]","previouslyFormattedCitation":"(Meczekalski, Podfigurna-Stopa, &amp; Katulski, 2013)"},"properties":{"noteIndex":0},"schema":"https://github.com/citation-style-language/schema/raw/master/csl-citation.json"}</w:instrText>
      </w:r>
      <w:r w:rsidR="00B147C2">
        <w:rPr>
          <w:lang w:val="en-US"/>
        </w:rPr>
        <w:fldChar w:fldCharType="separate"/>
      </w:r>
      <w:r w:rsidR="009037BE" w:rsidRPr="009037BE">
        <w:rPr>
          <w:noProof/>
          <w:lang w:val="en-US"/>
        </w:rPr>
        <w:t>[24]</w:t>
      </w:r>
      <w:r w:rsidR="00B147C2">
        <w:rPr>
          <w:lang w:val="en-US"/>
        </w:rPr>
        <w:fldChar w:fldCharType="end"/>
      </w:r>
      <w:r w:rsidR="00D0049C">
        <w:rPr>
          <w:lang w:val="en-US"/>
        </w:rPr>
        <w:t xml:space="preserve">, </w:t>
      </w:r>
      <w:r w:rsidR="00CE70DC">
        <w:rPr>
          <w:lang w:val="en-US"/>
        </w:rPr>
        <w:t xml:space="preserve">which in turn </w:t>
      </w:r>
      <w:r w:rsidR="00D0049C">
        <w:rPr>
          <w:lang w:val="en-US"/>
        </w:rPr>
        <w:t xml:space="preserve">can increase risk for </w:t>
      </w:r>
      <w:r w:rsidR="00CE70DC">
        <w:rPr>
          <w:lang w:val="en-US"/>
        </w:rPr>
        <w:t xml:space="preserve">multiple chronic conditions </w:t>
      </w:r>
      <w:r w:rsidR="00D0049C">
        <w:rPr>
          <w:lang w:val="en-US"/>
        </w:rPr>
        <w:t xml:space="preserve">(e.g., </w:t>
      </w:r>
      <w:r w:rsidR="00CE70DC">
        <w:rPr>
          <w:lang w:val="en-US"/>
        </w:rPr>
        <w:t>arthritis</w:t>
      </w:r>
      <w:r w:rsidR="0079793C">
        <w:rPr>
          <w:lang w:val="en-US"/>
        </w:rPr>
        <w:t>, osteopenia</w:t>
      </w:r>
      <w:r w:rsidR="00D0049C">
        <w:rPr>
          <w:lang w:val="en-US"/>
        </w:rPr>
        <w:t xml:space="preserve">, </w:t>
      </w:r>
      <w:r w:rsidR="00CE70DC">
        <w:rPr>
          <w:lang w:val="en-US"/>
        </w:rPr>
        <w:t>osteoporosis</w:t>
      </w:r>
      <w:r w:rsidR="00D0049C">
        <w:rPr>
          <w:lang w:val="en-US"/>
        </w:rPr>
        <w:t>)</w:t>
      </w:r>
      <w:r w:rsidR="00B147C2">
        <w:rPr>
          <w:lang w:val="en-US"/>
        </w:rPr>
        <w:t xml:space="preserve"> </w:t>
      </w:r>
      <w:r w:rsidR="00B147C2">
        <w:rPr>
          <w:lang w:val="en-US"/>
        </w:rPr>
        <w:fldChar w:fldCharType="begin" w:fldLock="1"/>
      </w:r>
      <w:r w:rsidR="009037BE">
        <w:rPr>
          <w:lang w:val="en-US"/>
        </w:rPr>
        <w:instrText>ADDIN CSL_CITATION {"citationItems":[{"id":"ITEM-1","itemData":{"ISSN":"1648-9144","author":[{"dropping-particle":"","family":"Stamenkovic","given":"Bojana N","non-dropping-particle":"","parse-names":false,"suffix":""},{"dropping-particle":"","family":"Rancic","given":"Natasa K","non-dropping-particle":"","parse-names":false,"suffix":""},{"dropping-particle":"","family":"Bojanovic","given":"Mila R","non-dropping-particle":"","parse-names":false,"suffix":""},{"dropping-particle":"","family":"Stojanovic","given":"Sonja K","non-dropping-particle":"","parse-names":false,"suffix":""},{"dropping-particle":"","family":"Zivkovic","given":"Valentina G","non-dropping-particle":"","parse-names":false,"suffix":""},{"dropping-particle":"","family":"Djordjevic","given":"Dragan B","non-dropping-particle":"","parse-names":false,"suffix":""},{"dropping-particle":"","family":"Stankovic","given":"Aleksandra M","non-dropping-particle":"","parse-names":false,"suffix":""}],"container-title":"Medicina","id":"ITEM-1","issue":"9","issued":{"date-parts":[["2022"]]},"page":"1207","publisher":"MDPI","title":"Is Osteoarthritis Always Associated with Low Bone Mineral Density in Elderly Patients?","type":"article-journal","volume":"58"},"uris":["http://www.mendeley.com/documents/?uuid=40d4eb1c-f524-444a-9acf-7afdedeb0436"]},{"id":"ITEM-2","itemData":{"URL":"https://www.yalemedicine.org/conditions/bone-density-test","accessed":{"date-parts":[["2023","3","13"]]},"author":[{"dropping-particle":"","family":"Yale Medicine","given":"","non-dropping-particle":"","parse-names":false,"suffix":""}],"id":"ITEM-2","issued":{"date-parts":[["2023"]]},"title":"Low Bone Density","type":"webpage"},"uris":["http://www.mendeley.com/documents/?uuid=6b8ee245-d7dd-4b3e-b682-c6a4c54696c1"]},{"id":"ITEM-3","itemData":{"ISSN":"2695-5911","author":[{"dropping-particle":"","family":"Esparza Montero","given":"Miguel Ángel","non-dropping-particle":"","parse-names":false,"suffix":""}],"container-title":"Atena Journal of Public Health","id":"ITEM-3","issued":{"date-parts":[["2021"]]},"page":"3","publisher":"Atena Research Association","title":"Influence of the strength of the ankle plantar flexors on dynamic balance in 55-65-year-old women","type":"article-journal","volume":"3"},"uris":["http://www.mendeley.com/documents/?uuid=a2a52659-2c19-46a7-9661-6f775f07eae0"]}],"mendeley":{"formattedCitation":"[25–27]","plainTextFormattedCitation":"[25–27]","previouslyFormattedCitation":"(Esparza Montero, 2021; Stamenkovic et al., 2022; Yale Medicine, 2023)"},"properties":{"noteIndex":0},"schema":"https://github.com/citation-style-language/schema/raw/master/csl-citation.json"}</w:instrText>
      </w:r>
      <w:r w:rsidR="00B147C2">
        <w:rPr>
          <w:lang w:val="en-US"/>
        </w:rPr>
        <w:fldChar w:fldCharType="separate"/>
      </w:r>
      <w:r w:rsidR="009037BE" w:rsidRPr="009037BE">
        <w:rPr>
          <w:noProof/>
          <w:lang w:val="en-US"/>
        </w:rPr>
        <w:t>[25–27]</w:t>
      </w:r>
      <w:r w:rsidR="00B147C2">
        <w:rPr>
          <w:lang w:val="en-US"/>
        </w:rPr>
        <w:fldChar w:fldCharType="end"/>
      </w:r>
      <w:r w:rsidR="0079793C" w:rsidRPr="0079793C">
        <w:rPr>
          <w:lang w:val="en-US"/>
        </w:rPr>
        <w:t>.</w:t>
      </w:r>
      <w:r w:rsidR="0079793C">
        <w:rPr>
          <w:lang w:val="en-US"/>
        </w:rPr>
        <w:t xml:space="preserve"> </w:t>
      </w:r>
      <w:r w:rsidR="00625579">
        <w:rPr>
          <w:lang w:val="en-US"/>
        </w:rPr>
        <w:t>F</w:t>
      </w:r>
      <w:r w:rsidR="00FF25C9">
        <w:rPr>
          <w:lang w:val="en-US"/>
        </w:rPr>
        <w:t>inally</w:t>
      </w:r>
      <w:r w:rsidR="00625579">
        <w:rPr>
          <w:lang w:val="en-US"/>
        </w:rPr>
        <w:t xml:space="preserve">, it is </w:t>
      </w:r>
      <w:r w:rsidR="00FF25C9">
        <w:rPr>
          <w:lang w:val="en-US"/>
        </w:rPr>
        <w:t xml:space="preserve">also </w:t>
      </w:r>
      <w:r w:rsidR="00625579">
        <w:rPr>
          <w:lang w:val="en-US"/>
        </w:rPr>
        <w:t>possible that the association between eating</w:t>
      </w:r>
      <w:r w:rsidR="00F427B2">
        <w:rPr>
          <w:lang w:val="en-US"/>
        </w:rPr>
        <w:t xml:space="preserve"> di</w:t>
      </w:r>
      <w:r w:rsidR="00535BE8">
        <w:rPr>
          <w:lang w:val="en-US"/>
        </w:rPr>
        <w:t>sorders</w:t>
      </w:r>
      <w:r w:rsidR="00625579">
        <w:rPr>
          <w:lang w:val="en-US"/>
        </w:rPr>
        <w:t xml:space="preserve"> and </w:t>
      </w:r>
      <w:r w:rsidR="00C43E86">
        <w:rPr>
          <w:lang w:val="en-US"/>
        </w:rPr>
        <w:t>multimorbidity is mediated by psychological factors (</w:t>
      </w:r>
      <w:r w:rsidR="00FF25C9">
        <w:rPr>
          <w:lang w:val="en-US"/>
        </w:rPr>
        <w:t>e.g.</w:t>
      </w:r>
      <w:r w:rsidR="00C43E86">
        <w:rPr>
          <w:lang w:val="en-US"/>
        </w:rPr>
        <w:t>, insomnia, stress, depression), lifestyle factors (</w:t>
      </w:r>
      <w:r w:rsidR="00FF25C9">
        <w:rPr>
          <w:lang w:val="en-US"/>
        </w:rPr>
        <w:t>e.g., smoking, alcohol consumption), and physical conditions (e.g., obesity, underweight)</w:t>
      </w:r>
      <w:r w:rsidR="009C6AEE">
        <w:rPr>
          <w:lang w:val="en-US"/>
        </w:rPr>
        <w:t xml:space="preserve"> </w:t>
      </w:r>
      <w:r w:rsidR="009C6AEE">
        <w:rPr>
          <w:lang w:val="en-US"/>
        </w:rPr>
        <w:fldChar w:fldCharType="begin" w:fldLock="1"/>
      </w:r>
      <w:r w:rsidR="009037BE">
        <w:rPr>
          <w:lang w:val="en-US"/>
        </w:rPr>
        <w:instrText>ADDIN CSL_CITATION {"citationItems":[{"id":"ITEM-1","itemData":{"ISSN":"1072-4133","author":[{"dropping-particle":"","family":"Kenny","given":"Therese E","non-dropping-particle":"","parse-names":false,"suffix":""},{"dropping-particle":"","family":"Wijk","given":"Megan","non-dropping-particle":"Van","parse-names":false,"suffix":""},{"dropping-particle":"","family":"Singleton","given":"Christopher","non-dropping-particle":"","parse-names":false,"suffix":""},{"dropping-particle":"","family":"Carter","given":"Jacqueline C","non-dropping-particle":"","parse-names":false,"suffix":""}],"container-title":"European Eating Disorders Review","id":"ITEM-1","issue":"3","issued":{"date-parts":[["2018"]]},"page":"186-196","publisher":"Wiley Online Library","title":"An examination of the relationship between binge eating disorder and insomnia symptoms","type":"article-journal","volume":"26"},"uris":["http://www.mendeley.com/documents/?uuid=b0f59bf0-d96d-4db2-b0c7-091e047e474d"]},{"id":"ITEM-2","itemData":{"ISSN":"1562-2975","author":[{"dropping-particle":"","family":"Araujo","given":"Daniele Marano Rocha","non-dropping-particle":"","parse-names":false,"suffix":""},{"dropping-particle":"","family":"Santos","given":"Giovana Fonseca da Silva","non-dropping-particle":"","parse-names":false,"suffix":""},{"dropping-particle":"","family":"Nardi","given":"Antonio Egídio","non-dropping-particle":"","parse-names":false,"suffix":""}],"container-title":"The world journal of biological psychiatry","id":"ITEM-2","issue":"2-2","issued":{"date-parts":[["2010"]]},"page":"199-207","publisher":"Taylor &amp; Francis","title":"Binge eating disorder and depression: a systematic review","type":"article-journal","volume":"11"},"uris":["http://www.mendeley.com/documents/?uuid=7e17d01a-9099-4377-bc8d-ac6c0883808c"]},{"id":"ITEM-3","itemData":{"ISSN":"1072-4133","author":[{"dropping-particle":"","family":"Swinbourne","given":"Jessica M","non-dropping-particle":"","parse-names":false,"suffix":""},{"dropping-particle":"","family":"Touyz","given":"Stephen W","non-dropping-particle":"","parse-names":false,"suffix":""}],"container-title":"European Eating Disorders Review: The Professional Journal of the Eating Disorders Association","id":"ITEM-3","issue":"4","issued":{"date-parts":[["2007"]]},"page":"253-274","publisher":"Wiley Online Library","title":"The co‐morbidity of eating disorders and anxiety disorders: A review","type":"article-journal","volume":"15"},"uris":["http://www.mendeley.com/documents/?uuid=ffaa8ae8-78c8-423c-95b3-3e0c73a80aba"]},{"id":"ITEM-4","itemData":{"ISSN":"1434-1816","author":[{"dropping-particle":"","family":"Gadalla","given":"T","non-dropping-particle":"","parse-names":false,"suffix":""},{"dropping-particle":"","family":"Piran","given":"N","non-dropping-particle":"","parse-names":false,"suffix":""}],"container-title":"Archives of women's mental health","id":"ITEM-4","issued":{"date-parts":[["2007"]]},"page":"133-140","publisher":"Springer","title":"Co-occurrence of eating disorders and alcohol use disorders in women: a meta analysis","type":"article-journal","volume":"10"},"uris":["http://www.mendeley.com/documents/?uuid=d5adc2b7-e6ed-4a9a-af03-f7af07519f66"]},{"id":"ITEM-5","itemData":{"ISSN":"1471-0153","author":[{"dropping-particle":"","family":"Anzengruber","given":"Doris","non-dropping-particle":"","parse-names":false,"suffix":""},{"dropping-particle":"","family":"Klump","given":"Kelly L","non-dropping-particle":"","parse-names":false,"suffix":""},{"dropping-particle":"","family":"Thornton","given":"Laura","non-dropping-particle":"","parse-names":false,"suffix":""},{"dropping-particle":"","family":"Brandt","given":"Harry","non-dropping-particle":"","parse-names":false,"suffix":""},{"dropping-particle":"","family":"Crawford","given":"Steve","non-dropping-particle":"","parse-names":false,"suffix":""},{"dropping-particle":"","family":"Fichter","given":"Manfred M","non-dropping-particle":"","parse-names":false,"suffix":""},{"dropping-particle":"","family":"Halmi","given":"Katherine A","non-dropping-particle":"","parse-names":false,"suffix":""},{"dropping-particle":"","family":"Johnson","given":"Craig","non-dropping-particle":"","parse-names":false,"suffix":""},{"dropping-particle":"","family":"Kaplan","given":"Allan S","non-dropping-particle":"","parse-names":false,"suffix":""},{"dropping-particle":"","family":"LaVia","given":"Maria","non-dropping-particle":"","parse-names":false,"suffix":""}],"container-title":"Eating behaviors","id":"ITEM-5","issue":"4","issued":{"date-parts":[["2006"]]},"page":"291-299","publisher":"Elsevier","title":"Smoking in eating disorders","type":"article-journal","volume":"7"},"uris":["http://www.mendeley.com/documents/?uuid=7b45ce57-3640-478d-8fb2-efe117cd5d99"]},{"id":"ITEM-6","itemData":{"ISSN":"0953-816X","author":[{"dropping-particle":"","family":"Naish","given":"Katherine R","non-dropping-particle":"","parse-names":false,"suffix":""},{"dropping-particle":"","family":"Laliberte","given":"Michele","non-dropping-particle":"","parse-names":false,"suffix":""},{"dropping-particle":"","family":"MacKillop","given":"James","non-dropping-particle":"","parse-names":false,"suffix":""},{"dropping-particle":"","family":"Balodis","given":"Iris M","non-dropping-particle":"","parse-names":false,"suffix":""}],"container-title":"European Journal of Neuroscience","id":"ITEM-6","issue":"3","issued":{"date-parts":[["2019"]]},"page":"2415-2429","publisher":"Wiley Online Library","title":"Systematic review of the effects of acute stress in binge eating disorder","type":"article-journal","volume":"50"},"uris":["http://www.mendeley.com/documents/?uuid=65be1bea-a578-4e6d-a0a5-5f2b4f63cc6b"]},{"id":"ITEM-7","itemData":{"ISSN":"0276-3478","author":[{"dropping-particle":"","family":"Yanovski","given":"Susan Z","non-dropping-particle":"","parse-names":false,"suffix":""}],"container-title":"International Journal of Eating Disorders","id":"ITEM-7","issue":"S1","issued":{"date-parts":[["2003"]]},"page":"S117-S120","publisher":"Wiley Online Library","title":"Binge eating disorder and obesity in 2003: could treating an eating disorder have a positive effect on the obesity epidemic?","type":"article-journal","volume":"34"},"uris":["http://www.mendeley.com/documents/?uuid=f3c43740-fb9a-46c7-a0d4-cda74a1088be"]},{"id":"ITEM-8","itemData":{"author":[{"dropping-particle":"","family":"Sindi","given":"Shireen","non-dropping-particle":"","parse-names":false,"suffix":""},{"dropping-particle":"","family":"Pérez","given":"Laura Monica","non-dropping-particle":"","parse-names":false,"suffix":""},{"dropping-particle":"","family":"Vetrano","given":"Davide L","non-dropping-particle":"","parse-names":false,"suffix":""},{"dropping-particle":"","family":"Triolo","given":"Federico","non-dropping-particle":"","parse-names":false,"suffix":""},{"dropping-particle":"","family":"Kåreholt","given":"Ingemar","non-dropping-particle":"","parse-names":false,"suffix":""},{"dropping-particle":"","family":"Sjöberg","given":"Linnea","non-dropping-particle":"","parse-names":false,"suffix":""},{"dropping-particle":"","family":"Darin-Mattsson","given":"Alexander","non-dropping-particle":"","parse-names":false,"suffix":""},{"dropping-particle":"","family":"Kivipelto","given":"Miia","non-dropping-particle":"","parse-names":false,"suffix":""},{"dropping-particle":"","family":"Inzitari","given":"Marco","non-dropping-particle":"","parse-names":false,"suffix":""},{"dropping-particle":"","family":"Calderón-Larrañaga","given":"Amaia","non-dropping-particle":"","parse-names":false,"suffix":""}],"container-title":"BMC medicine","id":"ITEM-8","issue":"1","issued":{"date-parts":[["2020"]]},"page":"1-10","publisher":"BioMed Central","title":"Sleep disturbances and the speed of multimorbidity development in old age: results from a longitudinal population-based study","type":"article-journal","volume":"18"},"uris":["http://www.mendeley.com/documents/?uuid=a6f921d6-20c6-370b-8f1e-43c4602cd59b"]},{"id":"ITEM-9","itemData":{"ISSN":"1433893029","author":[{"dropping-particle":"","family":"Birk","given":"Jeffrey L","non-dropping-particle":"","parse-names":false,"suffix":""},{"dropping-particle":"","family":"Kronish","given":"Ian M","non-dropping-particle":"","parse-names":false,"suffix":""},{"dropping-particle":"","family":"Moise","given":"Nathalie","non-dropping-particle":"","parse-names":false,"suffix":""},{"dropping-particle":"","family":"Falzon","given":"Louise","non-dropping-particle":"","parse-names":false,"suffix":""},{"dropping-particle":"","family":"Yoon","given":"Sunmoo","non-dropping-particle":"","parse-names":false,"suffix":""},{"dropping-particle":"","family":"Davidson","given":"Karina W","non-dropping-particle":"","parse-names":false,"suffix":""}],"container-title":"Health Psychology","id":"ITEM-9","issue":"9","issued":{"date-parts":[["2019"]]},"page":"802","publisher":"American Psychological Association","title":"Depression and multimorbidity: Considering temporal characteristics of the associations between depression and multiple chronic diseases.","type":"article-journal","volume":"38"},"uris":["http://www.mendeley.com/documents/?uuid=5193001b-07b0-4501-a40c-77c5e1ed98ef"]},{"id":"ITEM-10","itemData":{"ISSN":"0165-0327","author":[{"dropping-particle":"","family":"Felez-Nobrega","given":"M","non-dropping-particle":"","parse-names":false,"suffix":""},{"dropping-particle":"","family":"Haro","given":"J M","non-dropping-particle":"","parse-names":false,"suffix":""},{"dropping-particle":"","family":"Koyanagi","given":"A","non-dropping-particle":"","parse-names":false,"suffix":""}],"container-title":"Journal of Affective Disorders","id":"ITEM-10","issued":{"date-parts":[["2022"]]},"page":"176-184","publisher":"Elsevier","title":"Multimorbidity, depression with anxiety symptoms, and decrements in health in 47 low-and middle-income countries","type":"article-journal","volume":"317"},"uris":["http://www.mendeley.com/documents/?uuid=b9a264ca-eb56-4014-b4b7-c48a68718b76"]},{"id":"ITEM-11","itemData":{"ISSN":"1932-6203","author":[{"dropping-particle":"","family":"Keetile","given":"Mpho","non-dropping-particle":"","parse-names":false,"suffix":""},{"dropping-particle":"","family":"Navaneetham","given":"Kannan","non-dropping-particle":"","parse-names":false,"suffix":""},{"dropping-particle":"","family":"Letamo","given":"Gobopamang","non-dropping-particle":"","parse-names":false,"suffix":""}],"container-title":"Plos one","id":"ITEM-11","issue":"9","issued":{"date-parts":[["2020"]]},"page":"e0239334","publisher":"Public Library of Science San Francisco, CA USA","title":"Prevalence and correlates of multimorbidity among adults in Botswana: a cross-sectional study","type":"article-journal","volume":"15"},"uris":["http://www.mendeley.com/documents/?uuid=a14dc0f7-52b8-4bfb-ba88-9e5e2547b49f"]},{"id":"ITEM-12","itemData":{"ISSN":"0953-6205","author":[{"dropping-particle":"","family":"Wikström","given":"Katja","non-dropping-particle":"","parse-names":false,"suffix":""},{"dropping-particle":"","family":"Lindström","given":"Jaana","non-dropping-particle":"","parse-names":false,"suffix":""},{"dropping-particle":"","family":"Harald","given":"Kennet","non-dropping-particle":"","parse-names":false,"suffix":""},{"dropping-particle":"","family":"Peltonen","given":"Markku","non-dropping-particle":"","parse-names":false,"suffix":""},{"dropping-particle":"","family":"Laatikainen","given":"Tiina","non-dropping-particle":"","parse-names":false,"suffix":""}],"container-title":"European journal of internal medicine","id":"ITEM-12","issue":"3","issued":{"date-parts":[["2015"]]},"page":"211-216","publisher":"Elsevier","title":"Clinical and lifestyle-related risk factors for incident multimorbidity: 10-year follow-up of Finnish population-based cohorts 1982–2012","type":"article-journal","volume":"26"},"uris":["http://www.mendeley.com/documents/?uuid=54439bb4-d924-4144-9e2d-f09927eac98e"]},{"id":"ITEM-13","itemData":{"author":[{"dropping-particle":"","family":"Vancampfort","given":"Davy","non-dropping-particle":"","parse-names":false,"suffix":""},{"dropping-particle":"","family":"Koyanagi","given":"Ai","non-dropping-particle":"","parse-names":false,"suffix":""},{"dropping-particle":"","family":"Ward","given":"Philip B","non-dropping-particle":"","parse-names":false,"suffix":""},{"dropping-particle":"","family":"Veronese","given":"Nicola","non-dropping-particle":"","parse-names":false,"suffix":""},{"dropping-particle":"","family":"Carvalho","given":"André F","non-dropping-particle":"","parse-names":false,"suffix":""},{"dropping-particle":"","family":"Solmi","given":"Marco","non-dropping-particle":"","parse-names":false,"suffix":""},{"dropping-particle":"","family":"Mugisha","given":"James","non-dropping-particle":"","parse-names":false,"suffix":""},{"dropping-particle":"","family":"Rosenbaum","given":"Simon","non-dropping-particle":"","parse-names":false,"suffix":""},{"dropping-particle":"","family":"Hert","given":"Marc","non-dropping-particle":"De","parse-names":false,"suffix":""},{"dropping-particle":"","family":"Stubbs","given":"Brendon","non-dropping-particle":"","parse-names":false,"suffix":""}],"container-title":"American Journal of Epidemiology","id":"ITEM-13","issue":"8","issued":{"date-parts":[["2017"]]},"page":"979-989","publisher":"Oxford University Press","title":"Perceived stress and its relationship with chronic medical conditions and multimorbidity among 229,293 community-dwelling adults in 44 low-and middle-income countries","type":"article-journal","volume":"186"},"uris":["http://www.mendeley.com/documents/?uuid=6a117a9a-122b-3b9c-9e62-50c984fe3914"]},{"id":"ITEM-14","itemData":{"ISSN":"2254-4070","author":[{"dropping-particle":"","family":"López Sánchez","given":"Guillermo Felipe","non-dropping-particle":"","parse-names":false,"suffix":""},{"dropping-particle":"","family":"Vigueras Hernández","given":"María Rosa","non-dropping-particle":"","parse-names":false,"suffix":""},{"dropping-particle":"","family":"Lucas Casas","given":"Pablo","non-dropping-particle":"","parse-names":false,"suffix":""},{"dropping-particle":"","family":"Zauder","given":"Roksana","non-dropping-particle":"","parse-names":false,"suffix":""},{"dropping-particle":"","family":"Jastrzębska","given":"Joanna","non-dropping-particle":"","parse-names":false,"suffix":""},{"dropping-particle":"","family":"Skalska","given":"Maria","non-dropping-particle":"","parse-names":false,"suffix":""},{"dropping-particle":"","family":"RadzimiNski","given":"Lukasz","non-dropping-particle":"","parse-names":false,"suffix":""},{"dropping-particle":"","family":"Jastrzebski","given":"Zbigniew","non-dropping-particle":"","parse-names":false,"suffix":""},{"dropping-particle":"","family":"Pardhan","given":"Shahina","non-dropping-particle":"","parse-names":false,"suffix":""}],"container-title":"Sport TK: revista euroamericana de ciencias del deporte","id":"ITEM-14","issued":{"date-parts":[["2022"]]},"page":"15","publisher":"Servicio de Publicaciones","title":"Impact of physical activity, BMI and sociodemographic and lifestyle factors on the risk of diabetes in 9511 Ghanaian adults","type":"article-journal","volume":"11"},"uris":["http://www.mendeley.com/documents/?uuid=25a8ba48-0430-4eeb-93f8-4faf8635f404"]}],"mendeley":{"formattedCitation":"[28, 29, 38–41, 30–37]","plainTextFormattedCitation":"[28, 29, 38–41, 30–37]","previouslyFormattedCitation":"(Anzengruber et al., 2006; Araujo, Santos, &amp; Nardi, 2010; Birk et al., 2019; Felez-Nobrega, Haro, &amp; Koyanagi, 2022; Gadalla &amp; Piran, 2007; Keetile, Navaneetham, &amp; Letamo, 2020; Kenny, Van Wijk, Singleton, &amp; Carter, 2018; López Sánchez et al., 2022; Naish, Laliberte, MacKillop, &amp; Balodis, 2019; Sindi et al., 2020; Swinbourne &amp; Touyz, 2007; Vancampfort et al., 2017; Wikström, Lindström, Harald, Peltonen, &amp; Laatikainen, 2015; Yanovski, 2003)"},"properties":{"noteIndex":0},"schema":"https://github.com/citation-style-language/schema/raw/master/csl-citation.json"}</w:instrText>
      </w:r>
      <w:r w:rsidR="009C6AEE">
        <w:rPr>
          <w:lang w:val="en-US"/>
        </w:rPr>
        <w:fldChar w:fldCharType="separate"/>
      </w:r>
      <w:r w:rsidR="009037BE" w:rsidRPr="009037BE">
        <w:rPr>
          <w:noProof/>
          <w:lang w:val="en-US"/>
        </w:rPr>
        <w:t>[28, 29, 38–41, 30–37]</w:t>
      </w:r>
      <w:r w:rsidR="009C6AEE">
        <w:rPr>
          <w:lang w:val="en-US"/>
        </w:rPr>
        <w:fldChar w:fldCharType="end"/>
      </w:r>
      <w:r w:rsidR="00FF25C9">
        <w:rPr>
          <w:lang w:val="en-US"/>
        </w:rPr>
        <w:t>.</w:t>
      </w:r>
      <w:r w:rsidR="00C61751" w:rsidRPr="00C61751">
        <w:t xml:space="preserve"> </w:t>
      </w:r>
    </w:p>
    <w:p w14:paraId="48C7A99E" w14:textId="4CE0AF97" w:rsidR="00625579" w:rsidRDefault="00625579" w:rsidP="00C63A11">
      <w:pPr>
        <w:spacing w:line="480" w:lineRule="auto"/>
        <w:rPr>
          <w:lang w:val="en-US"/>
        </w:rPr>
      </w:pPr>
    </w:p>
    <w:p w14:paraId="2CDE0B1C" w14:textId="1178D2C3" w:rsidR="00FB4034" w:rsidRDefault="00812663" w:rsidP="00C63A11">
      <w:pPr>
        <w:spacing w:line="480" w:lineRule="auto"/>
        <w:rPr>
          <w:lang w:val="en-US"/>
        </w:rPr>
      </w:pPr>
      <w:r>
        <w:rPr>
          <w:lang w:val="en-US"/>
        </w:rPr>
        <w:t>D</w:t>
      </w:r>
      <w:r w:rsidR="0079793C">
        <w:rPr>
          <w:lang w:val="en-US"/>
        </w:rPr>
        <w:t>espite</w:t>
      </w:r>
      <w:r w:rsidR="00196465">
        <w:rPr>
          <w:lang w:val="en-US"/>
        </w:rPr>
        <w:t xml:space="preserve"> the potential importance of eating </w:t>
      </w:r>
      <w:r w:rsidR="00F427B2">
        <w:rPr>
          <w:lang w:val="en-US"/>
        </w:rPr>
        <w:t>di</w:t>
      </w:r>
      <w:r w:rsidR="00535BE8">
        <w:rPr>
          <w:lang w:val="en-US"/>
        </w:rPr>
        <w:t>sorders</w:t>
      </w:r>
      <w:r w:rsidR="00F427B2">
        <w:rPr>
          <w:lang w:val="en-US"/>
        </w:rPr>
        <w:t xml:space="preserve"> </w:t>
      </w:r>
      <w:r w:rsidR="00196465">
        <w:rPr>
          <w:lang w:val="en-US"/>
        </w:rPr>
        <w:t>as a risk factor for multimorbidity</w:t>
      </w:r>
      <w:r w:rsidR="0079793C">
        <w:rPr>
          <w:lang w:val="en-US"/>
        </w:rPr>
        <w:t>, to the best of the authors’ knowledge</w:t>
      </w:r>
      <w:r w:rsidR="00030752">
        <w:rPr>
          <w:lang w:val="en-US"/>
        </w:rPr>
        <w:t>,</w:t>
      </w:r>
      <w:r w:rsidR="0079793C">
        <w:rPr>
          <w:lang w:val="en-US"/>
        </w:rPr>
        <w:t xml:space="preserve"> no research currently exists on the association between </w:t>
      </w:r>
      <w:r w:rsidR="00E92D95">
        <w:rPr>
          <w:lang w:val="en-US"/>
        </w:rPr>
        <w:t>eating di</w:t>
      </w:r>
      <w:r w:rsidR="00535BE8">
        <w:rPr>
          <w:lang w:val="en-US"/>
        </w:rPr>
        <w:t>sorders</w:t>
      </w:r>
      <w:r w:rsidR="00E92D95">
        <w:rPr>
          <w:lang w:val="en-US"/>
        </w:rPr>
        <w:t xml:space="preserve"> </w:t>
      </w:r>
      <w:r w:rsidR="0079793C">
        <w:rPr>
          <w:lang w:val="en-US"/>
        </w:rPr>
        <w:t xml:space="preserve">and </w:t>
      </w:r>
      <w:r w:rsidR="0022649E">
        <w:rPr>
          <w:lang w:val="en-US"/>
        </w:rPr>
        <w:t xml:space="preserve">physical </w:t>
      </w:r>
      <w:r w:rsidR="0079793C">
        <w:rPr>
          <w:lang w:val="en-US"/>
        </w:rPr>
        <w:t>multimorbidity</w:t>
      </w:r>
      <w:r w:rsidR="00196465">
        <w:rPr>
          <w:lang w:val="en-US"/>
        </w:rPr>
        <w:t xml:space="preserve">. </w:t>
      </w:r>
      <w:r w:rsidR="00FB4034">
        <w:rPr>
          <w:lang w:val="en-US"/>
        </w:rPr>
        <w:t>Given this background</w:t>
      </w:r>
      <w:r w:rsidR="0033426D">
        <w:rPr>
          <w:lang w:val="en-US"/>
        </w:rPr>
        <w:t>,</w:t>
      </w:r>
      <w:r w:rsidR="00FB4034">
        <w:rPr>
          <w:lang w:val="en-US"/>
        </w:rPr>
        <w:t xml:space="preserve"> the aim of the present study was to investigate </w:t>
      </w:r>
      <w:r w:rsidR="0022649E">
        <w:rPr>
          <w:lang w:val="en-US"/>
        </w:rPr>
        <w:t>th</w:t>
      </w:r>
      <w:r w:rsidR="002159FD">
        <w:rPr>
          <w:lang w:val="en-US"/>
        </w:rPr>
        <w:t>e association between eating disorder symptoms and possible eating disorder (≥2 eating disorder symptoms)</w:t>
      </w:r>
      <w:r w:rsidR="0022649E">
        <w:rPr>
          <w:lang w:val="en-US"/>
        </w:rPr>
        <w:t xml:space="preserve"> </w:t>
      </w:r>
      <w:r w:rsidR="00FB4034">
        <w:rPr>
          <w:lang w:val="en-US"/>
        </w:rPr>
        <w:t xml:space="preserve">in </w:t>
      </w:r>
      <w:r w:rsidR="0022649E">
        <w:rPr>
          <w:lang w:val="en-US"/>
        </w:rPr>
        <w:t xml:space="preserve">a </w:t>
      </w:r>
      <w:r w:rsidR="00FB4034">
        <w:rPr>
          <w:lang w:val="en-US"/>
        </w:rPr>
        <w:t xml:space="preserve">sample of </w:t>
      </w:r>
      <w:r w:rsidR="00FB4034" w:rsidRPr="00FB4034">
        <w:rPr>
          <w:lang w:val="en-US"/>
        </w:rPr>
        <w:t>7403 individuals aged ≥16 years</w:t>
      </w:r>
      <w:r w:rsidR="00FB4034">
        <w:rPr>
          <w:lang w:val="en-US"/>
        </w:rPr>
        <w:t xml:space="preserve"> </w:t>
      </w:r>
      <w:r w:rsidR="00FE4A70">
        <w:rPr>
          <w:lang w:val="en-US"/>
        </w:rPr>
        <w:t xml:space="preserve">who participated in </w:t>
      </w:r>
      <w:r w:rsidR="00FE4A70">
        <w:rPr>
          <w:lang w:val="en-US"/>
        </w:rPr>
        <w:lastRenderedPageBreak/>
        <w:t>the</w:t>
      </w:r>
      <w:r w:rsidR="00FB4034">
        <w:rPr>
          <w:lang w:val="en-US"/>
        </w:rPr>
        <w:t xml:space="preserve"> UK Adult Psychiatric Morbidity Survey. A further aim was to identify to what extent </w:t>
      </w:r>
      <w:r w:rsidR="00FE4A70">
        <w:rPr>
          <w:lang w:val="en-US"/>
        </w:rPr>
        <w:t>a variety of psychological, lifestyle, and physical factors may explain this association.</w:t>
      </w:r>
    </w:p>
    <w:p w14:paraId="7C8E718E" w14:textId="77777777" w:rsidR="001261C4" w:rsidRDefault="001261C4" w:rsidP="00C63A11">
      <w:pPr>
        <w:spacing w:line="480" w:lineRule="auto"/>
        <w:rPr>
          <w:lang w:val="en-US"/>
        </w:rPr>
      </w:pPr>
    </w:p>
    <w:p w14:paraId="70CE219E" w14:textId="79098CCD" w:rsidR="00A3339F" w:rsidRPr="007526AD" w:rsidRDefault="00A3339F" w:rsidP="00C63A11">
      <w:pPr>
        <w:spacing w:line="480" w:lineRule="auto"/>
        <w:rPr>
          <w:b/>
          <w:bCs/>
          <w:lang w:val="en-US"/>
        </w:rPr>
      </w:pPr>
      <w:r w:rsidRPr="007526AD">
        <w:rPr>
          <w:b/>
          <w:bCs/>
          <w:lang w:val="en-US"/>
        </w:rPr>
        <w:t>METHODS</w:t>
      </w:r>
    </w:p>
    <w:p w14:paraId="1E023D04" w14:textId="77777777" w:rsidR="00611992" w:rsidRPr="007526AD" w:rsidRDefault="00611992" w:rsidP="00611992">
      <w:pPr>
        <w:spacing w:line="480" w:lineRule="auto"/>
        <w:rPr>
          <w:i/>
          <w:lang w:val="en-US"/>
        </w:rPr>
      </w:pPr>
      <w:r w:rsidRPr="007526AD">
        <w:rPr>
          <w:i/>
          <w:lang w:val="en-US"/>
        </w:rPr>
        <w:t>The survey</w:t>
      </w:r>
    </w:p>
    <w:p w14:paraId="56EB848A" w14:textId="43A34E51" w:rsidR="00611992" w:rsidRPr="007526AD" w:rsidRDefault="004447A5" w:rsidP="00611992">
      <w:pPr>
        <w:spacing w:line="480" w:lineRule="auto"/>
        <w:rPr>
          <w:rFonts w:eastAsia="MS Mincho"/>
          <w:color w:val="141413"/>
          <w:lang w:val="en-US"/>
        </w:rPr>
      </w:pPr>
      <w:r>
        <w:rPr>
          <w:lang w:val="en-US"/>
        </w:rPr>
        <w:t xml:space="preserve">Cross-sectional data of the </w:t>
      </w:r>
      <w:r w:rsidR="00611992" w:rsidRPr="007526AD">
        <w:rPr>
          <w:lang w:val="en-US"/>
        </w:rPr>
        <w:t xml:space="preserve">2007 </w:t>
      </w:r>
      <w:r>
        <w:rPr>
          <w:lang w:val="en-US"/>
        </w:rPr>
        <w:t>Adult Psychiatric Morbidity Survey were analyzed</w:t>
      </w:r>
      <w:r w:rsidR="00611992" w:rsidRPr="007526AD">
        <w:rPr>
          <w:lang w:val="en-US"/>
        </w:rPr>
        <w:t>. Survey details are available elsewhere</w:t>
      </w:r>
      <w:r w:rsidR="00D261F2">
        <w:rPr>
          <w:lang w:val="en-US"/>
        </w:rPr>
        <w:t xml:space="preserve"> </w:t>
      </w:r>
      <w:r w:rsidR="00D261F2">
        <w:rPr>
          <w:lang w:val="en-US"/>
        </w:rPr>
        <w:fldChar w:fldCharType="begin" w:fldLock="1"/>
      </w:r>
      <w:r w:rsidR="009037BE">
        <w:rPr>
          <w:lang w:val="en-US"/>
        </w:rPr>
        <w:instrText>ADDIN CSL_CITATION {"citationItems":[{"id":"ITEM-1","itemData":{"author":[{"dropping-particle":"","family":"Jenkins","given":"Rachel","non-dropping-particle":"","parse-names":false,"suffix":""},{"dropping-particle":"","family":"Meltzer","given":"Howard","non-dropping-particle":"","parse-names":false,"suffix":""},{"dropping-particle":"","family":"Bebbington","given":"Paul","non-dropping-particle":"","parse-names":false,"suffix":""},{"dropping-particle":"","family":"Brugha","given":"Traolach","non-dropping-particle":"","parse-names":false,"suffix":""},{"dropping-particle":"","family":"Farrell","given":"Michael","non-dropping-particle":"","parse-names":false,"suffix":""},{"dropping-particle":"","family":"McManus","given":"Sally","non-dropping-particle":"","parse-names":false,"suffix":""},{"dropping-particle":"","family":"Singleton","given":"Nicola","non-dropping-particle":"","parse-names":false,"suffix":""}],"container-title":"Social psychiatry and psychiatric epidemiology","id":"ITEM-1","issued":{"date-parts":[["2009"]]},"page":"899-904","publisher":"Springer","title":"The British Mental Health Survey Programme: achievements and latest findings","type":"article-journal","volume":"44"},"uris":["http://www.mendeley.com/documents/?uuid=bf27c738-e21d-3c7b-a8f0-4dffef41292c"]},{"id":"ITEM-2","itemData":{"URL":"https://digital.nhs.uk/data-and-information/publications/statistical/adult-psychiatric-morbidity-survey/adult-psychiatric-morbidity-in-england-2007-results-of-a-household-survey","author":[{"dropping-particle":"","family":"Digital","given":"N H S","non-dropping-particle":"","parse-names":false,"suffix":""}],"id":"ITEM-2","issue":"21/10/","issued":{"date-parts":[["2009"]]},"title":"Adult Psychiatric Morbidity in England - 2007, Results of a household survey","type":"webpage","volume":"2020"},"uris":["http://www.mendeley.com/documents/?uuid=8f9699b1-fc83-375a-90a7-c2e603190b08"]}],"mendeley":{"formattedCitation":"[42, 43]","plainTextFormattedCitation":"[42, 43]","previouslyFormattedCitation":"(Digital, 2009; Jenkins et al., 2009)"},"properties":{"noteIndex":0},"schema":"https://github.com/citation-style-language/schema/raw/master/csl-citation.json"}</w:instrText>
      </w:r>
      <w:r w:rsidR="00D261F2">
        <w:rPr>
          <w:lang w:val="en-US"/>
        </w:rPr>
        <w:fldChar w:fldCharType="separate"/>
      </w:r>
      <w:r w:rsidR="009037BE" w:rsidRPr="009037BE">
        <w:rPr>
          <w:noProof/>
          <w:lang w:val="en-US"/>
        </w:rPr>
        <w:t>[42, 43]</w:t>
      </w:r>
      <w:r w:rsidR="00D261F2">
        <w:rPr>
          <w:lang w:val="en-US"/>
        </w:rPr>
        <w:fldChar w:fldCharType="end"/>
      </w:r>
      <w:r w:rsidR="00611992" w:rsidRPr="007526AD">
        <w:rPr>
          <w:lang w:val="en-US"/>
        </w:rPr>
        <w:t xml:space="preserve">. In brief, this was a representative survey of the English adult population (aged ≥16 years) residing in private households. Fieldwork was undertaken </w:t>
      </w:r>
      <w:r w:rsidR="00611992" w:rsidRPr="007526AD">
        <w:rPr>
          <w:color w:val="000000"/>
          <w:lang w:val="en-US"/>
        </w:rPr>
        <w:t>by the National Center for Social Research, in conjunction with the University of Leicester</w:t>
      </w:r>
      <w:r w:rsidR="00611992" w:rsidRPr="007526AD" w:rsidDel="00AB15D3">
        <w:rPr>
          <w:lang w:val="en-US"/>
        </w:rPr>
        <w:t xml:space="preserve"> </w:t>
      </w:r>
      <w:r w:rsidR="00611992" w:rsidRPr="007526AD">
        <w:rPr>
          <w:lang w:val="en-US"/>
        </w:rPr>
        <w:t>in October 2006 to December 2007</w:t>
      </w:r>
      <w:r w:rsidR="00611992" w:rsidRPr="007526AD">
        <w:rPr>
          <w:color w:val="000000"/>
          <w:lang w:val="en-US"/>
        </w:rPr>
        <w:t xml:space="preserve">. A </w:t>
      </w:r>
      <w:r w:rsidR="00611992" w:rsidRPr="007526AD">
        <w:rPr>
          <w:color w:val="141413"/>
          <w:lang w:val="en-US"/>
        </w:rPr>
        <w:t>multistage stratified probability sampling design was used. T</w:t>
      </w:r>
      <w:r w:rsidR="00611992" w:rsidRPr="007526AD">
        <w:rPr>
          <w:color w:val="000000"/>
          <w:lang w:val="en-US"/>
        </w:rPr>
        <w:t xml:space="preserve">he small user postcode address file was used as the sampling frame with postcode sectors as the primary sampling units. Addresses were stratified by region and by socio-economic groupings. A </w:t>
      </w:r>
      <w:r w:rsidR="00611992" w:rsidRPr="007526AD">
        <w:rPr>
          <w:color w:val="141413"/>
          <w:lang w:val="en-US"/>
        </w:rPr>
        <w:t xml:space="preserve">Kish grid was used to randomly select one respondent when there was more than one person in a household. </w:t>
      </w:r>
      <w:r w:rsidR="00611992" w:rsidRPr="007526AD">
        <w:rPr>
          <w:color w:val="000000"/>
          <w:lang w:val="en-US"/>
        </w:rPr>
        <w:t>Computer-assisted personal interviewing (CAPI) was used to obtain information from respondents. The survey response rate was 57%. To account for non-response and the probability of selection, sampling weights were generated so that the sample was representative of the English population. T</w:t>
      </w:r>
      <w:r w:rsidR="00611992" w:rsidRPr="007526AD">
        <w:rPr>
          <w:color w:val="141413"/>
          <w:lang w:val="en-US"/>
        </w:rPr>
        <w:t>he Royal Free Hospital and</w:t>
      </w:r>
      <w:r w:rsidR="00611992" w:rsidRPr="007526AD">
        <w:rPr>
          <w:rFonts w:eastAsia="MS Mincho"/>
          <w:lang w:val="en-US"/>
        </w:rPr>
        <w:t xml:space="preserve"> </w:t>
      </w:r>
      <w:r w:rsidR="00611992" w:rsidRPr="007526AD">
        <w:rPr>
          <w:color w:val="141413"/>
          <w:lang w:val="en-US"/>
        </w:rPr>
        <w:t>Medical School Research Ethics Committee provided ethical approval for the survey with</w:t>
      </w:r>
      <w:r w:rsidR="00611992" w:rsidRPr="007526AD">
        <w:rPr>
          <w:rFonts w:eastAsia="MS Mincho"/>
          <w:color w:val="141413"/>
          <w:lang w:val="en-US"/>
        </w:rPr>
        <w:t xml:space="preserve"> informed consent being obtained from all participants.</w:t>
      </w:r>
    </w:p>
    <w:p w14:paraId="7B9BE118" w14:textId="26174A9C" w:rsidR="00611992" w:rsidRPr="007526AD" w:rsidRDefault="00611992" w:rsidP="00611992">
      <w:pPr>
        <w:spacing w:line="480" w:lineRule="auto"/>
        <w:rPr>
          <w:rFonts w:eastAsia="MS Mincho"/>
          <w:color w:val="141413"/>
          <w:lang w:val="en-US"/>
        </w:rPr>
      </w:pPr>
    </w:p>
    <w:p w14:paraId="669603EF" w14:textId="41CD3E40" w:rsidR="00611992" w:rsidRPr="007526AD" w:rsidRDefault="006B53A0" w:rsidP="00611992">
      <w:pPr>
        <w:spacing w:line="480" w:lineRule="auto"/>
        <w:rPr>
          <w:rFonts w:eastAsia="MS Mincho"/>
          <w:b/>
          <w:bCs/>
          <w:i/>
          <w:iCs/>
          <w:color w:val="141413"/>
          <w:lang w:val="en-US"/>
        </w:rPr>
      </w:pPr>
      <w:r w:rsidRPr="007526AD">
        <w:rPr>
          <w:rFonts w:eastAsia="MS Mincho"/>
          <w:b/>
          <w:bCs/>
          <w:i/>
          <w:iCs/>
          <w:color w:val="141413"/>
          <w:lang w:val="en-US"/>
        </w:rPr>
        <w:t>P</w:t>
      </w:r>
      <w:r w:rsidR="00611992" w:rsidRPr="007526AD">
        <w:rPr>
          <w:rFonts w:eastAsia="MS Mincho"/>
          <w:b/>
          <w:bCs/>
          <w:i/>
          <w:iCs/>
          <w:color w:val="141413"/>
          <w:lang w:val="en-US"/>
        </w:rPr>
        <w:t xml:space="preserve">hysical conditions and </w:t>
      </w:r>
      <w:r w:rsidR="00A74455" w:rsidRPr="007526AD">
        <w:rPr>
          <w:rFonts w:eastAsia="MS Mincho"/>
          <w:b/>
          <w:bCs/>
          <w:i/>
          <w:iCs/>
          <w:color w:val="141413"/>
          <w:lang w:val="en-US"/>
        </w:rPr>
        <w:t>physical multimorbidity</w:t>
      </w:r>
    </w:p>
    <w:p w14:paraId="3BAF2A98" w14:textId="5CE5C0B1" w:rsidR="006B53A0" w:rsidRDefault="006B53A0" w:rsidP="006B53A0">
      <w:pPr>
        <w:spacing w:line="480" w:lineRule="auto"/>
        <w:rPr>
          <w:rFonts w:eastAsia="MS Mincho"/>
          <w:color w:val="000000"/>
          <w:lang w:val="en-US"/>
        </w:rPr>
      </w:pPr>
      <w:r w:rsidRPr="007526AD">
        <w:rPr>
          <w:rFonts w:eastAsia="MS Mincho"/>
          <w:color w:val="000000"/>
          <w:lang w:val="en-US"/>
        </w:rPr>
        <w:t xml:space="preserve">Respondents were asked about 20 physical health conditions (cancer, diabetes, epilepsy, migraine, cataracts/eyesight problems, ear/hearing problems, stroke, heart attack/angina, high </w:t>
      </w:r>
      <w:r w:rsidRPr="007526AD">
        <w:rPr>
          <w:rFonts w:eastAsia="MS Mincho"/>
          <w:color w:val="000000"/>
          <w:lang w:val="en-US"/>
        </w:rPr>
        <w:lastRenderedPageBreak/>
        <w:t>blood pressure, bronchitis/emphysema, asthma, allergies, stomach ulcer or other digestive problems, liver problems, bowel/colon problems, bladder problems/incontinence, arthritis, bone/back/joint/muscle problems, infectious disease, and skin problems). To be counted, conditions had to have been diagnosed by a doctor or other health professional and have been present in the previous 12 months. The number of physical conditions was summed and categorized as 0, 1, 2, 3, 4, and ≥5. Multimorbidity was defined as two or more physical conditions</w:t>
      </w:r>
      <w:r w:rsidR="004120B1">
        <w:rPr>
          <w:rFonts w:eastAsia="MS Mincho"/>
          <w:color w:val="000000"/>
          <w:lang w:val="en-US"/>
        </w:rPr>
        <w:t xml:space="preserve"> </w:t>
      </w:r>
      <w:r w:rsidR="004120B1">
        <w:rPr>
          <w:rFonts w:eastAsia="MS Mincho"/>
          <w:color w:val="000000"/>
          <w:lang w:val="en-US"/>
        </w:rPr>
        <w:fldChar w:fldCharType="begin" w:fldLock="1"/>
      </w:r>
      <w:r w:rsidR="009037BE">
        <w:rPr>
          <w:rFonts w:eastAsia="MS Mincho"/>
          <w:color w:val="000000"/>
          <w:lang w:val="en-US"/>
        </w:rPr>
        <w:instrText>ADDIN CSL_CITATION {"citationItems":[{"id":"ITEM-1","itemData":{"author":[{"dropping-particle":"","family":"Garin","given":"Noe","non-dropping-particle":"","parse-names":false,"suffix":""},{"dropping-particle":"","family":"Koyanagi","given":"Ai","non-dropping-particle":"","parse-names":false,"suffix":""},{"dropping-particle":"","family":"Chatterji","given":"Somnath","non-dropping-particle":"","parse-names":false,"suffix":""},{"dropping-particle":"","family":"Tyrovolas","given":"Stefanos","non-dropping-particle":"","parse-names":false,"suffix":""},{"dropping-particle":"","family":"Olaya","given":"Beatriz","non-dropping-particle":"","parse-names":false,"suffix":""},{"dropping-particle":"","family":"Leonardi","given":"Matilde","non-dropping-particle":"","parse-names":false,"suffix":""},{"dropping-particle":"","family":"Lara","given":"Elvira","non-dropping-particle":"","parse-names":false,"suffix":""},{"dropping-particle":"","family":"Koskinen","given":"Seppo","non-dropping-particle":"","parse-names":false,"suffix":""},{"dropping-particle":"","family":"Tobiasz-Adamczyk","given":"Beata","non-dropping-particle":"","parse-names":false,"suffix":""},{"dropping-particle":"","family":"Ayuso-Mateos","given":"Jose Luis","non-dropping-particle":"","parse-names":false,"suffix":""}],"container-title":"Journals of Gerontology Series A: Biomedical Sciences and Medical Sciences","id":"ITEM-1","issue":"2","issued":{"date-parts":[["2016"]]},"page":"205-214","publisher":"Oxford University Press US","title":"Global multimorbidity patterns: a cross-sectional, population-based, multi-country study","type":"article-journal","volume":"71"},"uris":["http://www.mendeley.com/documents/?uuid=2e846e80-e090-3512-8d81-c09edcced4c1"]}],"mendeley":{"formattedCitation":"[44]","plainTextFormattedCitation":"[44]","previouslyFormattedCitation":"(Garin et al., 2016)"},"properties":{"noteIndex":0},"schema":"https://github.com/citation-style-language/schema/raw/master/csl-citation.json"}</w:instrText>
      </w:r>
      <w:r w:rsidR="004120B1">
        <w:rPr>
          <w:rFonts w:eastAsia="MS Mincho"/>
          <w:color w:val="000000"/>
          <w:lang w:val="en-US"/>
        </w:rPr>
        <w:fldChar w:fldCharType="separate"/>
      </w:r>
      <w:r w:rsidR="009037BE" w:rsidRPr="009037BE">
        <w:rPr>
          <w:rFonts w:eastAsia="MS Mincho"/>
          <w:noProof/>
          <w:color w:val="000000"/>
          <w:lang w:val="en-US"/>
        </w:rPr>
        <w:t>[44]</w:t>
      </w:r>
      <w:r w:rsidR="004120B1">
        <w:rPr>
          <w:rFonts w:eastAsia="MS Mincho"/>
          <w:color w:val="000000"/>
          <w:lang w:val="en-US"/>
        </w:rPr>
        <w:fldChar w:fldCharType="end"/>
      </w:r>
      <w:r w:rsidRPr="007526AD">
        <w:rPr>
          <w:rFonts w:eastAsia="MS Mincho"/>
          <w:color w:val="000000"/>
          <w:lang w:val="en-US"/>
        </w:rPr>
        <w:t xml:space="preserve">. </w:t>
      </w:r>
    </w:p>
    <w:p w14:paraId="71DDBDBF" w14:textId="77777777" w:rsidR="00A2719F" w:rsidRPr="007526AD" w:rsidRDefault="00A2719F" w:rsidP="006B53A0">
      <w:pPr>
        <w:spacing w:line="480" w:lineRule="auto"/>
        <w:rPr>
          <w:lang w:val="en-US"/>
        </w:rPr>
      </w:pPr>
    </w:p>
    <w:p w14:paraId="748FAE2E" w14:textId="633A2CCC" w:rsidR="00056760" w:rsidRPr="007526AD" w:rsidRDefault="00056760" w:rsidP="00056760">
      <w:pPr>
        <w:spacing w:line="480" w:lineRule="auto"/>
        <w:rPr>
          <w:b/>
          <w:bCs/>
          <w:i/>
          <w:lang w:val="en-US"/>
        </w:rPr>
      </w:pPr>
      <w:r w:rsidRPr="007526AD">
        <w:rPr>
          <w:b/>
          <w:bCs/>
          <w:i/>
          <w:lang w:val="en-US"/>
        </w:rPr>
        <w:t xml:space="preserve">Eating </w:t>
      </w:r>
      <w:r w:rsidR="006A6AB7">
        <w:rPr>
          <w:b/>
          <w:bCs/>
          <w:i/>
          <w:lang w:val="en-US"/>
        </w:rPr>
        <w:t>di</w:t>
      </w:r>
      <w:r w:rsidR="002159FD">
        <w:rPr>
          <w:b/>
          <w:bCs/>
          <w:i/>
          <w:lang w:val="en-US"/>
        </w:rPr>
        <w:t xml:space="preserve">sorder symptoms and </w:t>
      </w:r>
      <w:r w:rsidR="00A2719F">
        <w:rPr>
          <w:b/>
          <w:bCs/>
          <w:i/>
          <w:lang w:val="en-US"/>
        </w:rPr>
        <w:t>p</w:t>
      </w:r>
      <w:r w:rsidR="002159FD">
        <w:rPr>
          <w:b/>
          <w:bCs/>
          <w:i/>
          <w:lang w:val="en-US"/>
        </w:rPr>
        <w:t>ossible eat</w:t>
      </w:r>
      <w:r w:rsidR="00A2719F">
        <w:rPr>
          <w:b/>
          <w:bCs/>
          <w:i/>
          <w:lang w:val="en-US"/>
        </w:rPr>
        <w:t>i</w:t>
      </w:r>
      <w:r w:rsidR="002159FD">
        <w:rPr>
          <w:b/>
          <w:bCs/>
          <w:i/>
          <w:lang w:val="en-US"/>
        </w:rPr>
        <w:t>ng disorder</w:t>
      </w:r>
    </w:p>
    <w:p w14:paraId="471A08C8" w14:textId="1F23775C" w:rsidR="00056760" w:rsidRPr="009037BE" w:rsidRDefault="00056760" w:rsidP="00056760">
      <w:pPr>
        <w:spacing w:line="480" w:lineRule="auto"/>
        <w:rPr>
          <w:color w:val="141413"/>
          <w:lang w:val="en-US"/>
        </w:rPr>
      </w:pPr>
      <w:r w:rsidRPr="007526AD">
        <w:rPr>
          <w:color w:val="141413"/>
          <w:lang w:val="en-US"/>
        </w:rPr>
        <w:t>Five items from the SCOFF</w:t>
      </w:r>
      <w:r w:rsidR="00901204">
        <w:rPr>
          <w:color w:val="141413"/>
          <w:lang w:val="en-US"/>
        </w:rPr>
        <w:t xml:space="preserve"> </w:t>
      </w:r>
      <w:r w:rsidR="006A6AB7">
        <w:rPr>
          <w:color w:val="141413"/>
          <w:lang w:val="en-US"/>
        </w:rPr>
        <w:t xml:space="preserve">screening tool </w:t>
      </w:r>
      <w:r w:rsidR="00964C80">
        <w:rPr>
          <w:color w:val="141413"/>
          <w:lang w:val="en-US"/>
        </w:rPr>
        <w:fldChar w:fldCharType="begin" w:fldLock="1"/>
      </w:r>
      <w:r w:rsidR="009037BE">
        <w:rPr>
          <w:color w:val="141413"/>
          <w:lang w:val="en-US"/>
        </w:rPr>
        <w:instrText>ADDIN CSL_CITATION {"citationItems":[{"id":"ITEM-1","itemData":{"ISSN":"0959-8138","author":[{"dropping-particle":"","family":"Morgan","given":"John F","non-dropping-particle":"","parse-names":false,"suffix":""},{"dropping-particle":"","family":"Reid","given":"Fiona","non-dropping-particle":"","parse-names":false,"suffix":""},{"dropping-particle":"","family":"Lacey","given":"J Hubert","non-dropping-particle":"","parse-names":false,"suffix":""}],"container-title":"Bmj","id":"ITEM-1","issue":"7223","issued":{"date-parts":[["1999"]]},"page":"1467-1468","publisher":"British Medical Journal Publishing Group","title":"The SCOFF questionnaire: assessment of a new screening tool for eating disorders","type":"article-journal","volume":"319"},"uris":["http://www.mendeley.com/documents/?uuid=b00bf6eb-7e90-477e-8a27-a2fe0f4c2380"]}],"mendeley":{"formattedCitation":"[45]","plainTextFormattedCitation":"[45]","previouslyFormattedCitation":"(Morgan, Reid, &amp; Lacey, 1999)"},"properties":{"noteIndex":0},"schema":"https://github.com/citation-style-language/schema/raw/master/csl-citation.json"}</w:instrText>
      </w:r>
      <w:r w:rsidR="00964C80">
        <w:rPr>
          <w:color w:val="141413"/>
          <w:lang w:val="en-US"/>
        </w:rPr>
        <w:fldChar w:fldCharType="separate"/>
      </w:r>
      <w:r w:rsidR="009037BE" w:rsidRPr="009037BE">
        <w:rPr>
          <w:noProof/>
          <w:color w:val="141413"/>
          <w:lang w:val="en-US"/>
        </w:rPr>
        <w:t>[45]</w:t>
      </w:r>
      <w:r w:rsidR="00964C80">
        <w:rPr>
          <w:color w:val="141413"/>
          <w:lang w:val="en-US"/>
        </w:rPr>
        <w:fldChar w:fldCharType="end"/>
      </w:r>
      <w:r w:rsidR="00964C80">
        <w:rPr>
          <w:color w:val="141413"/>
          <w:lang w:val="en-US"/>
        </w:rPr>
        <w:t xml:space="preserve"> were</w:t>
      </w:r>
      <w:r w:rsidRPr="007526AD">
        <w:rPr>
          <w:color w:val="141413"/>
          <w:lang w:val="en-US"/>
        </w:rPr>
        <w:t xml:space="preserve"> used to assess</w:t>
      </w:r>
      <w:r w:rsidR="002159FD">
        <w:rPr>
          <w:color w:val="141413"/>
          <w:lang w:val="en-US"/>
        </w:rPr>
        <w:t xml:space="preserve"> eating disorder symptoms and possible eating </w:t>
      </w:r>
      <w:r w:rsidR="000F6F69">
        <w:rPr>
          <w:color w:val="141413"/>
          <w:lang w:val="en-US"/>
        </w:rPr>
        <w:t>disorder</w:t>
      </w:r>
      <w:r w:rsidR="00901204">
        <w:rPr>
          <w:color w:val="141413"/>
          <w:lang w:val="en-US"/>
        </w:rPr>
        <w:t>,</w:t>
      </w:r>
      <w:r w:rsidRPr="007526AD">
        <w:rPr>
          <w:color w:val="141413"/>
          <w:lang w:val="en-US"/>
        </w:rPr>
        <w:t xml:space="preserve"> and consisted of whether, in the past year, the participant: had lost more than one stone (6.35kg) in 3 months (weight loss); had made him/herself </w:t>
      </w:r>
      <w:r w:rsidR="003C339B">
        <w:rPr>
          <w:color w:val="141413"/>
          <w:lang w:val="en-US"/>
        </w:rPr>
        <w:t>vomit</w:t>
      </w:r>
      <w:r w:rsidRPr="007526AD">
        <w:rPr>
          <w:color w:val="141413"/>
          <w:lang w:val="en-US"/>
        </w:rPr>
        <w:t xml:space="preserve"> because he/she felt uncomfortably full (self-sick for feeling full); worried that he/she had lost control over how much he/she eats (uncontrolled eating); believed to be fat when others said that he/she was too thin (self-perceived fatness); and thought that food dominated his/her life (food dominance). An affirmative reply to at least two items was considered a positive screen</w:t>
      </w:r>
      <w:r w:rsidR="00901204">
        <w:rPr>
          <w:color w:val="141413"/>
          <w:lang w:val="en-US"/>
        </w:rPr>
        <w:t>, and therefore classified as ‘</w:t>
      </w:r>
      <w:r w:rsidR="0022649E">
        <w:rPr>
          <w:color w:val="141413"/>
          <w:lang w:val="en-US"/>
        </w:rPr>
        <w:t>possible eating disorder’</w:t>
      </w:r>
      <w:r w:rsidR="009D4A53">
        <w:rPr>
          <w:color w:val="141413"/>
          <w:lang w:val="en-US"/>
        </w:rPr>
        <w:t xml:space="preserve"> </w:t>
      </w:r>
      <w:r w:rsidR="009D4A53">
        <w:rPr>
          <w:color w:val="141413"/>
          <w:lang w:val="en-US"/>
        </w:rPr>
        <w:fldChar w:fldCharType="begin" w:fldLock="1"/>
      </w:r>
      <w:r w:rsidR="009037BE">
        <w:rPr>
          <w:color w:val="141413"/>
          <w:lang w:val="en-US"/>
        </w:rPr>
        <w:instrText>ADDIN CSL_CITATION {"citationItems":[{"id":"ITEM-1","itemData":{"ISSN":"0959-8138","author":[{"dropping-particle":"","family":"Morgan","given":"John F","non-dropping-particle":"","parse-names":false,"suffix":""},{"dropping-particle":"","family":"Reid","given":"Fiona","non-dropping-particle":"","parse-names":false,"suffix":""},{"dropping-particle":"","family":"Lacey","given":"J Hubert","non-dropping-particle":"","parse-names":false,"suffix":""}],"container-title":"Bmj","id":"ITEM-1","issue":"7223","issued":{"date-parts":[["1999"]]},"page":"1467-1468","publisher":"British Medical Journal Publishing Group","title":"The SCOFF questionnaire: assessment of a new screening tool for eating disorders","type":"article-journal","volume":"319"},"uris":["http://www.mendeley.com/documents/?uuid=b00bf6eb-7e90-477e-8a27-a2fe0f4c2380"]}],"mendeley":{"formattedCitation":"[45]","plainTextFormattedCitation":"[45]","previouslyFormattedCitation":"(Morgan et al., 1999)"},"properties":{"noteIndex":0},"schema":"https://github.com/citation-style-language/schema/raw/master/csl-citation.json"}</w:instrText>
      </w:r>
      <w:r w:rsidR="009D4A53">
        <w:rPr>
          <w:color w:val="141413"/>
          <w:lang w:val="en-US"/>
        </w:rPr>
        <w:fldChar w:fldCharType="separate"/>
      </w:r>
      <w:r w:rsidR="009037BE" w:rsidRPr="009037BE">
        <w:rPr>
          <w:noProof/>
          <w:color w:val="141413"/>
          <w:lang w:val="en-US"/>
        </w:rPr>
        <w:t>[45]</w:t>
      </w:r>
      <w:r w:rsidR="009D4A53">
        <w:rPr>
          <w:color w:val="141413"/>
          <w:lang w:val="en-US"/>
        </w:rPr>
        <w:fldChar w:fldCharType="end"/>
      </w:r>
      <w:r w:rsidRPr="007526AD">
        <w:rPr>
          <w:color w:val="141413"/>
          <w:lang w:val="en-US"/>
        </w:rPr>
        <w:t xml:space="preserve">. </w:t>
      </w:r>
      <w:r w:rsidR="00901204">
        <w:rPr>
          <w:color w:val="141413"/>
          <w:lang w:val="en-US"/>
        </w:rPr>
        <w:t>Although the</w:t>
      </w:r>
      <w:r w:rsidRPr="007526AD">
        <w:rPr>
          <w:color w:val="141413"/>
          <w:lang w:val="en-US"/>
        </w:rPr>
        <w:t xml:space="preserve"> SCOFF questionnaire is not a diagnostic instrument</w:t>
      </w:r>
      <w:r w:rsidR="00901204">
        <w:rPr>
          <w:color w:val="141413"/>
          <w:lang w:val="en-US"/>
        </w:rPr>
        <w:t xml:space="preserve">, it </w:t>
      </w:r>
      <w:r w:rsidRPr="007526AD">
        <w:rPr>
          <w:color w:val="141413"/>
          <w:lang w:val="en-US"/>
        </w:rPr>
        <w:t>has been found to have high specificity (87-94%) and sensitivity (84-100%) in accordance with clinical diagnoses</w:t>
      </w:r>
      <w:r w:rsidR="009D4A53">
        <w:rPr>
          <w:color w:val="141413"/>
          <w:lang w:val="en-US"/>
        </w:rPr>
        <w:t xml:space="preserve"> </w:t>
      </w:r>
      <w:r w:rsidR="009D4A53">
        <w:rPr>
          <w:color w:val="141413"/>
          <w:lang w:val="en-US"/>
        </w:rPr>
        <w:fldChar w:fldCharType="begin" w:fldLock="1"/>
      </w:r>
      <w:r w:rsidR="009037BE">
        <w:rPr>
          <w:color w:val="141413"/>
          <w:lang w:val="en-US"/>
        </w:rPr>
        <w:instrText>ADDIN CSL_CITATION {"citationItems":[{"id":"ITEM-1","itemData":{"ISSN":"0959-8138","author":[{"dropping-particle":"","family":"Morgan","given":"John F","non-dropping-particle":"","parse-names":false,"suffix":""},{"dropping-particle":"","family":"Reid","given":"Fiona","non-dropping-particle":"","parse-names":false,"suffix":""},{"dropping-particle":"","family":"Lacey","given":"J Hubert","non-dropping-particle":"","parse-names":false,"suffix":""}],"container-title":"Bmj","id":"ITEM-1","issue":"7223","issued":{"date-parts":[["1999"]]},"page":"1467-1468","publisher":"British Medical Journal Publishing Group","title":"The SCOFF questionnaire: assessment of a new screening tool for eating disorders","type":"article-journal","volume":"319"},"uris":["http://www.mendeley.com/documents/?uuid=b00bf6eb-7e90-477e-8a27-a2fe0f4c2380"]},{"id":"ITEM-2","itemData":{"ISSN":"0022-3999","author":[{"dropping-particle":"","family":"Garcia-Campayo","given":"Javier","non-dropping-particle":"","parse-names":false,"suffix":""},{"dropping-particle":"","family":"Sanz-Carrillo","given":"C","non-dropping-particle":"","parse-names":false,"suffix":""},{"dropping-particle":"","family":"Ibañez","given":"J A","non-dropping-particle":"","parse-names":false,"suffix":""},{"dropping-particle":"","family":"Lou","given":"S","non-dropping-particle":"","parse-names":false,"suffix":""},{"dropping-particle":"","family":"Solano","given":"V","non-dropping-particle":"","parse-names":false,"suffix":""},{"dropping-particle":"","family":"Alda","given":"M","non-dropping-particle":"","parse-names":false,"suffix":""}],"container-title":"Journal of psychosomatic research","id":"ITEM-2","issue":"2","issued":{"date-parts":[["2005"]]},"page":"51-55","publisher":"Elsevier","title":"Validation of the Spanish version of the SCOFF questionnaire for the screening of eating disorders in primary care","type":"article-journal","volume":"59"},"uris":["http://www.mendeley.com/documents/?uuid=fa038af3-4b77-4180-98e3-8662d08dc5d9"]},{"id":"ITEM-3","itemData":{"ISSN":"0959-8138","author":[{"dropping-particle":"","family":"Luck","given":"Amy J","non-dropping-particle":"","parse-names":false,"suffix":""},{"dropping-particle":"","family":"MorganLuck","given":"John F","non-dropping-particle":"","parse-names":false,"suffix":""},{"dropping-particle":"","family":"Reid","given":"Fiona","non-dropping-particle":"","parse-names":false,"suffix":""},{"dropping-particle":"","family":"O'Brien","given":"Aileen","non-dropping-particle":"","parse-names":false,"suffix":""},{"dropping-particle":"","family":"Brunton","given":"Joan","non-dropping-particle":"","parse-names":false,"suffix":""},{"dropping-particle":"","family":"Price","given":"Clare","non-dropping-particle":"","parse-names":false,"suffix":""},{"dropping-particle":"","family":"Perry","given":"Lin","non-dropping-particle":"","parse-names":false,"suffix":""},{"dropping-particle":"","family":"Lacey","given":"J Hubert","non-dropping-particle":"","parse-names":false,"suffix":""}],"container-title":"Bmj","id":"ITEM-3","issue":"7367","issued":{"date-parts":[["2002"]]},"page":"755-756","publisher":"British Medical Journal Publishing Group","title":"The SCOFF questionnaire and clinical interview for eating disorders in general practice: comparative study","type":"article-journal","volume":"325"},"uris":["http://www.mendeley.com/documents/?uuid=fec99742-d4b9-42c2-958f-8e5b499de307"]},{"id":"ITEM-4","itemData":{"ISSN":"1138-7416","author":[{"dropping-particle":"","family":"Botella","given":"Juan","non-dropping-particle":"","parse-names":false,"suffix":""},{"dropping-particle":"","family":"Sepúlveda","given":"Ana Rosa","non-dropping-particle":"","parse-names":false,"suffix":""},{"dropping-particle":"","family":"Huang","given":"Huiling","non-dropping-particle":"","parse-names":false,"suffix":""},{"dropping-particle":"","family":"Gambara","given":"Hilda","non-dropping-particle":"","parse-names":false,"suffix":""}],"container-title":"The Spanish journal of psychology","id":"ITEM-4","issued":{"date-parts":[["2013"]]},"page":"E92","publisher":"Cambridge University Press","title":"A meta-analysis of the diagnostic accuracy of the SCOFF","type":"article-journal","volume":"16"},"uris":["http://www.mendeley.com/documents/?uuid=61450771-8b37-49fa-b4ab-d6799c5f0c17"]}],"mendeley":{"formattedCitation":"[45–48]","plainTextFormattedCitation":"[45–48]","previouslyFormattedCitation":"(Botella, Sepúlveda, Huang, &amp; Gambara, 2013; Garcia-Campayo et al., 2005; Luck et al., 2002; Morgan et al., 1999)"},"properties":{"noteIndex":0},"schema":"https://github.com/citation-style-language/schema/raw/master/csl-citation.json"}</w:instrText>
      </w:r>
      <w:r w:rsidR="009D4A53">
        <w:rPr>
          <w:color w:val="141413"/>
          <w:lang w:val="en-US"/>
        </w:rPr>
        <w:fldChar w:fldCharType="separate"/>
      </w:r>
      <w:r w:rsidR="009037BE" w:rsidRPr="009037BE">
        <w:rPr>
          <w:noProof/>
          <w:color w:val="141413"/>
          <w:lang w:val="en-US"/>
        </w:rPr>
        <w:t>[45–48]</w:t>
      </w:r>
      <w:r w:rsidR="009D4A53">
        <w:rPr>
          <w:color w:val="141413"/>
          <w:lang w:val="en-US"/>
        </w:rPr>
        <w:fldChar w:fldCharType="end"/>
      </w:r>
      <w:r w:rsidRPr="009037BE">
        <w:rPr>
          <w:color w:val="141413"/>
          <w:lang w:val="en-US"/>
        </w:rPr>
        <w:t xml:space="preserve">. </w:t>
      </w:r>
    </w:p>
    <w:p w14:paraId="7E6B993E" w14:textId="25EF354F" w:rsidR="00A3339F" w:rsidRPr="009037BE" w:rsidRDefault="00A3339F" w:rsidP="00C63A11">
      <w:pPr>
        <w:spacing w:line="480" w:lineRule="auto"/>
        <w:rPr>
          <w:lang w:val="en-US"/>
        </w:rPr>
      </w:pPr>
    </w:p>
    <w:p w14:paraId="3D7146D3" w14:textId="7A2B464D" w:rsidR="007255E5" w:rsidRPr="007526AD" w:rsidRDefault="007255E5" w:rsidP="00276D94">
      <w:pPr>
        <w:shd w:val="clear" w:color="auto" w:fill="FFFFFF"/>
        <w:spacing w:line="480" w:lineRule="auto"/>
        <w:rPr>
          <w:b/>
          <w:bCs/>
          <w:i/>
          <w:iCs/>
          <w:lang w:val="en-US"/>
        </w:rPr>
      </w:pPr>
      <w:r w:rsidRPr="007526AD">
        <w:rPr>
          <w:b/>
          <w:bCs/>
          <w:i/>
          <w:iCs/>
          <w:lang w:val="en-US"/>
        </w:rPr>
        <w:t>Mediators</w:t>
      </w:r>
    </w:p>
    <w:p w14:paraId="632FDFB3" w14:textId="3689082E" w:rsidR="001D4F1A" w:rsidRPr="007526AD" w:rsidRDefault="00E02B18" w:rsidP="00670075">
      <w:pPr>
        <w:shd w:val="clear" w:color="auto" w:fill="FFFFFF"/>
        <w:spacing w:line="480" w:lineRule="auto"/>
        <w:rPr>
          <w:color w:val="141413"/>
          <w:lang w:val="en-US"/>
        </w:rPr>
      </w:pPr>
      <w:r w:rsidRPr="007526AD">
        <w:rPr>
          <w:color w:val="141413"/>
          <w:lang w:val="en-US"/>
        </w:rPr>
        <w:lastRenderedPageBreak/>
        <w:t xml:space="preserve">The potential mediators or influential factors in the association between </w:t>
      </w:r>
      <w:r w:rsidR="007B446F">
        <w:rPr>
          <w:color w:val="141413"/>
          <w:lang w:val="en-US"/>
        </w:rPr>
        <w:t xml:space="preserve">possible eating disorder </w:t>
      </w:r>
      <w:r w:rsidRPr="007526AD">
        <w:rPr>
          <w:color w:val="141413"/>
          <w:lang w:val="en-US"/>
        </w:rPr>
        <w:t xml:space="preserve">and physical multimorbidity </w:t>
      </w:r>
      <w:r w:rsidR="00720A5F" w:rsidRPr="007526AD">
        <w:rPr>
          <w:color w:val="141413"/>
          <w:lang w:val="en-US"/>
        </w:rPr>
        <w:t xml:space="preserve">considered in this study were </w:t>
      </w:r>
      <w:bookmarkStart w:id="0" w:name="_Hlk127777611"/>
      <w:r w:rsidR="00720A5F" w:rsidRPr="007526AD">
        <w:rPr>
          <w:color w:val="141413"/>
          <w:lang w:val="en-US"/>
        </w:rPr>
        <w:t>insomnia, depression, anxiety disorder, alcohol dependence, lifetime smoking, perceived stress, obesity, and underweight</w:t>
      </w:r>
      <w:bookmarkEnd w:id="0"/>
      <w:r w:rsidR="00720A5F" w:rsidRPr="007526AD">
        <w:rPr>
          <w:color w:val="141413"/>
          <w:lang w:val="en-US"/>
        </w:rPr>
        <w:t>.</w:t>
      </w:r>
    </w:p>
    <w:p w14:paraId="4D86890D" w14:textId="4344FEEA" w:rsidR="00720A5F" w:rsidRPr="007526AD" w:rsidRDefault="00720A5F" w:rsidP="00670075">
      <w:pPr>
        <w:shd w:val="clear" w:color="auto" w:fill="FFFFFF"/>
        <w:spacing w:line="480" w:lineRule="auto"/>
        <w:rPr>
          <w:color w:val="222222"/>
          <w:lang w:val="en-US" w:eastAsia="en-GB"/>
        </w:rPr>
      </w:pPr>
      <w:r w:rsidRPr="007526AD">
        <w:rPr>
          <w:rFonts w:eastAsia="MS Mincho"/>
          <w:color w:val="141413"/>
          <w:lang w:val="en-US"/>
        </w:rPr>
        <w:t>Insomnia was defined as fulfilling all the following three criteria: (</w:t>
      </w:r>
      <w:proofErr w:type="spellStart"/>
      <w:r w:rsidRPr="007526AD">
        <w:rPr>
          <w:rFonts w:eastAsia="MS Mincho"/>
          <w:color w:val="141413"/>
          <w:lang w:val="en-US"/>
        </w:rPr>
        <w:t>i</w:t>
      </w:r>
      <w:proofErr w:type="spellEnd"/>
      <w:r w:rsidRPr="007526AD">
        <w:rPr>
          <w:rFonts w:eastAsia="MS Mincho"/>
          <w:color w:val="141413"/>
          <w:lang w:val="en-US"/>
        </w:rPr>
        <w:t>) problems trying to get to sleep or getting back to sleep (if had woken up) in the past month, (ii) had problems with sleep on at least 4 nights in the past 7 nights in addition to (iii) taking at least 1 hour trying to get to sleep on the night with least sleep</w:t>
      </w:r>
      <w:r w:rsidR="00D70180">
        <w:rPr>
          <w:rFonts w:eastAsia="MS Mincho"/>
          <w:color w:val="141413"/>
          <w:lang w:val="en-US"/>
        </w:rPr>
        <w:t xml:space="preserve"> </w:t>
      </w:r>
      <w:r w:rsidR="00D70180">
        <w:rPr>
          <w:rFonts w:eastAsia="MS Mincho"/>
          <w:color w:val="141413"/>
          <w:lang w:val="en-US"/>
        </w:rPr>
        <w:fldChar w:fldCharType="begin" w:fldLock="1"/>
      </w:r>
      <w:r w:rsidR="009037BE">
        <w:rPr>
          <w:rFonts w:eastAsia="MS Mincho"/>
          <w:color w:val="141413"/>
          <w:lang w:val="en-US"/>
        </w:rPr>
        <w:instrText>ADDIN CSL_CITATION {"citationItems":[{"id":"ITEM-1","itemData":{"author":[{"dropping-particle":"","family":"Freeman","given":"Daniel","non-dropping-particle":"","parse-names":false,"suffix":""},{"dropping-particle":"","family":"Brugha","given":"Traolach","non-dropping-particle":"","parse-names":false,"suffix":""},{"dropping-particle":"","family":"Meltzer","given":"Howard","non-dropping-particle":"","parse-names":false,"suffix":""},{"dropping-particle":"","family":"Jenkins","given":"Rachel","non-dropping-particle":"","parse-names":false,"suffix":""},{"dropping-particle":"","family":"Stahl","given":"Daniel","non-dropping-particle":"","parse-names":false,"suffix":""},{"dropping-particle":"","family":"Bebbington","given":"Paul","non-dropping-particle":"","parse-names":false,"suffix":""}],"container-title":"Journal of psychiatric research","id":"ITEM-1","issue":"15","issued":{"date-parts":[["2010"]]},"page":"1021-1026","publisher":"Elsevier","title":"Persecutory ideation and insomnia: findings from the second British National Survey of Psychiatric Morbidity","type":"article-journal","volume":"44"},"uris":["http://www.mendeley.com/documents/?uuid=1589b397-e848-3545-8026-c56951cf456f"]}],"mendeley":{"formattedCitation":"[49]","plainTextFormattedCitation":"[49]","previouslyFormattedCitation":"(Freeman et al., 2010)"},"properties":{"noteIndex":0},"schema":"https://github.com/citation-style-language/schema/raw/master/csl-citation.json"}</w:instrText>
      </w:r>
      <w:r w:rsidR="00D70180">
        <w:rPr>
          <w:rFonts w:eastAsia="MS Mincho"/>
          <w:color w:val="141413"/>
          <w:lang w:val="en-US"/>
        </w:rPr>
        <w:fldChar w:fldCharType="separate"/>
      </w:r>
      <w:r w:rsidR="009037BE" w:rsidRPr="009037BE">
        <w:rPr>
          <w:rFonts w:eastAsia="MS Mincho"/>
          <w:noProof/>
          <w:color w:val="141413"/>
          <w:lang w:val="en-US"/>
        </w:rPr>
        <w:t>[49]</w:t>
      </w:r>
      <w:r w:rsidR="00D70180">
        <w:rPr>
          <w:rFonts w:eastAsia="MS Mincho"/>
          <w:color w:val="141413"/>
          <w:lang w:val="en-US"/>
        </w:rPr>
        <w:fldChar w:fldCharType="end"/>
      </w:r>
      <w:r w:rsidRPr="007526AD">
        <w:rPr>
          <w:rFonts w:eastAsia="MS Mincho"/>
          <w:color w:val="141413"/>
          <w:lang w:val="en-US"/>
        </w:rPr>
        <w:t xml:space="preserve">. </w:t>
      </w:r>
      <w:r w:rsidR="00276D94" w:rsidRPr="007526AD">
        <w:rPr>
          <w:color w:val="141413"/>
          <w:lang w:val="en-US"/>
        </w:rPr>
        <w:t>The Clinical Interview Schedule</w:t>
      </w:r>
      <w:r w:rsidR="00276D94" w:rsidRPr="007526AD">
        <w:rPr>
          <w:rFonts w:eastAsia="MS Mincho"/>
          <w:color w:val="141413"/>
          <w:lang w:val="en-US"/>
        </w:rPr>
        <w:t xml:space="preserve"> Revised (CIS-R), which can be administered by lay</w:t>
      </w:r>
      <w:r w:rsidR="00BB5012" w:rsidRPr="007526AD">
        <w:rPr>
          <w:rFonts w:eastAsia="MS Mincho"/>
          <w:color w:val="141413"/>
          <w:lang w:val="en-US"/>
        </w:rPr>
        <w:t xml:space="preserve"> </w:t>
      </w:r>
      <w:r w:rsidR="00276D94" w:rsidRPr="007526AD">
        <w:rPr>
          <w:rFonts w:eastAsia="MS Mincho"/>
          <w:color w:val="141413"/>
          <w:lang w:val="en-US"/>
        </w:rPr>
        <w:t>interviewers,</w:t>
      </w:r>
      <w:r w:rsidR="00276D94" w:rsidRPr="007526AD" w:rsidDel="003E21F7">
        <w:rPr>
          <w:rFonts w:eastAsia="MS Mincho"/>
          <w:color w:val="141413"/>
          <w:lang w:val="en-US"/>
        </w:rPr>
        <w:t xml:space="preserve"> </w:t>
      </w:r>
      <w:r w:rsidR="00276D94" w:rsidRPr="007526AD">
        <w:rPr>
          <w:rFonts w:eastAsia="MS Mincho"/>
          <w:color w:val="141413"/>
          <w:lang w:val="en-US"/>
        </w:rPr>
        <w:t>was used to generate ICD-10 diagnoses of depressive episode and anxiety disorder (generalized anxiety disorder</w:t>
      </w:r>
      <w:r w:rsidR="00276D94" w:rsidRPr="007526AD">
        <w:rPr>
          <w:color w:val="141413"/>
          <w:lang w:val="en-US"/>
        </w:rPr>
        <w:t>, panic disorder, phobia, obsessive-compulsive disorder</w:t>
      </w:r>
      <w:r w:rsidR="00276D94" w:rsidRPr="007526AD">
        <w:rPr>
          <w:rFonts w:eastAsia="MS Mincho"/>
          <w:color w:val="141413"/>
          <w:lang w:val="en-US"/>
        </w:rPr>
        <w:t xml:space="preserve">) </w:t>
      </w:r>
      <w:r w:rsidR="00276D94" w:rsidRPr="007526AD">
        <w:rPr>
          <w:color w:val="141413"/>
          <w:lang w:val="en-US"/>
        </w:rPr>
        <w:t>in the prior week</w:t>
      </w:r>
      <w:r w:rsidR="00D70180">
        <w:rPr>
          <w:color w:val="141413"/>
          <w:lang w:val="en-US"/>
        </w:rPr>
        <w:t xml:space="preserve"> </w:t>
      </w:r>
      <w:r w:rsidR="00D70180">
        <w:rPr>
          <w:color w:val="141413"/>
          <w:lang w:val="en-US"/>
        </w:rPr>
        <w:fldChar w:fldCharType="begin" w:fldLock="1"/>
      </w:r>
      <w:r w:rsidR="009037BE">
        <w:rPr>
          <w:color w:val="141413"/>
          <w:lang w:val="en-US"/>
        </w:rPr>
        <w:instrText>ADDIN CSL_CITATION {"citationItems":[{"id":"ITEM-1","itemData":{"author":[{"dropping-particle":"","family":"Lewis","given":"Glyn","non-dropping-particle":"","parse-names":false,"suffix":""},{"dropping-particle":"","family":"Pelosi","given":"Anthony J","non-dropping-particle":"","parse-names":false,"suffix":""},{"dropping-particle":"","family":"Araya","given":"Ricardo","non-dropping-particle":"","parse-names":false,"suffix":""},{"dropping-particle":"","family":"Dunn","given":"Graham","non-dropping-particle":"","parse-names":false,"suffix":""}],"container-title":"Psychological medicine","id":"ITEM-1","issue":"2","issued":{"date-parts":[["1992"]]},"page":"465-486","publisher":"Cambridge University Press","title":"Measuring psychiatric disorder in the community: a standardized assessment for use by lay interviewers","type":"article-journal","volume":"22"},"uris":["http://www.mendeley.com/documents/?uuid=bb6185b9-58e0-365d-93a2-da39c92e5d52"]}],"mendeley":{"formattedCitation":"[50]","plainTextFormattedCitation":"[50]","previouslyFormattedCitation":"(Lewis, Pelosi, Araya, &amp; Dunn, 1992)"},"properties":{"noteIndex":0},"schema":"https://github.com/citation-style-language/schema/raw/master/csl-citation.json"}</w:instrText>
      </w:r>
      <w:r w:rsidR="00D70180">
        <w:rPr>
          <w:color w:val="141413"/>
          <w:lang w:val="en-US"/>
        </w:rPr>
        <w:fldChar w:fldCharType="separate"/>
      </w:r>
      <w:r w:rsidR="009037BE" w:rsidRPr="009037BE">
        <w:rPr>
          <w:noProof/>
          <w:color w:val="141413"/>
          <w:lang w:val="en-US"/>
        </w:rPr>
        <w:t>[50]</w:t>
      </w:r>
      <w:r w:rsidR="00D70180">
        <w:rPr>
          <w:color w:val="141413"/>
          <w:lang w:val="en-US"/>
        </w:rPr>
        <w:fldChar w:fldCharType="end"/>
      </w:r>
      <w:r w:rsidR="00276D94" w:rsidRPr="007526AD">
        <w:rPr>
          <w:rFonts w:eastAsia="MS Mincho"/>
          <w:color w:val="141413"/>
          <w:lang w:val="en-US"/>
        </w:rPr>
        <w:t xml:space="preserve">. </w:t>
      </w:r>
      <w:r w:rsidRPr="007526AD">
        <w:rPr>
          <w:color w:val="222222"/>
          <w:lang w:val="en-US" w:eastAsia="en-GB"/>
        </w:rPr>
        <w:t>Alcohol consumption was assessed with the Alcohol Use Disorders Identification Test (AUDIT)</w:t>
      </w:r>
      <w:r w:rsidR="00D70180">
        <w:rPr>
          <w:color w:val="222222"/>
          <w:lang w:val="en-US" w:eastAsia="en-GB"/>
        </w:rPr>
        <w:t xml:space="preserve"> </w:t>
      </w:r>
      <w:r w:rsidR="00D70180">
        <w:rPr>
          <w:color w:val="222222"/>
          <w:lang w:val="en-US" w:eastAsia="en-GB"/>
        </w:rPr>
        <w:fldChar w:fldCharType="begin" w:fldLock="1"/>
      </w:r>
      <w:r w:rsidR="009037BE">
        <w:rPr>
          <w:color w:val="222222"/>
          <w:lang w:val="en-US" w:eastAsia="en-GB"/>
        </w:rPr>
        <w:instrText>ADDIN CSL_CITATION {"citationItems":[{"id":"ITEM-1","itemData":{"author":[{"dropping-particle":"","family":"Saunders","given":"John B","non-dropping-particle":"","parse-names":false,"suffix":""},{"dropping-particle":"","family":"Aasland","given":"Olaf G","non-dropping-particle":"","parse-names":false,"suffix":""},{"dropping-particle":"","family":"Babor","given":"Thomas F","non-dropping-particle":"","parse-names":false,"suffix":""},{"dropping-particle":"","family":"la Fuente","given":"Juan R","non-dropping-particle":"De","parse-names":false,"suffix":""},{"dropping-particle":"","family":"Grant","given":"Marcus","non-dropping-particle":"","parse-names":false,"suffix":""}],"container-title":"Addiction","id":"ITEM-1","issue":"6","issued":{"date-parts":[["1993"]]},"page":"791-804","publisher":"Wiley Online Library","title":"Development of the alcohol use disorders identification test (AUDIT): WHO collaborative project on early detection of persons with harmful alcohol consumption‐II","type":"article-journal","volume":"88"},"uris":["http://www.mendeley.com/documents/?uuid=892bed31-08b6-3250-a485-3696418bfc13"]}],"mendeley":{"formattedCitation":"[51]","plainTextFormattedCitation":"[51]","previouslyFormattedCitation":"(Saunders, Aasland, Babor, De la Fuente, &amp; Grant, 1993)"},"properties":{"noteIndex":0},"schema":"https://github.com/citation-style-language/schema/raw/master/csl-citation.json"}</w:instrText>
      </w:r>
      <w:r w:rsidR="00D70180">
        <w:rPr>
          <w:color w:val="222222"/>
          <w:lang w:val="en-US" w:eastAsia="en-GB"/>
        </w:rPr>
        <w:fldChar w:fldCharType="separate"/>
      </w:r>
      <w:r w:rsidR="009037BE" w:rsidRPr="009037BE">
        <w:rPr>
          <w:noProof/>
          <w:color w:val="222222"/>
          <w:lang w:val="en-US" w:eastAsia="en-GB"/>
        </w:rPr>
        <w:t>[51]</w:t>
      </w:r>
      <w:r w:rsidR="00D70180">
        <w:rPr>
          <w:color w:val="222222"/>
          <w:lang w:val="en-US" w:eastAsia="en-GB"/>
        </w:rPr>
        <w:fldChar w:fldCharType="end"/>
      </w:r>
      <w:r w:rsidRPr="007526AD">
        <w:rPr>
          <w:color w:val="222222"/>
          <w:lang w:val="en-US" w:eastAsia="en-GB"/>
        </w:rPr>
        <w:t>. Respondents whose AUDIT score was 10 or above were also assessed for alcohol dependence. This was done with the Severity of Alcohol Dependence Questionnaire (SADQ-C)</w:t>
      </w:r>
      <w:r w:rsidR="00D70180">
        <w:rPr>
          <w:color w:val="222222"/>
          <w:lang w:val="en-US" w:eastAsia="en-GB"/>
        </w:rPr>
        <w:t xml:space="preserve"> </w:t>
      </w:r>
      <w:r w:rsidR="00D70180">
        <w:rPr>
          <w:color w:val="222222"/>
          <w:lang w:val="en-US" w:eastAsia="en-GB"/>
        </w:rPr>
        <w:fldChar w:fldCharType="begin" w:fldLock="1"/>
      </w:r>
      <w:r w:rsidR="009037BE">
        <w:rPr>
          <w:color w:val="222222"/>
          <w:lang w:val="en-US" w:eastAsia="en-GB"/>
        </w:rPr>
        <w:instrText>ADDIN CSL_CITATION {"citationItems":[{"id":"ITEM-1","itemData":{"author":[{"dropping-particle":"","family":"Stockwell","given":"T I M","non-dropping-particle":"","parse-names":false,"suffix":""},{"dropping-particle":"","family":"Sitharthan","given":"Thiagarajan","non-dropping-particle":"","parse-names":false,"suffix":""},{"dropping-particle":"","family":"McGRATH","given":"DAVID","non-dropping-particle":"","parse-names":false,"suffix":""},{"dropping-particle":"","family":"Lang","given":"Ernie","non-dropping-particle":"","parse-names":false,"suffix":""}],"container-title":"Addiction","id":"ITEM-1","issue":"2","issued":{"date-parts":[["1994"]]},"page":"167-184","publisher":"Wiley Online Library","title":"The measurement of alcohol dependence and impaired control in community samples","type":"article-journal","volume":"89"},"uris":["http://www.mendeley.com/documents/?uuid=191241d9-a031-3795-8202-b70473f44402"]}],"mendeley":{"formattedCitation":"[52]","plainTextFormattedCitation":"[52]","previouslyFormattedCitation":"(Stockwell, Sitharthan, McGRATH, &amp; Lang, 1994)"},"properties":{"noteIndex":0},"schema":"https://github.com/citation-style-language/schema/raw/master/csl-citation.json"}</w:instrText>
      </w:r>
      <w:r w:rsidR="00D70180">
        <w:rPr>
          <w:color w:val="222222"/>
          <w:lang w:val="en-US" w:eastAsia="en-GB"/>
        </w:rPr>
        <w:fldChar w:fldCharType="separate"/>
      </w:r>
      <w:r w:rsidR="009037BE" w:rsidRPr="009037BE">
        <w:rPr>
          <w:noProof/>
          <w:color w:val="222222"/>
          <w:lang w:val="en-US" w:eastAsia="en-GB"/>
        </w:rPr>
        <w:t>[52]</w:t>
      </w:r>
      <w:r w:rsidR="00D70180">
        <w:rPr>
          <w:color w:val="222222"/>
          <w:lang w:val="en-US" w:eastAsia="en-GB"/>
        </w:rPr>
        <w:fldChar w:fldCharType="end"/>
      </w:r>
      <w:r w:rsidRPr="007526AD">
        <w:rPr>
          <w:color w:val="222222"/>
          <w:lang w:val="en-US" w:eastAsia="en-GB"/>
        </w:rPr>
        <w:t xml:space="preserve">, with a score of 4 or more (out of 60) being used to establish past 6-month alcohol dependence. </w:t>
      </w:r>
      <w:r w:rsidR="00577C49" w:rsidRPr="007526AD">
        <w:rPr>
          <w:color w:val="222222"/>
          <w:lang w:val="en-US" w:eastAsia="en-GB"/>
        </w:rPr>
        <w:t xml:space="preserve">Lifetime smoking referred to answering affirmatively to the question “Have you ever smoked a cigarette?” </w:t>
      </w:r>
      <w:r w:rsidR="00FB73D5" w:rsidRPr="007526AD">
        <w:rPr>
          <w:rFonts w:eastAsia="MS Mincho"/>
          <w:color w:val="141413"/>
          <w:lang w:val="en-US"/>
        </w:rPr>
        <w:t xml:space="preserve">Participants were asked if their </w:t>
      </w:r>
      <w:r w:rsidR="009A1640" w:rsidRPr="007526AD">
        <w:rPr>
          <w:rFonts w:eastAsia="MS Mincho"/>
          <w:color w:val="141413"/>
          <w:lang w:val="en-US"/>
        </w:rPr>
        <w:t xml:space="preserve">tasks at work and home very stressful with answer options “Most of the time”, “Usually”, “Occasionally”, and “Not at all”. </w:t>
      </w:r>
      <w:r w:rsidR="0077275F" w:rsidRPr="007526AD">
        <w:rPr>
          <w:lang w:val="en-US"/>
        </w:rPr>
        <w:t xml:space="preserve">Body mass index (BMI) was calculated as weight in kilograms divided by height in meters squared based on self-reported weight and height. Using the standard WHO definition, </w:t>
      </w:r>
      <w:r w:rsidR="00D3522B" w:rsidRPr="007526AD">
        <w:rPr>
          <w:lang w:val="en-US"/>
        </w:rPr>
        <w:t>obesity referred to BMI ≥30 kg/m</w:t>
      </w:r>
      <w:r w:rsidR="00D3522B" w:rsidRPr="007526AD">
        <w:rPr>
          <w:vertAlign w:val="superscript"/>
          <w:lang w:val="en-US"/>
        </w:rPr>
        <w:t>2</w:t>
      </w:r>
      <w:r w:rsidR="00D3522B" w:rsidRPr="007526AD">
        <w:rPr>
          <w:lang w:val="en-US"/>
        </w:rPr>
        <w:t>, and underweight BMI &lt;18.5 kg/m</w:t>
      </w:r>
      <w:r w:rsidR="00D3522B" w:rsidRPr="007526AD">
        <w:rPr>
          <w:vertAlign w:val="superscript"/>
          <w:lang w:val="en-US"/>
        </w:rPr>
        <w:t>2</w:t>
      </w:r>
      <w:r w:rsidR="00D3522B" w:rsidRPr="007526AD">
        <w:rPr>
          <w:lang w:val="en-US"/>
        </w:rPr>
        <w:t xml:space="preserve">. </w:t>
      </w:r>
    </w:p>
    <w:p w14:paraId="1DB7D1D0" w14:textId="31779A18" w:rsidR="00276D94" w:rsidRPr="007526AD" w:rsidRDefault="00276D94" w:rsidP="00276D94">
      <w:pPr>
        <w:shd w:val="clear" w:color="auto" w:fill="FFFFFF"/>
        <w:spacing w:line="480" w:lineRule="auto"/>
        <w:rPr>
          <w:rFonts w:eastAsia="MS Mincho"/>
          <w:color w:val="141413"/>
          <w:lang w:val="en-US"/>
        </w:rPr>
      </w:pPr>
    </w:p>
    <w:p w14:paraId="1996DB55" w14:textId="4C8B127A" w:rsidR="00A8611A" w:rsidRPr="007526AD" w:rsidRDefault="00A8611A" w:rsidP="00C63A11">
      <w:pPr>
        <w:spacing w:line="480" w:lineRule="auto"/>
        <w:rPr>
          <w:b/>
          <w:bCs/>
          <w:i/>
          <w:iCs/>
          <w:lang w:val="en-US"/>
        </w:rPr>
      </w:pPr>
      <w:r w:rsidRPr="007526AD">
        <w:rPr>
          <w:b/>
          <w:bCs/>
          <w:i/>
          <w:iCs/>
          <w:lang w:val="en-US"/>
        </w:rPr>
        <w:t>Control variables</w:t>
      </w:r>
    </w:p>
    <w:p w14:paraId="3805B949" w14:textId="301B2A80" w:rsidR="00A24C51" w:rsidRPr="007526AD" w:rsidRDefault="00A24C51" w:rsidP="00C63A11">
      <w:pPr>
        <w:spacing w:line="480" w:lineRule="auto"/>
        <w:rPr>
          <w:rFonts w:eastAsia="MS Mincho"/>
          <w:lang w:val="en-US"/>
        </w:rPr>
      </w:pPr>
      <w:r w:rsidRPr="007526AD">
        <w:rPr>
          <w:lang w:val="en-US"/>
        </w:rPr>
        <w:lastRenderedPageBreak/>
        <w:t xml:space="preserve">The control variables included sociodemographic variables (i.e., age, sex, education, ethnicity). </w:t>
      </w:r>
      <w:r w:rsidR="00792D60" w:rsidRPr="007526AD">
        <w:rPr>
          <w:lang w:val="en-US"/>
        </w:rPr>
        <w:t>Education referred to presence or absence of qualification (degree, non-degree, A-level, GCSE, other), and ethnicity was dichotomized into white British or other</w:t>
      </w:r>
      <w:r w:rsidR="00792D60" w:rsidRPr="007526AD">
        <w:rPr>
          <w:rFonts w:eastAsia="MS Mincho"/>
          <w:lang w:val="en-US"/>
        </w:rPr>
        <w:t xml:space="preserve">. </w:t>
      </w:r>
    </w:p>
    <w:p w14:paraId="1D3A3A9B" w14:textId="5DE7186F" w:rsidR="007B3798" w:rsidRPr="007526AD" w:rsidRDefault="007B3798" w:rsidP="00C63A11">
      <w:pPr>
        <w:spacing w:line="480" w:lineRule="auto"/>
        <w:rPr>
          <w:rFonts w:eastAsia="MS Mincho"/>
          <w:lang w:val="en-US"/>
        </w:rPr>
      </w:pPr>
    </w:p>
    <w:p w14:paraId="05A14926" w14:textId="121B2874" w:rsidR="007B3798" w:rsidRPr="007526AD" w:rsidRDefault="006C77FD" w:rsidP="00C63A11">
      <w:pPr>
        <w:spacing w:line="480" w:lineRule="auto"/>
        <w:rPr>
          <w:rFonts w:eastAsia="MS Mincho"/>
          <w:b/>
          <w:bCs/>
          <w:i/>
          <w:iCs/>
          <w:lang w:val="en-US"/>
        </w:rPr>
      </w:pPr>
      <w:r w:rsidRPr="007526AD">
        <w:rPr>
          <w:rFonts w:eastAsia="MS Mincho"/>
          <w:b/>
          <w:bCs/>
          <w:i/>
          <w:iCs/>
          <w:lang w:val="en-US"/>
        </w:rPr>
        <w:t>Statistical analysis</w:t>
      </w:r>
    </w:p>
    <w:p w14:paraId="5926001F" w14:textId="02FB81DA" w:rsidR="009B5657" w:rsidRPr="007526AD" w:rsidRDefault="009B5657" w:rsidP="009252A5">
      <w:pPr>
        <w:spacing w:line="480" w:lineRule="auto"/>
        <w:rPr>
          <w:lang w:val="en-US"/>
        </w:rPr>
      </w:pPr>
      <w:r w:rsidRPr="007526AD">
        <w:rPr>
          <w:color w:val="000000"/>
          <w:lang w:val="en-US"/>
        </w:rPr>
        <w:t xml:space="preserve">The analyses were done </w:t>
      </w:r>
      <w:r w:rsidRPr="007526AD">
        <w:rPr>
          <w:lang w:val="en-US"/>
        </w:rPr>
        <w:t xml:space="preserve">with Stata version 14.2 (Stata Corp LP, College Station, Texas). The difference in sample characteristics between those with and without </w:t>
      </w:r>
      <w:r w:rsidR="006B3FB8">
        <w:rPr>
          <w:lang w:val="en-US"/>
        </w:rPr>
        <w:t xml:space="preserve">possible eating disorder </w:t>
      </w:r>
      <w:r w:rsidRPr="007526AD">
        <w:rPr>
          <w:lang w:val="en-US"/>
        </w:rPr>
        <w:t xml:space="preserve">was </w:t>
      </w:r>
      <w:r w:rsidR="005972B5" w:rsidRPr="007526AD">
        <w:rPr>
          <w:lang w:val="en-US"/>
        </w:rPr>
        <w:t xml:space="preserve">tested by </w:t>
      </w:r>
      <w:r w:rsidRPr="007526AD">
        <w:rPr>
          <w:lang w:val="en-US"/>
        </w:rPr>
        <w:t xml:space="preserve">Chi-squared tests </w:t>
      </w:r>
      <w:r w:rsidR="005972B5" w:rsidRPr="007526AD">
        <w:rPr>
          <w:lang w:val="en-US"/>
        </w:rPr>
        <w:t xml:space="preserve">except for age which was a continuous variable (Student’s </w:t>
      </w:r>
      <w:r w:rsidR="005972B5" w:rsidRPr="007526AD">
        <w:rPr>
          <w:i/>
          <w:iCs/>
          <w:lang w:val="en-US"/>
        </w:rPr>
        <w:t>t</w:t>
      </w:r>
      <w:r w:rsidR="005972B5" w:rsidRPr="007526AD">
        <w:rPr>
          <w:lang w:val="en-US"/>
        </w:rPr>
        <w:t xml:space="preserve">-test). </w:t>
      </w:r>
      <w:r w:rsidR="003569DF" w:rsidRPr="007526AD">
        <w:rPr>
          <w:lang w:val="en-US"/>
        </w:rPr>
        <w:t>Multivariable logistic regression analysis was done to assess the association between individual eating di</w:t>
      </w:r>
      <w:r w:rsidR="002159FD">
        <w:rPr>
          <w:lang w:val="en-US"/>
        </w:rPr>
        <w:t>sorder</w:t>
      </w:r>
      <w:r w:rsidR="003569DF" w:rsidRPr="007526AD">
        <w:rPr>
          <w:lang w:val="en-US"/>
        </w:rPr>
        <w:t xml:space="preserve"> symptoms or </w:t>
      </w:r>
      <w:r w:rsidR="006B3FB8">
        <w:rPr>
          <w:lang w:val="en-US"/>
        </w:rPr>
        <w:t xml:space="preserve">possible eating disorder </w:t>
      </w:r>
      <w:r w:rsidR="003569DF" w:rsidRPr="007526AD">
        <w:rPr>
          <w:lang w:val="en-US"/>
        </w:rPr>
        <w:t xml:space="preserve">(exposures) and individual physical conditions or physical multimorbidity (outcome), while adjusting for age, sex, </w:t>
      </w:r>
      <w:proofErr w:type="gramStart"/>
      <w:r w:rsidR="003569DF" w:rsidRPr="007526AD">
        <w:rPr>
          <w:lang w:val="en-US"/>
        </w:rPr>
        <w:t>education</w:t>
      </w:r>
      <w:proofErr w:type="gramEnd"/>
      <w:r w:rsidR="003569DF" w:rsidRPr="007526AD">
        <w:rPr>
          <w:lang w:val="en-US"/>
        </w:rPr>
        <w:t xml:space="preserve"> and ethnicity. </w:t>
      </w:r>
      <w:r w:rsidR="005E71F2">
        <w:rPr>
          <w:lang w:val="en-US"/>
        </w:rPr>
        <w:t xml:space="preserve">Analyses with individual </w:t>
      </w:r>
      <w:r w:rsidR="006A6AB7">
        <w:rPr>
          <w:lang w:val="en-US"/>
        </w:rPr>
        <w:t>eating di</w:t>
      </w:r>
      <w:r w:rsidR="004510DB">
        <w:rPr>
          <w:lang w:val="en-US"/>
        </w:rPr>
        <w:t>sorder symptoms</w:t>
      </w:r>
      <w:r w:rsidR="005E71F2">
        <w:rPr>
          <w:lang w:val="en-US"/>
        </w:rPr>
        <w:t xml:space="preserve"> as the exposure were also adjusted for the presence of ≥2 individual eating di</w:t>
      </w:r>
      <w:r w:rsidR="004510DB">
        <w:rPr>
          <w:lang w:val="en-US"/>
        </w:rPr>
        <w:t>sorder</w:t>
      </w:r>
      <w:r w:rsidR="005E71F2">
        <w:rPr>
          <w:lang w:val="en-US"/>
        </w:rPr>
        <w:t xml:space="preserve"> symptoms </w:t>
      </w:r>
      <w:r w:rsidR="00D36B1A">
        <w:rPr>
          <w:lang w:val="en-US"/>
        </w:rPr>
        <w:t>as different eating di</w:t>
      </w:r>
      <w:r w:rsidR="004510DB">
        <w:rPr>
          <w:lang w:val="en-US"/>
        </w:rPr>
        <w:t>sorder</w:t>
      </w:r>
      <w:r w:rsidR="00D36B1A">
        <w:rPr>
          <w:lang w:val="en-US"/>
        </w:rPr>
        <w:t xml:space="preserve"> symptoms tend to co-exist. </w:t>
      </w:r>
      <w:r w:rsidR="0078323B" w:rsidRPr="007526AD">
        <w:rPr>
          <w:lang w:val="en-US"/>
        </w:rPr>
        <w:t xml:space="preserve">We also tested for interaction by sex in the association between the individual </w:t>
      </w:r>
      <w:r w:rsidR="006A6AB7">
        <w:rPr>
          <w:lang w:val="en-US"/>
        </w:rPr>
        <w:t>eating di</w:t>
      </w:r>
      <w:r w:rsidR="004510DB">
        <w:rPr>
          <w:lang w:val="en-US"/>
        </w:rPr>
        <w:t>sorder</w:t>
      </w:r>
      <w:r w:rsidR="006A6AB7">
        <w:rPr>
          <w:lang w:val="en-US"/>
        </w:rPr>
        <w:t xml:space="preserve"> </w:t>
      </w:r>
      <w:r w:rsidR="0078323B" w:rsidRPr="007526AD">
        <w:rPr>
          <w:lang w:val="en-US"/>
        </w:rPr>
        <w:t xml:space="preserve">symptoms or </w:t>
      </w:r>
      <w:r w:rsidR="000B624C">
        <w:rPr>
          <w:lang w:val="en-US"/>
        </w:rPr>
        <w:t xml:space="preserve">possible eating disorder </w:t>
      </w:r>
      <w:r w:rsidR="0078323B" w:rsidRPr="007526AD">
        <w:rPr>
          <w:lang w:val="en-US"/>
        </w:rPr>
        <w:t xml:space="preserve">and physical multimorbidity by including the product terms of these conditions and sex in the model but since preliminary analysis showed that there is no significant interaction, the analyses were not stratified by sex. </w:t>
      </w:r>
      <w:r w:rsidRPr="007526AD">
        <w:rPr>
          <w:lang w:val="en-US"/>
        </w:rPr>
        <w:t xml:space="preserve">Finally, in order to gain an understanding on the extent to which various factors </w:t>
      </w:r>
      <w:r w:rsidR="00FC6CFA" w:rsidRPr="007526AD">
        <w:rPr>
          <w:lang w:val="en-US"/>
        </w:rPr>
        <w:t xml:space="preserve">(i.e., insomnia, depression, anxiety disorder, alcohol dependence, lifetime smoking, perceived stress, obesity, underweight) </w:t>
      </w:r>
      <w:r w:rsidRPr="007526AD">
        <w:rPr>
          <w:lang w:val="en-US"/>
        </w:rPr>
        <w:t xml:space="preserve">may explain the relation between </w:t>
      </w:r>
      <w:r w:rsidR="000B624C">
        <w:rPr>
          <w:lang w:val="en-US"/>
        </w:rPr>
        <w:t xml:space="preserve">possible eating disorder </w:t>
      </w:r>
      <w:r w:rsidR="00E32AFC" w:rsidRPr="007526AD">
        <w:rPr>
          <w:lang w:val="en-US"/>
        </w:rPr>
        <w:t xml:space="preserve">and physical multimorbidity, </w:t>
      </w:r>
      <w:r w:rsidRPr="007526AD">
        <w:rPr>
          <w:lang w:val="en-US"/>
        </w:rPr>
        <w:t xml:space="preserve">mediation analysis using the </w:t>
      </w:r>
      <w:proofErr w:type="spellStart"/>
      <w:r w:rsidRPr="007526AD">
        <w:rPr>
          <w:rFonts w:eastAsia="MS Mincho"/>
          <w:lang w:val="en-US"/>
        </w:rPr>
        <w:t>stata</w:t>
      </w:r>
      <w:proofErr w:type="spellEnd"/>
      <w:r w:rsidRPr="007526AD">
        <w:rPr>
          <w:rFonts w:eastAsia="MS Mincho"/>
          <w:lang w:val="en-US"/>
        </w:rPr>
        <w:t xml:space="preserve"> </w:t>
      </w:r>
      <w:proofErr w:type="spellStart"/>
      <w:r w:rsidRPr="007526AD">
        <w:rPr>
          <w:rFonts w:eastAsia="MS Mincho"/>
          <w:i/>
          <w:lang w:val="en-US"/>
        </w:rPr>
        <w:t>khb</w:t>
      </w:r>
      <w:proofErr w:type="spellEnd"/>
      <w:r w:rsidRPr="007526AD">
        <w:rPr>
          <w:rFonts w:eastAsia="MS Mincho"/>
          <w:i/>
          <w:lang w:val="en-US"/>
        </w:rPr>
        <w:t xml:space="preserve"> </w:t>
      </w:r>
      <w:r w:rsidRPr="007526AD">
        <w:rPr>
          <w:rFonts w:eastAsia="MS Mincho"/>
          <w:lang w:val="en-US"/>
        </w:rPr>
        <w:t>(Karlson Holm Breen) command in Stata</w:t>
      </w:r>
      <w:r w:rsidR="00E32AFC" w:rsidRPr="007526AD">
        <w:rPr>
          <w:rFonts w:eastAsia="MS Mincho"/>
          <w:lang w:val="en-US"/>
        </w:rPr>
        <w:t xml:space="preserve"> was conducted</w:t>
      </w:r>
      <w:r w:rsidR="000A7BB7">
        <w:rPr>
          <w:rFonts w:eastAsia="MS Mincho"/>
          <w:lang w:val="en-US"/>
        </w:rPr>
        <w:t xml:space="preserve"> </w:t>
      </w:r>
      <w:r w:rsidR="000A7BB7">
        <w:rPr>
          <w:rFonts w:eastAsia="MS Mincho"/>
          <w:lang w:val="en-US"/>
        </w:rPr>
        <w:fldChar w:fldCharType="begin" w:fldLock="1"/>
      </w:r>
      <w:r w:rsidR="009037BE">
        <w:rPr>
          <w:rFonts w:eastAsia="MS Mincho"/>
          <w:lang w:val="en-US"/>
        </w:rPr>
        <w:instrText>ADDIN CSL_CITATION {"citationItems":[{"id":"ITEM-1","itemData":{"author":[{"dropping-particle":"","family":"Breen","given":"Richard","non-dropping-particle":"","parse-names":false,"suffix":""},{"dropping-particle":"","family":"Karlson","given":"Kristian Bernt","non-dropping-particle":"","parse-names":false,"suffix":""},{"dropping-particle":"","family":"Holm","given":"Anders","non-dropping-particle":"","parse-names":false,"suffix":""}],"container-title":"Sociological Methods &amp; Research","id":"ITEM-1","issue":"2","issued":{"date-parts":[["2013"]]},"page":"164-191","publisher":"Sage Publications Sage CA: Los Angeles, CA","title":"Total, direct, and indirect effects in logit and probit models","type":"article-journal","volume":"42"},"uris":["http://www.mendeley.com/documents/?uuid=76bd21ea-dfd6-329b-8b04-bc72dc3923e8"]}],"mendeley":{"formattedCitation":"[53]","plainTextFormattedCitation":"[53]","previouslyFormattedCitation":"(Breen, Karlson, &amp; Holm, 2013)"},"properties":{"noteIndex":0},"schema":"https://github.com/citation-style-language/schema/raw/master/csl-citation.json"}</w:instrText>
      </w:r>
      <w:r w:rsidR="000A7BB7">
        <w:rPr>
          <w:rFonts w:eastAsia="MS Mincho"/>
          <w:lang w:val="en-US"/>
        </w:rPr>
        <w:fldChar w:fldCharType="separate"/>
      </w:r>
      <w:r w:rsidR="009037BE" w:rsidRPr="009037BE">
        <w:rPr>
          <w:rFonts w:eastAsia="MS Mincho"/>
          <w:noProof/>
          <w:lang w:val="en-US"/>
        </w:rPr>
        <w:t>[53]</w:t>
      </w:r>
      <w:r w:rsidR="000A7BB7">
        <w:rPr>
          <w:rFonts w:eastAsia="MS Mincho"/>
          <w:lang w:val="en-US"/>
        </w:rPr>
        <w:fldChar w:fldCharType="end"/>
      </w:r>
      <w:r w:rsidR="00E32AFC" w:rsidRPr="007526AD">
        <w:rPr>
          <w:rFonts w:eastAsia="MS Mincho"/>
          <w:lang w:val="en-US"/>
        </w:rPr>
        <w:t>.</w:t>
      </w:r>
      <w:r w:rsidRPr="007526AD">
        <w:rPr>
          <w:lang w:val="en-US"/>
        </w:rPr>
        <w:t xml:space="preserve"> </w:t>
      </w:r>
      <w:r w:rsidRPr="007526AD">
        <w:rPr>
          <w:rFonts w:eastAsia="MS Mincho"/>
          <w:lang w:val="en-US"/>
        </w:rPr>
        <w:t xml:space="preserve">This method can be applied in logistic regression models and decomposes the total effect of a variable into direct and indirect effects. Using this method, </w:t>
      </w:r>
      <w:r w:rsidRPr="007526AD">
        <w:rPr>
          <w:lang w:val="en-US" w:eastAsia="da-DK"/>
        </w:rPr>
        <w:t xml:space="preserve">the percentage of </w:t>
      </w:r>
      <w:r w:rsidRPr="007526AD">
        <w:rPr>
          <w:lang w:val="en-US" w:eastAsia="da-DK"/>
        </w:rPr>
        <w:lastRenderedPageBreak/>
        <w:t>the main association explained by the mediator can also be calculated (mediated percentage).</w:t>
      </w:r>
      <w:r w:rsidRPr="007526AD">
        <w:rPr>
          <w:lang w:val="en-US"/>
        </w:rPr>
        <w:t xml:space="preserve"> </w:t>
      </w:r>
      <w:r w:rsidRPr="007526AD">
        <w:rPr>
          <w:lang w:val="en-US" w:eastAsia="da-DK"/>
        </w:rPr>
        <w:t>Each potential mediator was included in the model individually</w:t>
      </w:r>
      <w:r w:rsidR="00B46C4E" w:rsidRPr="007526AD">
        <w:rPr>
          <w:lang w:val="en-US" w:eastAsia="da-DK"/>
        </w:rPr>
        <w:t xml:space="preserve">, </w:t>
      </w:r>
      <w:proofErr w:type="gramStart"/>
      <w:r w:rsidR="00B46C4E" w:rsidRPr="007526AD">
        <w:rPr>
          <w:lang w:val="en-US" w:eastAsia="da-DK"/>
        </w:rPr>
        <w:t>with the exception of</w:t>
      </w:r>
      <w:proofErr w:type="gramEnd"/>
      <w:r w:rsidR="00B46C4E" w:rsidRPr="007526AD">
        <w:rPr>
          <w:lang w:val="en-US" w:eastAsia="da-DK"/>
        </w:rPr>
        <w:t xml:space="preserve"> the model which included all the potential mediators simultaneously</w:t>
      </w:r>
      <w:r w:rsidRPr="007526AD">
        <w:rPr>
          <w:lang w:val="en-US" w:eastAsia="da-DK"/>
        </w:rPr>
        <w:t>. The mediation analysis</w:t>
      </w:r>
      <w:r w:rsidR="009252A5" w:rsidRPr="007526AD">
        <w:rPr>
          <w:lang w:val="en-US" w:eastAsia="da-DK"/>
        </w:rPr>
        <w:t xml:space="preserve"> </w:t>
      </w:r>
      <w:r w:rsidRPr="007526AD">
        <w:rPr>
          <w:lang w:val="en-US" w:eastAsia="da-DK"/>
        </w:rPr>
        <w:t xml:space="preserve">controlled for </w:t>
      </w:r>
      <w:r w:rsidRPr="007526AD">
        <w:rPr>
          <w:lang w:val="en-US"/>
        </w:rPr>
        <w:t xml:space="preserve">sex, age, </w:t>
      </w:r>
      <w:r w:rsidR="009252A5" w:rsidRPr="007526AD">
        <w:rPr>
          <w:lang w:val="en-US"/>
        </w:rPr>
        <w:t xml:space="preserve">education, and ethnicity. </w:t>
      </w:r>
      <w:proofErr w:type="gramStart"/>
      <w:r w:rsidRPr="007526AD">
        <w:rPr>
          <w:color w:val="000000"/>
          <w:lang w:val="en-US"/>
        </w:rPr>
        <w:t>In order to</w:t>
      </w:r>
      <w:proofErr w:type="gramEnd"/>
      <w:r w:rsidRPr="007526AD">
        <w:rPr>
          <w:color w:val="000000"/>
          <w:lang w:val="en-US"/>
        </w:rPr>
        <w:t xml:space="preserve"> generate nationally representative estimates, in all analyses, the sample weighting and the complex study design were taken into account. Odds ratios (OR) and their 95% confidence intervals (95%CI) are reported. </w:t>
      </w:r>
      <w:r w:rsidRPr="007526AD">
        <w:rPr>
          <w:lang w:val="en-US"/>
        </w:rPr>
        <w:t xml:space="preserve">The level of statistical significance was set at P&lt;0.05. </w:t>
      </w:r>
    </w:p>
    <w:p w14:paraId="36EBB43F" w14:textId="1E5CC389" w:rsidR="006C77FD" w:rsidRPr="007526AD" w:rsidRDefault="006C77FD" w:rsidP="00C63A11">
      <w:pPr>
        <w:spacing w:line="480" w:lineRule="auto"/>
        <w:rPr>
          <w:lang w:val="en-US"/>
        </w:rPr>
      </w:pPr>
    </w:p>
    <w:p w14:paraId="67C623C7" w14:textId="0ED552B0" w:rsidR="001A0CFB" w:rsidRPr="007526AD" w:rsidRDefault="001A0CFB" w:rsidP="00C63A11">
      <w:pPr>
        <w:spacing w:line="480" w:lineRule="auto"/>
        <w:rPr>
          <w:b/>
          <w:bCs/>
          <w:lang w:val="en-US"/>
        </w:rPr>
      </w:pPr>
      <w:r w:rsidRPr="007072C8">
        <w:rPr>
          <w:b/>
          <w:bCs/>
          <w:lang w:val="en-US"/>
        </w:rPr>
        <w:t>RESULTS</w:t>
      </w:r>
    </w:p>
    <w:p w14:paraId="5390A37A" w14:textId="05B14D48" w:rsidR="00033135" w:rsidRDefault="00D30F1B" w:rsidP="00C63A11">
      <w:pPr>
        <w:spacing w:line="480" w:lineRule="auto"/>
        <w:rPr>
          <w:lang w:val="en-US"/>
        </w:rPr>
      </w:pPr>
      <w:r w:rsidRPr="007526AD">
        <w:rPr>
          <w:lang w:val="en-US"/>
        </w:rPr>
        <w:t xml:space="preserve">A total of 7403 individuals aged ≥16 years were included in the analysis. The prevalence of </w:t>
      </w:r>
      <w:r w:rsidR="00DA56C3">
        <w:rPr>
          <w:lang w:val="en-US"/>
        </w:rPr>
        <w:t xml:space="preserve">possible eating disorder </w:t>
      </w:r>
      <w:r w:rsidRPr="007526AD">
        <w:rPr>
          <w:lang w:val="en-US"/>
        </w:rPr>
        <w:t xml:space="preserve">was </w:t>
      </w:r>
      <w:r w:rsidR="001A2B35">
        <w:rPr>
          <w:lang w:val="en-US"/>
        </w:rPr>
        <w:t>6.4</w:t>
      </w:r>
      <w:r w:rsidRPr="007526AD">
        <w:rPr>
          <w:lang w:val="en-US"/>
        </w:rPr>
        <w:t xml:space="preserve">%, while the prevalence of the individual </w:t>
      </w:r>
      <w:r w:rsidR="007072C8">
        <w:rPr>
          <w:lang w:val="en-US"/>
        </w:rPr>
        <w:t>eating di</w:t>
      </w:r>
      <w:r w:rsidR="004510DB">
        <w:rPr>
          <w:lang w:val="en-US"/>
        </w:rPr>
        <w:t>sorder</w:t>
      </w:r>
      <w:r w:rsidR="00901204">
        <w:rPr>
          <w:lang w:val="en-US"/>
        </w:rPr>
        <w:t xml:space="preserve"> symptoms</w:t>
      </w:r>
      <w:r w:rsidRPr="007526AD">
        <w:rPr>
          <w:lang w:val="en-US"/>
        </w:rPr>
        <w:t xml:space="preserve"> </w:t>
      </w:r>
      <w:proofErr w:type="gramStart"/>
      <w:r w:rsidRPr="007526AD">
        <w:rPr>
          <w:lang w:val="en-US"/>
        </w:rPr>
        <w:t>were</w:t>
      </w:r>
      <w:proofErr w:type="gramEnd"/>
      <w:r w:rsidRPr="007526AD">
        <w:rPr>
          <w:lang w:val="en-US"/>
        </w:rPr>
        <w:t xml:space="preserve">: weight loss </w:t>
      </w:r>
      <w:r w:rsidR="001A2B35">
        <w:rPr>
          <w:lang w:val="en-US"/>
        </w:rPr>
        <w:t>10.8</w:t>
      </w:r>
      <w:r w:rsidRPr="007526AD">
        <w:rPr>
          <w:lang w:val="en-US"/>
        </w:rPr>
        <w:t xml:space="preserve">%; self-sick for feeling full </w:t>
      </w:r>
      <w:r w:rsidR="001A2B35">
        <w:rPr>
          <w:lang w:val="en-US"/>
        </w:rPr>
        <w:t>3.0</w:t>
      </w:r>
      <w:r w:rsidRPr="007526AD">
        <w:rPr>
          <w:lang w:val="en-US"/>
        </w:rPr>
        <w:t xml:space="preserve">%; uncontrolled eating </w:t>
      </w:r>
      <w:r w:rsidR="001A2B35">
        <w:rPr>
          <w:lang w:val="en-US"/>
        </w:rPr>
        <w:t>7.3</w:t>
      </w:r>
      <w:r w:rsidRPr="007526AD">
        <w:rPr>
          <w:lang w:val="en-US"/>
        </w:rPr>
        <w:t xml:space="preserve">%; self-perceived fatness </w:t>
      </w:r>
      <w:r w:rsidR="001A2B35">
        <w:rPr>
          <w:lang w:val="en-US"/>
        </w:rPr>
        <w:t>5.6</w:t>
      </w:r>
      <w:r w:rsidRPr="007526AD">
        <w:rPr>
          <w:lang w:val="en-US"/>
        </w:rPr>
        <w:t xml:space="preserve">%; food dominance </w:t>
      </w:r>
      <w:r w:rsidR="001A2B35">
        <w:rPr>
          <w:lang w:val="en-US"/>
        </w:rPr>
        <w:t>3.6</w:t>
      </w:r>
      <w:r w:rsidRPr="007526AD">
        <w:rPr>
          <w:lang w:val="en-US"/>
        </w:rPr>
        <w:t xml:space="preserve">%. </w:t>
      </w:r>
      <w:r w:rsidR="002E6A68" w:rsidRPr="007526AD">
        <w:rPr>
          <w:lang w:val="en-US"/>
        </w:rPr>
        <w:t xml:space="preserve">The prevalence of physical multimorbidity was </w:t>
      </w:r>
      <w:r w:rsidR="001A2B35">
        <w:rPr>
          <w:lang w:val="en-US"/>
        </w:rPr>
        <w:t>35.1</w:t>
      </w:r>
      <w:r w:rsidR="002E6A68" w:rsidRPr="007526AD">
        <w:rPr>
          <w:lang w:val="en-US"/>
        </w:rPr>
        <w:t xml:space="preserve">%. The sample characteristics are provided in </w:t>
      </w:r>
      <w:r w:rsidR="002E6A68" w:rsidRPr="007526AD">
        <w:rPr>
          <w:b/>
          <w:bCs/>
          <w:lang w:val="en-US"/>
        </w:rPr>
        <w:t>Table 1</w:t>
      </w:r>
      <w:r w:rsidR="002E6A68" w:rsidRPr="007526AD">
        <w:rPr>
          <w:lang w:val="en-US"/>
        </w:rPr>
        <w:t xml:space="preserve">. </w:t>
      </w:r>
      <w:r w:rsidR="007317EF" w:rsidRPr="007526AD">
        <w:rPr>
          <w:lang w:val="en-US"/>
        </w:rPr>
        <w:t xml:space="preserve">The mean (SD) age of the sample was 46.3 (18.6) years and 48.6% were males. People with </w:t>
      </w:r>
      <w:r w:rsidR="00DA56C3">
        <w:rPr>
          <w:lang w:val="en-US"/>
        </w:rPr>
        <w:t xml:space="preserve">possible eating disorder </w:t>
      </w:r>
      <w:r w:rsidR="007317EF" w:rsidRPr="007526AD">
        <w:rPr>
          <w:lang w:val="en-US"/>
        </w:rPr>
        <w:t>were significantly more likely to be younger, females, and have higher levels of education. Furthermore, they were also significantly more likely to have sleep problems, depression, anxiety, alcohol dependence, higher levels of perceived stress, and obesity</w:t>
      </w:r>
      <w:r w:rsidR="00841AC5">
        <w:rPr>
          <w:lang w:val="en-US"/>
        </w:rPr>
        <w:t xml:space="preserve">. </w:t>
      </w:r>
    </w:p>
    <w:p w14:paraId="169A4877" w14:textId="77777777" w:rsidR="00033135" w:rsidRDefault="00033135" w:rsidP="00C63A11">
      <w:pPr>
        <w:spacing w:line="480" w:lineRule="auto"/>
        <w:rPr>
          <w:lang w:val="en-US"/>
        </w:rPr>
      </w:pPr>
    </w:p>
    <w:p w14:paraId="28D1D672" w14:textId="7DEE88C3" w:rsidR="001A0CFB" w:rsidRDefault="00841AC5" w:rsidP="00C63A11">
      <w:pPr>
        <w:spacing w:line="480" w:lineRule="auto"/>
        <w:rPr>
          <w:lang w:val="en-US"/>
        </w:rPr>
      </w:pPr>
      <w:r>
        <w:rPr>
          <w:lang w:val="en-US"/>
        </w:rPr>
        <w:t>T</w:t>
      </w:r>
      <w:r w:rsidR="00A27B9E" w:rsidRPr="007526AD">
        <w:rPr>
          <w:lang w:val="en-US"/>
        </w:rPr>
        <w:t xml:space="preserve">he prevalence of </w:t>
      </w:r>
      <w:r w:rsidR="005B26EB">
        <w:rPr>
          <w:lang w:val="en-US"/>
        </w:rPr>
        <w:t xml:space="preserve">possible eating disorder </w:t>
      </w:r>
      <w:r w:rsidR="00A27B9E" w:rsidRPr="007526AD">
        <w:rPr>
          <w:lang w:val="en-US"/>
        </w:rPr>
        <w:t>increased linearly with increasing number of physical conditions (</w:t>
      </w:r>
      <w:r w:rsidR="00A27B9E" w:rsidRPr="007526AD">
        <w:rPr>
          <w:b/>
          <w:bCs/>
          <w:lang w:val="en-US"/>
        </w:rPr>
        <w:t>Figure 1</w:t>
      </w:r>
      <w:r w:rsidR="00A27B9E" w:rsidRPr="007526AD">
        <w:rPr>
          <w:lang w:val="en-US"/>
        </w:rPr>
        <w:t>).</w:t>
      </w:r>
      <w:r w:rsidR="00C776EB">
        <w:rPr>
          <w:lang w:val="en-US"/>
        </w:rPr>
        <w:t xml:space="preserve"> Specifically</w:t>
      </w:r>
      <w:r w:rsidR="00E613DC" w:rsidRPr="007526AD">
        <w:rPr>
          <w:lang w:val="en-US"/>
        </w:rPr>
        <w:t xml:space="preserve">, the prevalence was 5.8% among those with no physical conditions but this increased to 8.5% among those with ≥4 physical conditions. </w:t>
      </w:r>
      <w:r w:rsidR="007526AD" w:rsidRPr="007526AD">
        <w:rPr>
          <w:lang w:val="en-US"/>
        </w:rPr>
        <w:t xml:space="preserve">In terms of the individual physical conditions, </w:t>
      </w:r>
      <w:r w:rsidR="005B26EB">
        <w:rPr>
          <w:lang w:val="en-US"/>
        </w:rPr>
        <w:t xml:space="preserve">possible eating disorder </w:t>
      </w:r>
      <w:r w:rsidR="007526AD" w:rsidRPr="007526AD">
        <w:rPr>
          <w:lang w:val="en-US"/>
        </w:rPr>
        <w:t xml:space="preserve">was significantly associated with higher </w:t>
      </w:r>
      <w:r w:rsidR="007526AD" w:rsidRPr="007526AD">
        <w:rPr>
          <w:lang w:val="en-US"/>
        </w:rPr>
        <w:lastRenderedPageBreak/>
        <w:t xml:space="preserve">odds for allergy, arthritis, asthma, bladder problems/incontinence, </w:t>
      </w:r>
      <w:r w:rsidR="00821F59">
        <w:rPr>
          <w:lang w:val="en-US"/>
        </w:rPr>
        <w:t>problems with back/bone/joint/muscle, bowel/colon problems, cancer, cataracts/eyesight problems, infectious diseases, liver problems, migraines/frequent headaches, skin problems, and stomach ulcer or other digestive problems (</w:t>
      </w:r>
      <w:r w:rsidR="00821F59" w:rsidRPr="00821F59">
        <w:rPr>
          <w:b/>
          <w:bCs/>
          <w:lang w:val="en-US"/>
        </w:rPr>
        <w:t>Table 2</w:t>
      </w:r>
      <w:r w:rsidR="00821F59">
        <w:rPr>
          <w:lang w:val="en-US"/>
        </w:rPr>
        <w:t xml:space="preserve">). </w:t>
      </w:r>
      <w:r w:rsidR="00033135">
        <w:rPr>
          <w:lang w:val="en-US"/>
        </w:rPr>
        <w:t>Next, i</w:t>
      </w:r>
      <w:r w:rsidR="00AC390C">
        <w:rPr>
          <w:lang w:val="en-US"/>
        </w:rPr>
        <w:t xml:space="preserve">n terms of the individual </w:t>
      </w:r>
      <w:r w:rsidR="007072C8">
        <w:rPr>
          <w:lang w:val="en-US"/>
        </w:rPr>
        <w:t>eating di</w:t>
      </w:r>
      <w:r w:rsidR="004510DB">
        <w:rPr>
          <w:lang w:val="en-US"/>
        </w:rPr>
        <w:t>sorder</w:t>
      </w:r>
      <w:r w:rsidR="00901204">
        <w:rPr>
          <w:lang w:val="en-US"/>
        </w:rPr>
        <w:t xml:space="preserve"> symptoms</w:t>
      </w:r>
      <w:r w:rsidR="00AC390C">
        <w:rPr>
          <w:lang w:val="en-US"/>
        </w:rPr>
        <w:t>, weight loss was significantly associ</w:t>
      </w:r>
      <w:r w:rsidR="00A424D4">
        <w:rPr>
          <w:lang w:val="en-US"/>
        </w:rPr>
        <w:t xml:space="preserve">ated with bowel/colon problems, cancer, cataracts/eyesight problems, heart attack/angina, high blood pressure, liver problems, migraine or frequent headaches, and stomach ulcer or other digestive problems (Appendix </w:t>
      </w:r>
      <w:r w:rsidR="00A424D4" w:rsidRPr="00A424D4">
        <w:rPr>
          <w:b/>
          <w:bCs/>
          <w:lang w:val="en-US"/>
        </w:rPr>
        <w:t>Table S1</w:t>
      </w:r>
      <w:r w:rsidR="00A424D4">
        <w:rPr>
          <w:lang w:val="en-US"/>
        </w:rPr>
        <w:t xml:space="preserve">). </w:t>
      </w:r>
      <w:r w:rsidR="00404A5A">
        <w:rPr>
          <w:lang w:val="en-US"/>
        </w:rPr>
        <w:t xml:space="preserve">Furthermore, uncontrolled eating was significantly associated with higher odds for asthma, bladder problems/incontinence, bowel/colon problems, diabetes, and high blood pressure, and self-perceived fatness with asthma, bowel/colon problems, skin problems, and stroke, while food dominance was significantly associated only with arthritis and liver problems. </w:t>
      </w:r>
    </w:p>
    <w:p w14:paraId="12A90C03" w14:textId="30C31C15" w:rsidR="001A53DD" w:rsidRDefault="001A53DD" w:rsidP="00C63A11">
      <w:pPr>
        <w:spacing w:line="480" w:lineRule="auto"/>
        <w:rPr>
          <w:lang w:val="en-US"/>
        </w:rPr>
      </w:pPr>
    </w:p>
    <w:p w14:paraId="48190E9F" w14:textId="07EFAD54" w:rsidR="001A53DD" w:rsidRDefault="006F102A" w:rsidP="00C63A11">
      <w:pPr>
        <w:spacing w:line="480" w:lineRule="auto"/>
        <w:rPr>
          <w:lang w:val="en-US"/>
        </w:rPr>
      </w:pPr>
      <w:r>
        <w:rPr>
          <w:lang w:val="en-US"/>
        </w:rPr>
        <w:t xml:space="preserve">Weight loss (OR=1.64; 95%CI=1.37-1.97), uncontrolled eating (OR=1.87; 95%CI=1.34-2.60), self-perceived fatness (OR=1.69; 95%CI=1.28-2.23), and </w:t>
      </w:r>
      <w:r w:rsidR="005B26EB">
        <w:rPr>
          <w:lang w:val="en-US"/>
        </w:rPr>
        <w:t xml:space="preserve">possible eating disorder </w:t>
      </w:r>
      <w:r>
        <w:rPr>
          <w:lang w:val="en-US"/>
        </w:rPr>
        <w:t xml:space="preserve">(OR=2.11; 95%CI=1.67-2.67) were associated with significantly higher odds for physical multimorbidity, but self-sick for feeling full and food dominance were not </w:t>
      </w:r>
      <w:r w:rsidR="003D2EFA">
        <w:rPr>
          <w:lang w:val="en-US"/>
        </w:rPr>
        <w:t>(</w:t>
      </w:r>
      <w:r w:rsidR="003D2EFA" w:rsidRPr="003D2EFA">
        <w:rPr>
          <w:b/>
          <w:bCs/>
          <w:lang w:val="en-US"/>
        </w:rPr>
        <w:t>Table 3</w:t>
      </w:r>
      <w:r w:rsidR="003D2EFA">
        <w:rPr>
          <w:lang w:val="en-US"/>
        </w:rPr>
        <w:t xml:space="preserve">). </w:t>
      </w:r>
      <w:r w:rsidR="00D962B5">
        <w:rPr>
          <w:lang w:val="en-US"/>
        </w:rPr>
        <w:t xml:space="preserve">Mediation analysis showed that anxiety disorder explained the largest proportion of the association between </w:t>
      </w:r>
      <w:r w:rsidR="005B26EB">
        <w:rPr>
          <w:lang w:val="en-US"/>
        </w:rPr>
        <w:t xml:space="preserve">possible eating disorder </w:t>
      </w:r>
      <w:r w:rsidR="00D962B5">
        <w:rPr>
          <w:lang w:val="en-US"/>
        </w:rPr>
        <w:t>and physical multimorbidity (mediated percentage 26.3%), followed by insomnia (21.8%), perceived stress (13.4%), depression (13.1%), obesity (13.0%), and alcohol dependence (4.3%) (</w:t>
      </w:r>
      <w:r w:rsidR="00D962B5" w:rsidRPr="00D962B5">
        <w:rPr>
          <w:b/>
          <w:bCs/>
          <w:lang w:val="en-US"/>
        </w:rPr>
        <w:t>Table 4</w:t>
      </w:r>
      <w:r w:rsidR="00D962B5">
        <w:rPr>
          <w:lang w:val="en-US"/>
        </w:rPr>
        <w:t xml:space="preserve">). </w:t>
      </w:r>
      <w:r w:rsidR="00A9531B">
        <w:rPr>
          <w:lang w:val="en-US"/>
        </w:rPr>
        <w:t xml:space="preserve">These factors collectively </w:t>
      </w:r>
      <w:r w:rsidR="009807CD">
        <w:rPr>
          <w:lang w:val="en-US"/>
        </w:rPr>
        <w:t xml:space="preserve">explained 57.1% of the </w:t>
      </w:r>
      <w:r w:rsidR="001541EF">
        <w:rPr>
          <w:lang w:val="en-US"/>
        </w:rPr>
        <w:t>association</w:t>
      </w:r>
      <w:r w:rsidR="009807CD">
        <w:rPr>
          <w:lang w:val="en-US"/>
        </w:rPr>
        <w:t>.</w:t>
      </w:r>
    </w:p>
    <w:p w14:paraId="0A04A36C" w14:textId="77777777" w:rsidR="006F102A" w:rsidRDefault="006F102A" w:rsidP="00C63A11">
      <w:pPr>
        <w:spacing w:line="480" w:lineRule="auto"/>
        <w:rPr>
          <w:lang w:val="en-US"/>
        </w:rPr>
      </w:pPr>
    </w:p>
    <w:p w14:paraId="4B7162DB" w14:textId="756391F4" w:rsidR="001A53DD" w:rsidRPr="001A53DD" w:rsidRDefault="001A53DD" w:rsidP="00C63A11">
      <w:pPr>
        <w:spacing w:line="480" w:lineRule="auto"/>
        <w:rPr>
          <w:b/>
          <w:bCs/>
          <w:lang w:val="en-US"/>
        </w:rPr>
      </w:pPr>
      <w:r w:rsidRPr="001A53DD">
        <w:rPr>
          <w:b/>
          <w:bCs/>
          <w:lang w:val="en-US"/>
        </w:rPr>
        <w:t>DISCUSSION</w:t>
      </w:r>
    </w:p>
    <w:p w14:paraId="07E329B1" w14:textId="0EAD9734" w:rsidR="001A53DD" w:rsidRPr="006F6023" w:rsidRDefault="00891A79" w:rsidP="00C63A11">
      <w:pPr>
        <w:spacing w:line="480" w:lineRule="auto"/>
        <w:rPr>
          <w:b/>
          <w:bCs/>
          <w:i/>
          <w:iCs/>
          <w:lang w:val="en-US"/>
        </w:rPr>
      </w:pPr>
      <w:r w:rsidRPr="006F6023">
        <w:rPr>
          <w:b/>
          <w:bCs/>
          <w:i/>
          <w:iCs/>
          <w:lang w:val="en-US"/>
        </w:rPr>
        <w:t>Main findings</w:t>
      </w:r>
    </w:p>
    <w:p w14:paraId="6A2D3534" w14:textId="328581F9" w:rsidR="002557A9" w:rsidRDefault="009A35B6" w:rsidP="00C63A11">
      <w:pPr>
        <w:spacing w:line="480" w:lineRule="auto"/>
        <w:rPr>
          <w:lang w:val="en-US"/>
        </w:rPr>
      </w:pPr>
      <w:r>
        <w:rPr>
          <w:lang w:val="en-US"/>
        </w:rPr>
        <w:lastRenderedPageBreak/>
        <w:t xml:space="preserve">In the present </w:t>
      </w:r>
      <w:r w:rsidR="00F04924">
        <w:rPr>
          <w:lang w:val="en-US"/>
        </w:rPr>
        <w:t xml:space="preserve">study including a </w:t>
      </w:r>
      <w:r>
        <w:rPr>
          <w:lang w:val="en-US"/>
        </w:rPr>
        <w:t xml:space="preserve">large </w:t>
      </w:r>
      <w:r w:rsidR="00F04924">
        <w:rPr>
          <w:lang w:val="en-US"/>
        </w:rPr>
        <w:t xml:space="preserve">representative </w:t>
      </w:r>
      <w:r>
        <w:rPr>
          <w:lang w:val="en-US"/>
        </w:rPr>
        <w:t xml:space="preserve">sample of adults aged </w:t>
      </w:r>
      <w:r w:rsidR="00F04924">
        <w:rPr>
          <w:lang w:val="en-US"/>
        </w:rPr>
        <w:t>≥</w:t>
      </w:r>
      <w:r>
        <w:rPr>
          <w:lang w:val="en-US"/>
        </w:rPr>
        <w:t>16 years</w:t>
      </w:r>
      <w:r w:rsidR="00F04924">
        <w:rPr>
          <w:lang w:val="en-US"/>
        </w:rPr>
        <w:t xml:space="preserve"> from the UK, </w:t>
      </w:r>
      <w:r w:rsidR="00DF6E2D">
        <w:rPr>
          <w:lang w:val="en-US"/>
        </w:rPr>
        <w:t>possible eating disorder</w:t>
      </w:r>
      <w:r w:rsidR="00E8494B">
        <w:rPr>
          <w:lang w:val="en-US"/>
        </w:rPr>
        <w:t xml:space="preserve"> was significantly associated with a more than two-fold increased </w:t>
      </w:r>
      <w:r w:rsidR="00B73C57">
        <w:rPr>
          <w:lang w:val="en-US"/>
        </w:rPr>
        <w:t xml:space="preserve">odds </w:t>
      </w:r>
      <w:r w:rsidR="00E8494B">
        <w:rPr>
          <w:lang w:val="en-US"/>
        </w:rPr>
        <w:t>for physical multimorbidity, while individual eating di</w:t>
      </w:r>
      <w:r w:rsidR="004510DB">
        <w:rPr>
          <w:lang w:val="en-US"/>
        </w:rPr>
        <w:t>sorder</w:t>
      </w:r>
      <w:r w:rsidR="007072C8">
        <w:rPr>
          <w:lang w:val="en-US"/>
        </w:rPr>
        <w:t xml:space="preserve"> </w:t>
      </w:r>
      <w:r w:rsidR="00E8494B">
        <w:rPr>
          <w:lang w:val="en-US"/>
        </w:rPr>
        <w:t xml:space="preserve">symptoms of weight loss, uncontrolled eating, and self-perceived fatness were significantly associated with 1.64-1.87 times higher odds for </w:t>
      </w:r>
      <w:r w:rsidR="00E16A68">
        <w:rPr>
          <w:lang w:val="en-US"/>
        </w:rPr>
        <w:t xml:space="preserve">physical </w:t>
      </w:r>
      <w:r w:rsidR="00E8494B">
        <w:rPr>
          <w:lang w:val="en-US"/>
        </w:rPr>
        <w:t xml:space="preserve">multimorbidity. </w:t>
      </w:r>
      <w:r w:rsidR="00E16A68">
        <w:rPr>
          <w:lang w:val="en-US"/>
        </w:rPr>
        <w:t xml:space="preserve">The factors which were most important in the association between </w:t>
      </w:r>
      <w:r w:rsidR="00DF6E2D">
        <w:rPr>
          <w:lang w:val="en-US"/>
        </w:rPr>
        <w:t xml:space="preserve">possible eating disorder </w:t>
      </w:r>
      <w:r w:rsidR="00E16A68">
        <w:rPr>
          <w:lang w:val="en-US"/>
        </w:rPr>
        <w:t xml:space="preserve">and physical multimorbidity </w:t>
      </w:r>
      <w:r w:rsidR="00D93992">
        <w:rPr>
          <w:lang w:val="en-US"/>
        </w:rPr>
        <w:t>were anxiety disorder and insomnia</w:t>
      </w:r>
      <w:r w:rsidR="00B73C57">
        <w:rPr>
          <w:lang w:val="en-US"/>
        </w:rPr>
        <w:t>,</w:t>
      </w:r>
      <w:r w:rsidR="00D93992">
        <w:rPr>
          <w:lang w:val="en-US"/>
        </w:rPr>
        <w:t xml:space="preserve"> which explained more than 20% of the association. Factors such as perceived stress, depression, obesity, and alcohol dependence also explained this association but to a lesser extent. </w:t>
      </w:r>
      <w:r w:rsidR="00701B0D">
        <w:rPr>
          <w:lang w:val="en-US"/>
        </w:rPr>
        <w:t>To the best of the authors’ knowledge</w:t>
      </w:r>
      <w:r w:rsidR="00D93992">
        <w:rPr>
          <w:lang w:val="en-US"/>
        </w:rPr>
        <w:t>,</w:t>
      </w:r>
      <w:r w:rsidR="00701B0D">
        <w:rPr>
          <w:lang w:val="en-US"/>
        </w:rPr>
        <w:t xml:space="preserve"> this is the first study to investigate the </w:t>
      </w:r>
      <w:r w:rsidR="00D93992">
        <w:rPr>
          <w:lang w:val="en-US"/>
        </w:rPr>
        <w:t xml:space="preserve">association between </w:t>
      </w:r>
      <w:r w:rsidR="007072C8">
        <w:rPr>
          <w:lang w:val="en-US"/>
        </w:rPr>
        <w:t>eating di</w:t>
      </w:r>
      <w:r w:rsidR="004510DB">
        <w:rPr>
          <w:lang w:val="en-US"/>
        </w:rPr>
        <w:t>sorder symptoms</w:t>
      </w:r>
      <w:r w:rsidR="00D93992">
        <w:rPr>
          <w:lang w:val="en-US"/>
        </w:rPr>
        <w:t xml:space="preserve"> </w:t>
      </w:r>
      <w:r w:rsidR="00DF6E2D">
        <w:rPr>
          <w:lang w:val="en-US"/>
        </w:rPr>
        <w:t xml:space="preserve">or possible eating disorder </w:t>
      </w:r>
      <w:r w:rsidR="00D93992">
        <w:rPr>
          <w:lang w:val="en-US"/>
        </w:rPr>
        <w:t xml:space="preserve">and physical </w:t>
      </w:r>
      <w:r w:rsidR="00701B0D">
        <w:rPr>
          <w:lang w:val="en-US"/>
        </w:rPr>
        <w:t>multimorbidity</w:t>
      </w:r>
      <w:r w:rsidR="00D93992">
        <w:rPr>
          <w:lang w:val="en-US"/>
        </w:rPr>
        <w:t xml:space="preserve">, </w:t>
      </w:r>
      <w:proofErr w:type="gramStart"/>
      <w:r w:rsidR="000B3051">
        <w:rPr>
          <w:lang w:val="en-US"/>
        </w:rPr>
        <w:t>and also</w:t>
      </w:r>
      <w:proofErr w:type="gramEnd"/>
      <w:r w:rsidR="00701B0D">
        <w:rPr>
          <w:lang w:val="en-US"/>
        </w:rPr>
        <w:t xml:space="preserve"> </w:t>
      </w:r>
      <w:r w:rsidR="00877875">
        <w:rPr>
          <w:lang w:val="en-US"/>
        </w:rPr>
        <w:t xml:space="preserve">the first to </w:t>
      </w:r>
      <w:r w:rsidR="00D93992">
        <w:rPr>
          <w:lang w:val="en-US"/>
        </w:rPr>
        <w:t xml:space="preserve">quantify the extent to which this association </w:t>
      </w:r>
      <w:r w:rsidR="00D17EB0">
        <w:rPr>
          <w:lang w:val="en-US"/>
        </w:rPr>
        <w:t>may</w:t>
      </w:r>
      <w:r w:rsidR="00D93992">
        <w:rPr>
          <w:lang w:val="en-US"/>
        </w:rPr>
        <w:t xml:space="preserve"> be explained by a variety of factors.</w:t>
      </w:r>
    </w:p>
    <w:p w14:paraId="3B3D0509" w14:textId="0C520CC2" w:rsidR="00774E43" w:rsidRDefault="00774E43" w:rsidP="00C63A11">
      <w:pPr>
        <w:spacing w:line="480" w:lineRule="auto"/>
        <w:rPr>
          <w:lang w:val="en-US"/>
        </w:rPr>
      </w:pPr>
    </w:p>
    <w:p w14:paraId="42C02E2A" w14:textId="7EAA89B2" w:rsidR="008D1E67" w:rsidRPr="006F6023" w:rsidRDefault="008D1E67" w:rsidP="00C63A11">
      <w:pPr>
        <w:spacing w:line="480" w:lineRule="auto"/>
        <w:rPr>
          <w:b/>
          <w:bCs/>
          <w:i/>
          <w:iCs/>
          <w:lang w:val="en-US"/>
        </w:rPr>
      </w:pPr>
      <w:r w:rsidRPr="006F6023">
        <w:rPr>
          <w:b/>
          <w:bCs/>
          <w:i/>
          <w:iCs/>
          <w:lang w:val="en-US"/>
        </w:rPr>
        <w:t>Interpretation of the findings</w:t>
      </w:r>
    </w:p>
    <w:p w14:paraId="030EC8CA" w14:textId="6B23DDD3" w:rsidR="00D9566A" w:rsidRDefault="00774E43" w:rsidP="00C63A11">
      <w:pPr>
        <w:spacing w:line="480" w:lineRule="auto"/>
        <w:rPr>
          <w:lang w:val="en-US"/>
        </w:rPr>
      </w:pPr>
      <w:r>
        <w:rPr>
          <w:lang w:val="en-US"/>
        </w:rPr>
        <w:t xml:space="preserve">There are several plausible pathways that likely explain the </w:t>
      </w:r>
      <w:r w:rsidR="00D86847">
        <w:rPr>
          <w:lang w:val="en-US"/>
        </w:rPr>
        <w:t xml:space="preserve">relationship between </w:t>
      </w:r>
      <w:r w:rsidR="004510DB">
        <w:rPr>
          <w:lang w:val="en-US"/>
        </w:rPr>
        <w:t xml:space="preserve">possible </w:t>
      </w:r>
      <w:r w:rsidR="007072C8">
        <w:rPr>
          <w:lang w:val="en-US"/>
        </w:rPr>
        <w:t>eating di</w:t>
      </w:r>
      <w:r w:rsidR="004510DB">
        <w:rPr>
          <w:lang w:val="en-US"/>
        </w:rPr>
        <w:t>sorder</w:t>
      </w:r>
      <w:r w:rsidR="007072C8">
        <w:rPr>
          <w:lang w:val="en-US"/>
        </w:rPr>
        <w:t xml:space="preserve"> </w:t>
      </w:r>
      <w:r w:rsidR="00D86847">
        <w:rPr>
          <w:lang w:val="en-US"/>
        </w:rPr>
        <w:t xml:space="preserve">and physical multimorbidity. </w:t>
      </w:r>
      <w:r w:rsidR="005D5DC0">
        <w:rPr>
          <w:lang w:val="en-US"/>
        </w:rPr>
        <w:t xml:space="preserve">In our study, anxiety disorder, insomnia, perceived stress, depression, obesity, and alcohol dependence were identified as potential influential factors in this association, with anxiety disorder and insomnia being particularly important. </w:t>
      </w:r>
      <w:r w:rsidR="007F198F">
        <w:rPr>
          <w:lang w:val="en-US"/>
        </w:rPr>
        <w:t xml:space="preserve">Literature suggests that </w:t>
      </w:r>
      <w:r w:rsidR="00242159">
        <w:rPr>
          <w:lang w:val="en-US"/>
        </w:rPr>
        <w:t xml:space="preserve">eating disorders </w:t>
      </w:r>
      <w:r w:rsidR="007F198F">
        <w:rPr>
          <w:lang w:val="en-US"/>
        </w:rPr>
        <w:t>and anxiety disorders frequently co-occur</w:t>
      </w:r>
      <w:r w:rsidR="00D86847">
        <w:rPr>
          <w:lang w:val="en-US"/>
        </w:rPr>
        <w:t>,</w:t>
      </w:r>
      <w:r w:rsidR="007F198F">
        <w:rPr>
          <w:lang w:val="en-US"/>
        </w:rPr>
        <w:t xml:space="preserve"> and it is likely that the relationship is bi-directional</w:t>
      </w:r>
      <w:r w:rsidR="00B217A9">
        <w:rPr>
          <w:lang w:val="en-US"/>
        </w:rPr>
        <w:t xml:space="preserve"> </w:t>
      </w:r>
      <w:r w:rsidR="00B217A9">
        <w:rPr>
          <w:lang w:val="en-US"/>
        </w:rPr>
        <w:fldChar w:fldCharType="begin" w:fldLock="1"/>
      </w:r>
      <w:r w:rsidR="009037BE">
        <w:rPr>
          <w:lang w:val="en-US"/>
        </w:rPr>
        <w:instrText>ADDIN CSL_CITATION {"citationItems":[{"id":"ITEM-1","itemData":{"ISSN":"1072-4133","author":[{"dropping-particle":"","family":"Swinbourne","given":"Jessica M","non-dropping-particle":"","parse-names":false,"suffix":""},{"dropping-particle":"","family":"Touyz","given":"Stephen W","non-dropping-particle":"","parse-names":false,"suffix":""}],"container-title":"European Eating Disorders Review: The Professional Journal of the Eating Disorders Association","id":"ITEM-1","issue":"4","issued":{"date-parts":[["2007"]]},"page":"253-274","publisher":"Wiley Online Library","title":"The co‐morbidity of eating disorders and anxiety disorders: A review","type":"article-journal","volume":"15"},"uris":["http://www.mendeley.com/documents/?uuid=ffaa8ae8-78c8-423c-95b3-3e0c73a80aba"]}],"mendeley":{"formattedCitation":"[30]","plainTextFormattedCitation":"[30]","previouslyFormattedCitation":"(Swinbourne &amp; Touyz, 2007)"},"properties":{"noteIndex":0},"schema":"https://github.com/citation-style-language/schema/raw/master/csl-citation.json"}</w:instrText>
      </w:r>
      <w:r w:rsidR="00B217A9">
        <w:rPr>
          <w:lang w:val="en-US"/>
        </w:rPr>
        <w:fldChar w:fldCharType="separate"/>
      </w:r>
      <w:r w:rsidR="009037BE" w:rsidRPr="009037BE">
        <w:rPr>
          <w:noProof/>
          <w:lang w:val="en-US"/>
        </w:rPr>
        <w:t>[30]</w:t>
      </w:r>
      <w:r w:rsidR="00B217A9">
        <w:rPr>
          <w:lang w:val="en-US"/>
        </w:rPr>
        <w:fldChar w:fldCharType="end"/>
      </w:r>
      <w:r w:rsidR="00216A49">
        <w:rPr>
          <w:lang w:val="en-US"/>
        </w:rPr>
        <w:t>.</w:t>
      </w:r>
      <w:r w:rsidR="007F198F">
        <w:rPr>
          <w:lang w:val="en-US"/>
        </w:rPr>
        <w:t xml:space="preserve"> </w:t>
      </w:r>
      <w:r w:rsidR="00D86847">
        <w:rPr>
          <w:lang w:val="en-US"/>
        </w:rPr>
        <w:t>C</w:t>
      </w:r>
      <w:r w:rsidR="007E6211">
        <w:rPr>
          <w:lang w:val="en-US"/>
        </w:rPr>
        <w:t>ommon neurobiological, genetic, and psychological elements</w:t>
      </w:r>
      <w:r w:rsidR="00D86847">
        <w:rPr>
          <w:lang w:val="en-US"/>
        </w:rPr>
        <w:t xml:space="preserve"> may be implicated in this co-existence</w:t>
      </w:r>
      <w:r w:rsidR="00B217A9">
        <w:rPr>
          <w:lang w:val="en-US"/>
        </w:rPr>
        <w:t xml:space="preserve"> </w:t>
      </w:r>
      <w:r w:rsidR="00B217A9">
        <w:rPr>
          <w:lang w:val="en-US"/>
        </w:rPr>
        <w:fldChar w:fldCharType="begin" w:fldLock="1"/>
      </w:r>
      <w:r w:rsidR="009037BE">
        <w:rPr>
          <w:lang w:val="en-US"/>
        </w:rPr>
        <w:instrText>ADDIN CSL_CITATION {"citationItems":[{"id":"ITEM-1","itemData":{"ISSN":"1072-4133","author":[{"dropping-particle":"","family":"Swinbourne","given":"Jessica M","non-dropping-particle":"","parse-names":false,"suffix":""},{"dropping-particle":"","family":"Touyz","given":"Stephen W","non-dropping-particle":"","parse-names":false,"suffix":""}],"container-title":"European Eating Disorders Review: The Professional Journal of the Eating Disorders Association","id":"ITEM-1","issue":"4","issued":{"date-parts":[["2007"]]},"page":"253-274","publisher":"Wiley Online Library","title":"The co‐morbidity of eating disorders and anxiety disorders: A review","type":"article-journal","volume":"15"},"uris":["http://www.mendeley.com/documents/?uuid=ffaa8ae8-78c8-423c-95b3-3e0c73a80aba"]}],"mendeley":{"formattedCitation":"[30]","plainTextFormattedCitation":"[30]","previouslyFormattedCitation":"(Swinbourne &amp; Touyz, 2007)"},"properties":{"noteIndex":0},"schema":"https://github.com/citation-style-language/schema/raw/master/csl-citation.json"}</w:instrText>
      </w:r>
      <w:r w:rsidR="00B217A9">
        <w:rPr>
          <w:lang w:val="en-US"/>
        </w:rPr>
        <w:fldChar w:fldCharType="separate"/>
      </w:r>
      <w:r w:rsidR="009037BE" w:rsidRPr="009037BE">
        <w:rPr>
          <w:noProof/>
          <w:lang w:val="en-US"/>
        </w:rPr>
        <w:t>[30]</w:t>
      </w:r>
      <w:r w:rsidR="00B217A9">
        <w:rPr>
          <w:lang w:val="en-US"/>
        </w:rPr>
        <w:fldChar w:fldCharType="end"/>
      </w:r>
      <w:r w:rsidR="00B217A9">
        <w:rPr>
          <w:lang w:val="en-US"/>
        </w:rPr>
        <w:t xml:space="preserve">. </w:t>
      </w:r>
      <w:r w:rsidR="00885AB5">
        <w:rPr>
          <w:lang w:val="en-US"/>
        </w:rPr>
        <w:t xml:space="preserve">Furthermore, </w:t>
      </w:r>
      <w:r w:rsidR="007072C8">
        <w:rPr>
          <w:lang w:val="en-US"/>
        </w:rPr>
        <w:t>eating di</w:t>
      </w:r>
      <w:r w:rsidR="004510DB">
        <w:rPr>
          <w:lang w:val="en-US"/>
        </w:rPr>
        <w:t>sorders</w:t>
      </w:r>
      <w:r w:rsidR="007072C8">
        <w:rPr>
          <w:lang w:val="en-US"/>
        </w:rPr>
        <w:t xml:space="preserve"> </w:t>
      </w:r>
      <w:r w:rsidR="00216A49">
        <w:rPr>
          <w:lang w:val="en-US"/>
        </w:rPr>
        <w:t>may lead to anxiety</w:t>
      </w:r>
      <w:r w:rsidR="0066780E">
        <w:rPr>
          <w:lang w:val="en-US"/>
        </w:rPr>
        <w:t>, perceived stress</w:t>
      </w:r>
      <w:r w:rsidR="00885AB5">
        <w:rPr>
          <w:lang w:val="en-US"/>
        </w:rPr>
        <w:t>,</w:t>
      </w:r>
      <w:r w:rsidR="0066780E">
        <w:rPr>
          <w:lang w:val="en-US"/>
        </w:rPr>
        <w:t xml:space="preserve"> and depression</w:t>
      </w:r>
      <w:r w:rsidR="00216A49">
        <w:rPr>
          <w:lang w:val="en-US"/>
        </w:rPr>
        <w:t xml:space="preserve"> by</w:t>
      </w:r>
      <w:r w:rsidR="0066780E">
        <w:rPr>
          <w:lang w:val="en-US"/>
        </w:rPr>
        <w:t>, for example, body dissatisfaction, low self-esteem and uncontrollability of the situation</w:t>
      </w:r>
      <w:r w:rsidR="00B217A9">
        <w:rPr>
          <w:lang w:val="en-US"/>
        </w:rPr>
        <w:t xml:space="preserve"> </w:t>
      </w:r>
      <w:r w:rsidR="00B217A9">
        <w:rPr>
          <w:lang w:val="en-US"/>
        </w:rPr>
        <w:fldChar w:fldCharType="begin" w:fldLock="1"/>
      </w:r>
      <w:r w:rsidR="009037BE">
        <w:rPr>
          <w:lang w:val="en-US"/>
        </w:rPr>
        <w:instrText>ADDIN CSL_CITATION {"citationItems":[{"id":"ITEM-1","itemData":{"ISSN":"1124-4909","author":[{"dropping-particle":"","family":"Laporta-Herrero","given":"Isabel","non-dropping-particle":"","parse-names":false,"suffix":""},{"dropping-particle":"","family":"Jáuregui-Lobera","given":"Ignacio","non-dropping-particle":"","parse-names":false,"suffix":""},{"dropping-particle":"","family":"Barajas-Iglesias","given":"Belén","non-dropping-particle":"","parse-names":false,"suffix":""},{"dropping-particle":"","family":"Santed-Germán","given":"Miguel Ángel","non-dropping-particle":"","parse-names":false,"suffix":""}],"container-title":"Eating and Weight Disorders-Studies on Anorexia, Bulimia and Obesity","id":"ITEM-1","issued":{"date-parts":[["2018"]]},"page":"339-347","publisher":"Springer","title":"Body dissatisfaction in adolescents with eating disorders","type":"article-journal","volume":"23"},"uris":["http://www.mendeley.com/documents/?uuid=a426e6ac-e9cc-4e9a-a447-7c3ce0dc3527"]}],"mendeley":{"formattedCitation":"[54]","plainTextFormattedCitation":"[54]","previouslyFormattedCitation":"(Laporta-Herrero, Jáuregui-Lobera, Barajas-Iglesias, &amp; Santed-Germán, 2018)"},"properties":{"noteIndex":0},"schema":"https://github.com/citation-style-language/schema/raw/master/csl-citation.json"}</w:instrText>
      </w:r>
      <w:r w:rsidR="00B217A9">
        <w:rPr>
          <w:lang w:val="en-US"/>
        </w:rPr>
        <w:fldChar w:fldCharType="separate"/>
      </w:r>
      <w:r w:rsidR="009037BE" w:rsidRPr="009037BE">
        <w:rPr>
          <w:noProof/>
          <w:lang w:val="en-US"/>
        </w:rPr>
        <w:t>[54]</w:t>
      </w:r>
      <w:r w:rsidR="00B217A9">
        <w:rPr>
          <w:lang w:val="en-US"/>
        </w:rPr>
        <w:fldChar w:fldCharType="end"/>
      </w:r>
      <w:r w:rsidR="0066780E">
        <w:rPr>
          <w:lang w:val="en-US"/>
        </w:rPr>
        <w:t>.</w:t>
      </w:r>
      <w:r w:rsidR="00B217A9">
        <w:rPr>
          <w:lang w:val="en-US"/>
        </w:rPr>
        <w:t xml:space="preserve"> </w:t>
      </w:r>
      <w:r w:rsidR="00885AB5">
        <w:rPr>
          <w:lang w:val="en-US"/>
        </w:rPr>
        <w:t xml:space="preserve">These </w:t>
      </w:r>
      <w:r w:rsidR="00312C12">
        <w:rPr>
          <w:lang w:val="en-US"/>
        </w:rPr>
        <w:t>psychological</w:t>
      </w:r>
      <w:r w:rsidR="00885AB5">
        <w:rPr>
          <w:lang w:val="en-US"/>
        </w:rPr>
        <w:t xml:space="preserve"> factors, </w:t>
      </w:r>
      <w:r w:rsidR="00D86847">
        <w:rPr>
          <w:lang w:val="en-US"/>
        </w:rPr>
        <w:t>in turn, may increase risk for</w:t>
      </w:r>
      <w:r w:rsidR="007E6211">
        <w:rPr>
          <w:lang w:val="en-US"/>
        </w:rPr>
        <w:t xml:space="preserve"> </w:t>
      </w:r>
      <w:r w:rsidR="007E6211">
        <w:rPr>
          <w:lang w:val="en-US"/>
        </w:rPr>
        <w:lastRenderedPageBreak/>
        <w:t xml:space="preserve">physical multimorbidity </w:t>
      </w:r>
      <w:r w:rsidR="00D86847">
        <w:rPr>
          <w:lang w:val="en-US"/>
        </w:rPr>
        <w:t xml:space="preserve">via </w:t>
      </w:r>
      <w:r w:rsidR="007E6211" w:rsidRPr="007E6211">
        <w:rPr>
          <w:lang w:val="en-US"/>
        </w:rPr>
        <w:t>elevated inflammation and immune dysregulation</w:t>
      </w:r>
      <w:r w:rsidR="00B217A9">
        <w:rPr>
          <w:lang w:val="en-US"/>
        </w:rPr>
        <w:t xml:space="preserve"> </w:t>
      </w:r>
      <w:r w:rsidR="00B217A9">
        <w:rPr>
          <w:lang w:val="en-US"/>
        </w:rPr>
        <w:fldChar w:fldCharType="begin" w:fldLock="1"/>
      </w:r>
      <w:r w:rsidR="009037BE">
        <w:rPr>
          <w:lang w:val="en-US"/>
        </w:rPr>
        <w:instrText>ADDIN CSL_CITATION {"citationItems":[{"id":"ITEM-1","itemData":{"author":[{"dropping-particle":"","family":"Vogelzangs","given":"N","non-dropping-particle":"","parse-names":false,"suffix":""},{"dropping-particle":"","family":"Beekman","given":"A T F","non-dropping-particle":"","parse-names":false,"suffix":""},{"dropping-particle":"","family":"Jonge","given":"P","non-dropping-particle":"De","parse-names":false,"suffix":""},{"dropping-particle":"","family":"Penninx","given":"BWJH","non-dropping-particle":"","parse-names":false,"suffix":""}],"container-title":"Translational psychiatry","id":"ITEM-1","issue":"4","issued":{"date-parts":[["2013"]]},"page":"e249","publisher":"Nature Publishing Group","title":"Anxiety disorders and inflammation in a large adult cohort","type":"article-journal","volume":"3"},"uris":["http://www.mendeley.com/documents/?uuid=a3e4bb84-e324-37df-8fef-1efd0090f8f8"]}],"mendeley":{"formattedCitation":"[55]","plainTextFormattedCitation":"[55]","previouslyFormattedCitation":"(Vogelzangs, Beekman, De Jonge, &amp; Penninx, 2013)"},"properties":{"noteIndex":0},"schema":"https://github.com/citation-style-language/schema/raw/master/csl-citation.json"}</w:instrText>
      </w:r>
      <w:r w:rsidR="00B217A9">
        <w:rPr>
          <w:lang w:val="en-US"/>
        </w:rPr>
        <w:fldChar w:fldCharType="separate"/>
      </w:r>
      <w:r w:rsidR="009037BE" w:rsidRPr="009037BE">
        <w:rPr>
          <w:noProof/>
          <w:lang w:val="en-US"/>
        </w:rPr>
        <w:t>[55]</w:t>
      </w:r>
      <w:r w:rsidR="00B217A9">
        <w:rPr>
          <w:lang w:val="en-US"/>
        </w:rPr>
        <w:fldChar w:fldCharType="end"/>
      </w:r>
      <w:r w:rsidR="007E6211">
        <w:rPr>
          <w:lang w:val="en-US"/>
        </w:rPr>
        <w:t xml:space="preserve">. </w:t>
      </w:r>
      <w:r w:rsidR="00D47074">
        <w:rPr>
          <w:lang w:val="en-US"/>
        </w:rPr>
        <w:t xml:space="preserve">In terms of insomnia, </w:t>
      </w:r>
      <w:r w:rsidR="007072C8">
        <w:rPr>
          <w:lang w:val="en-US"/>
        </w:rPr>
        <w:t>eating di</w:t>
      </w:r>
      <w:r w:rsidR="004510DB">
        <w:rPr>
          <w:lang w:val="en-US"/>
        </w:rPr>
        <w:t>sorders</w:t>
      </w:r>
      <w:r w:rsidR="007072C8">
        <w:rPr>
          <w:lang w:val="en-US"/>
        </w:rPr>
        <w:t xml:space="preserve"> </w:t>
      </w:r>
      <w:r w:rsidR="005D5DC0">
        <w:rPr>
          <w:lang w:val="en-US"/>
        </w:rPr>
        <w:t xml:space="preserve">may increase </w:t>
      </w:r>
      <w:proofErr w:type="gramStart"/>
      <w:r w:rsidR="005D5DC0">
        <w:rPr>
          <w:lang w:val="en-US"/>
        </w:rPr>
        <w:t>risk</w:t>
      </w:r>
      <w:proofErr w:type="gramEnd"/>
      <w:r w:rsidR="005D5DC0">
        <w:rPr>
          <w:lang w:val="en-US"/>
        </w:rPr>
        <w:t xml:space="preserve"> for </w:t>
      </w:r>
      <w:r w:rsidR="00367F0F">
        <w:rPr>
          <w:lang w:val="en-US"/>
        </w:rPr>
        <w:t xml:space="preserve">insomnia </w:t>
      </w:r>
      <w:r w:rsidR="005D5DC0">
        <w:rPr>
          <w:lang w:val="en-US"/>
        </w:rPr>
        <w:t xml:space="preserve">due </w:t>
      </w:r>
      <w:r w:rsidR="00367F0F">
        <w:rPr>
          <w:lang w:val="en-US"/>
        </w:rPr>
        <w:t>to</w:t>
      </w:r>
      <w:r w:rsidR="00B6564C">
        <w:rPr>
          <w:lang w:val="en-US"/>
        </w:rPr>
        <w:t xml:space="preserve"> malnutrition and </w:t>
      </w:r>
      <w:r w:rsidR="005D5DC0">
        <w:rPr>
          <w:lang w:val="en-US"/>
        </w:rPr>
        <w:t>o</w:t>
      </w:r>
      <w:r w:rsidR="00B6564C">
        <w:rPr>
          <w:lang w:val="en-US"/>
        </w:rPr>
        <w:t>rexin</w:t>
      </w:r>
      <w:r w:rsidR="002C4D46">
        <w:rPr>
          <w:lang w:val="en-US"/>
        </w:rPr>
        <w:t xml:space="preserve">. Indeed, </w:t>
      </w:r>
      <w:r w:rsidR="00D47074">
        <w:rPr>
          <w:lang w:val="en-US"/>
        </w:rPr>
        <w:t>o</w:t>
      </w:r>
      <w:r w:rsidR="002C4D46" w:rsidRPr="002C4D46">
        <w:rPr>
          <w:lang w:val="en-US"/>
        </w:rPr>
        <w:t>rexin, a neuropeptide released from the hypothalamus, is involved in the regulation of both sleep-wake and appetite; increased orexin signaling promotes greater wakefulness and feeding. It has been posited that levels of orexin are increased during the hunger state to promote wakefulness and incite the body to search for food</w:t>
      </w:r>
      <w:r w:rsidR="00A02671">
        <w:rPr>
          <w:lang w:val="en-US"/>
        </w:rPr>
        <w:t xml:space="preserve"> </w:t>
      </w:r>
      <w:r w:rsidR="00A02671">
        <w:rPr>
          <w:lang w:val="en-US"/>
        </w:rPr>
        <w:fldChar w:fldCharType="begin" w:fldLock="1"/>
      </w:r>
      <w:r w:rsidR="009037BE">
        <w:rPr>
          <w:lang w:val="en-US"/>
        </w:rPr>
        <w:instrText>ADDIN CSL_CITATION {"citationItems":[{"id":"ITEM-1","itemData":{"ISSN":"1523-3812","author":[{"dropping-particle":"","family":"Allison","given":"Kelly C","non-dropping-particle":"","parse-names":false,"suffix":""},{"dropping-particle":"","family":"Spaeth","given":"Andrea","non-dropping-particle":"","parse-names":false,"suffix":""},{"dropping-particle":"","family":"Hopkins","given":"Christina M","non-dropping-particle":"","parse-names":false,"suffix":""}],"container-title":"Current psychiatry reports","id":"ITEM-1","issued":{"date-parts":[["2016"]]},"page":"1-8","publisher":"Springer","title":"Sleep and eating disorders","type":"article-journal","volume":"18"},"uris":["http://www.mendeley.com/documents/?uuid=e4a84ec1-4d68-46b6-89e4-1fa55db4eac5"]}],"mendeley":{"formattedCitation":"[56]","plainTextFormattedCitation":"[56]","previouslyFormattedCitation":"(Allison, Spaeth, &amp; Hopkins, 2016)"},"properties":{"noteIndex":0},"schema":"https://github.com/citation-style-language/schema/raw/master/csl-citation.json"}</w:instrText>
      </w:r>
      <w:r w:rsidR="00A02671">
        <w:rPr>
          <w:lang w:val="en-US"/>
        </w:rPr>
        <w:fldChar w:fldCharType="separate"/>
      </w:r>
      <w:r w:rsidR="009037BE" w:rsidRPr="009037BE">
        <w:rPr>
          <w:noProof/>
          <w:lang w:val="en-US"/>
        </w:rPr>
        <w:t>[56]</w:t>
      </w:r>
      <w:r w:rsidR="00A02671">
        <w:rPr>
          <w:lang w:val="en-US"/>
        </w:rPr>
        <w:fldChar w:fldCharType="end"/>
      </w:r>
      <w:r w:rsidR="002C4D46" w:rsidRPr="002C4D46">
        <w:rPr>
          <w:lang w:val="en-US"/>
        </w:rPr>
        <w:t>.</w:t>
      </w:r>
      <w:r w:rsidR="00A02671">
        <w:t xml:space="preserve"> </w:t>
      </w:r>
      <w:r w:rsidR="005D5DC0">
        <w:rPr>
          <w:lang w:val="en-US"/>
        </w:rPr>
        <w:t xml:space="preserve">In turn, </w:t>
      </w:r>
      <w:r w:rsidR="00B6564C">
        <w:rPr>
          <w:lang w:val="en-US"/>
        </w:rPr>
        <w:t xml:space="preserve">insomnia </w:t>
      </w:r>
      <w:r w:rsidR="005D5DC0">
        <w:rPr>
          <w:lang w:val="en-US"/>
        </w:rPr>
        <w:t xml:space="preserve">may increase risk for </w:t>
      </w:r>
      <w:r w:rsidR="00B6564C">
        <w:rPr>
          <w:lang w:val="en-US"/>
        </w:rPr>
        <w:t xml:space="preserve">multimorbidity </w:t>
      </w:r>
      <w:r w:rsidR="005D5DC0">
        <w:rPr>
          <w:lang w:val="en-US"/>
        </w:rPr>
        <w:t xml:space="preserve">through </w:t>
      </w:r>
      <w:r w:rsidR="00B6564C" w:rsidRPr="00B6564C">
        <w:rPr>
          <w:lang w:val="en-US"/>
        </w:rPr>
        <w:t>dysfunction of the inflammatory system</w:t>
      </w:r>
      <w:r w:rsidR="00A02671">
        <w:rPr>
          <w:lang w:val="en-US"/>
        </w:rPr>
        <w:t xml:space="preserve"> </w:t>
      </w:r>
      <w:r w:rsidR="00A02671">
        <w:rPr>
          <w:lang w:val="en-US"/>
        </w:rPr>
        <w:fldChar w:fldCharType="begin" w:fldLock="1"/>
      </w:r>
      <w:r w:rsidR="009037BE">
        <w:rPr>
          <w:lang w:val="en-US"/>
        </w:rPr>
        <w:instrText>ADDIN CSL_CITATION {"citationItems":[{"id":"ITEM-1","itemData":{"ISSN":"0006-3223","author":[{"dropping-particle":"","family":"Irwin","given":"Michael R","non-dropping-particle":"","parse-names":false,"suffix":""},{"dropping-particle":"","family":"Wang","given":"Minge","non-dropping-particle":"","parse-names":false,"suffix":""},{"dropping-particle":"","family":"Ribeiro","given":"Denise","non-dropping-particle":"","parse-names":false,"suffix":""},{"dropping-particle":"","family":"Cho","given":"Hyong Jin","non-dropping-particle":"","parse-names":false,"suffix":""},{"dropping-particle":"","family":"Olmstead","given":"Richard","non-dropping-particle":"","parse-names":false,"suffix":""},{"dropping-particle":"","family":"Breen","given":"Elizabeth Crabb","non-dropping-particle":"","parse-names":false,"suffix":""},{"dropping-particle":"","family":"Martinez-Maza","given":"Otoniel","non-dropping-particle":"","parse-names":false,"suffix":""},{"dropping-particle":"","family":"Cole","given":"Steve","non-dropping-particle":"","parse-names":false,"suffix":""}],"container-title":"Biological psychiatry","id":"ITEM-1","issue":"6","issued":{"date-parts":[["2008"]]},"page":"538-540","publisher":"Elsevier","title":"Sleep loss activates cellular inflammatory signaling","type":"article-journal","volume":"64"},"uris":["http://www.mendeley.com/documents/?uuid=427a3fd0-913d-4af7-9d81-b7377744d4ea"]}],"mendeley":{"formattedCitation":"[57]","plainTextFormattedCitation":"[57]","previouslyFormattedCitation":"(Irwin et al., 2008)"},"properties":{"noteIndex":0},"schema":"https://github.com/citation-style-language/schema/raw/master/csl-citation.json"}</w:instrText>
      </w:r>
      <w:r w:rsidR="00A02671">
        <w:rPr>
          <w:lang w:val="en-US"/>
        </w:rPr>
        <w:fldChar w:fldCharType="separate"/>
      </w:r>
      <w:r w:rsidR="009037BE" w:rsidRPr="009037BE">
        <w:rPr>
          <w:noProof/>
          <w:lang w:val="en-US"/>
        </w:rPr>
        <w:t>[57]</w:t>
      </w:r>
      <w:r w:rsidR="00A02671">
        <w:rPr>
          <w:lang w:val="en-US"/>
        </w:rPr>
        <w:fldChar w:fldCharType="end"/>
      </w:r>
      <w:r w:rsidR="00B6564C">
        <w:rPr>
          <w:lang w:val="en-US"/>
        </w:rPr>
        <w:t xml:space="preserve">. </w:t>
      </w:r>
    </w:p>
    <w:p w14:paraId="60B7E24C" w14:textId="77777777" w:rsidR="00D9566A" w:rsidRDefault="00D9566A" w:rsidP="00C63A11">
      <w:pPr>
        <w:spacing w:line="480" w:lineRule="auto"/>
        <w:rPr>
          <w:lang w:val="en-US"/>
        </w:rPr>
      </w:pPr>
    </w:p>
    <w:p w14:paraId="0C2566DA" w14:textId="50998D20" w:rsidR="005D5DC0" w:rsidRDefault="00F01951" w:rsidP="00C63A11">
      <w:pPr>
        <w:spacing w:line="480" w:lineRule="auto"/>
        <w:rPr>
          <w:lang w:val="en-US"/>
        </w:rPr>
      </w:pPr>
      <w:r>
        <w:rPr>
          <w:lang w:val="en-US"/>
        </w:rPr>
        <w:t xml:space="preserve">Obesity </w:t>
      </w:r>
      <w:r w:rsidR="00D07E33">
        <w:rPr>
          <w:lang w:val="en-US"/>
        </w:rPr>
        <w:t xml:space="preserve">was another important </w:t>
      </w:r>
      <w:r>
        <w:rPr>
          <w:lang w:val="en-US"/>
        </w:rPr>
        <w:t>influential factor</w:t>
      </w:r>
      <w:r w:rsidR="00D07E33">
        <w:rPr>
          <w:lang w:val="en-US"/>
        </w:rPr>
        <w:t xml:space="preserve"> identified in the present </w:t>
      </w:r>
      <w:r>
        <w:rPr>
          <w:lang w:val="en-US"/>
        </w:rPr>
        <w:t>study</w:t>
      </w:r>
      <w:r w:rsidR="00D07E33">
        <w:rPr>
          <w:lang w:val="en-US"/>
        </w:rPr>
        <w:t xml:space="preserve">. </w:t>
      </w:r>
      <w:r w:rsidR="009A193D">
        <w:rPr>
          <w:lang w:val="en-US"/>
        </w:rPr>
        <w:t>Some e</w:t>
      </w:r>
      <w:r w:rsidR="00D07E33">
        <w:rPr>
          <w:lang w:val="en-US"/>
        </w:rPr>
        <w:t>ating di</w:t>
      </w:r>
      <w:r w:rsidR="004510DB">
        <w:rPr>
          <w:lang w:val="en-US"/>
        </w:rPr>
        <w:t>sorders</w:t>
      </w:r>
      <w:r w:rsidR="009A193D">
        <w:rPr>
          <w:lang w:val="en-US"/>
        </w:rPr>
        <w:t>, such as binge eating disorder,</w:t>
      </w:r>
      <w:r w:rsidR="00D07E33">
        <w:rPr>
          <w:lang w:val="en-US"/>
        </w:rPr>
        <w:t xml:space="preserve"> likely cause obesity owing to </w:t>
      </w:r>
      <w:r w:rsidR="009A193D">
        <w:rPr>
          <w:lang w:val="en-US"/>
        </w:rPr>
        <w:t>large consumptions of high energy dense foods</w:t>
      </w:r>
      <w:r w:rsidR="00C67B09">
        <w:rPr>
          <w:lang w:val="en-US"/>
        </w:rPr>
        <w:t>,</w:t>
      </w:r>
      <w:r w:rsidR="009A193D">
        <w:rPr>
          <w:lang w:val="en-US"/>
        </w:rPr>
        <w:t xml:space="preserve"> and obesity is</w:t>
      </w:r>
      <w:r w:rsidR="00C67B09">
        <w:rPr>
          <w:lang w:val="en-US"/>
        </w:rPr>
        <w:t xml:space="preserve"> likely to be a </w:t>
      </w:r>
      <w:r w:rsidR="009A193D">
        <w:rPr>
          <w:lang w:val="en-US"/>
        </w:rPr>
        <w:t xml:space="preserve">key risk factor for multimorbidity </w:t>
      </w:r>
      <w:r w:rsidR="00C67B09">
        <w:rPr>
          <w:lang w:val="en-US"/>
        </w:rPr>
        <w:t>by increasing risk for</w:t>
      </w:r>
      <w:r w:rsidR="009A193D">
        <w:rPr>
          <w:lang w:val="en-US"/>
        </w:rPr>
        <w:t xml:space="preserve"> hypertension, </w:t>
      </w:r>
      <w:r w:rsidR="00636341">
        <w:rPr>
          <w:lang w:val="en-US"/>
        </w:rPr>
        <w:t>unfavorable</w:t>
      </w:r>
      <w:r w:rsidR="009A193D">
        <w:rPr>
          <w:lang w:val="en-US"/>
        </w:rPr>
        <w:t xml:space="preserve"> cholesterol profile, </w:t>
      </w:r>
      <w:r w:rsidR="00636341">
        <w:rPr>
          <w:lang w:val="en-US"/>
        </w:rPr>
        <w:t>dysfunction in the regulation of blood sugar levels, and dysfunc</w:t>
      </w:r>
      <w:r w:rsidR="00266F3E">
        <w:rPr>
          <w:lang w:val="en-US"/>
        </w:rPr>
        <w:t xml:space="preserve">tion of the inflammatory system </w:t>
      </w:r>
      <w:r w:rsidR="00266F3E">
        <w:rPr>
          <w:lang w:val="en-US"/>
        </w:rPr>
        <w:fldChar w:fldCharType="begin" w:fldLock="1"/>
      </w:r>
      <w:r w:rsidR="009037BE">
        <w:rPr>
          <w:lang w:val="en-US"/>
        </w:rPr>
        <w:instrText>ADDIN CSL_CITATION {"citationItems":[{"id":"ITEM-1","itemData":{"URL":"https://www.hsph.harvard.edu/obesity-prevention-source/obesity-consequences/health-effects/","accessed":{"date-parts":[["2023","3","13"]]},"author":[{"dropping-particle":"","family":"Harvard T.H. Chan School of Public Health","given":"","non-dropping-particle":"","parse-names":false,"suffix":""}],"id":"ITEM-1","issued":{"date-parts":[["2023"]]},"title":"Obesity Prevention Source","type":"webpage"},"uris":["http://www.mendeley.com/documents/?uuid=a4e766a6-319f-411a-8f24-d8e00de91878"]}],"mendeley":{"formattedCitation":"[58]","plainTextFormattedCitation":"[58]","previouslyFormattedCitation":"(Harvard T.H. Chan School of Public Health, 2023)"},"properties":{"noteIndex":0},"schema":"https://github.com/citation-style-language/schema/raw/master/csl-citation.json"}</w:instrText>
      </w:r>
      <w:r w:rsidR="00266F3E">
        <w:rPr>
          <w:lang w:val="en-US"/>
        </w:rPr>
        <w:fldChar w:fldCharType="separate"/>
      </w:r>
      <w:r w:rsidR="009037BE" w:rsidRPr="009037BE">
        <w:rPr>
          <w:noProof/>
          <w:lang w:val="en-US"/>
        </w:rPr>
        <w:t>[58]</w:t>
      </w:r>
      <w:r w:rsidR="00266F3E">
        <w:rPr>
          <w:lang w:val="en-US"/>
        </w:rPr>
        <w:fldChar w:fldCharType="end"/>
      </w:r>
      <w:r w:rsidR="00636341" w:rsidRPr="00636341">
        <w:rPr>
          <w:lang w:val="en-US"/>
        </w:rPr>
        <w:t>.</w:t>
      </w:r>
      <w:r w:rsidR="00636341">
        <w:rPr>
          <w:lang w:val="en-US"/>
        </w:rPr>
        <w:t xml:space="preserve"> Finally, alcohol dependence </w:t>
      </w:r>
      <w:r w:rsidR="00CF7666">
        <w:rPr>
          <w:lang w:val="en-US"/>
        </w:rPr>
        <w:t xml:space="preserve">also explained a small proportion of the association between </w:t>
      </w:r>
      <w:r w:rsidR="007072C8">
        <w:rPr>
          <w:lang w:val="en-US"/>
        </w:rPr>
        <w:t>eating di</w:t>
      </w:r>
      <w:r w:rsidR="004510DB">
        <w:rPr>
          <w:lang w:val="en-US"/>
        </w:rPr>
        <w:t>sorder</w:t>
      </w:r>
      <w:r w:rsidR="007072C8">
        <w:rPr>
          <w:lang w:val="en-US"/>
        </w:rPr>
        <w:t xml:space="preserve">s </w:t>
      </w:r>
      <w:r w:rsidR="00CF7666">
        <w:rPr>
          <w:lang w:val="en-US"/>
        </w:rPr>
        <w:t>and physical multimorbidity</w:t>
      </w:r>
      <w:r w:rsidR="00242159">
        <w:rPr>
          <w:lang w:val="en-US"/>
        </w:rPr>
        <w:t xml:space="preserve">. </w:t>
      </w:r>
      <w:r w:rsidR="00636341">
        <w:rPr>
          <w:lang w:val="en-US"/>
        </w:rPr>
        <w:t>Those with</w:t>
      </w:r>
      <w:r w:rsidR="00F427B2">
        <w:rPr>
          <w:lang w:val="en-US"/>
        </w:rPr>
        <w:t xml:space="preserve"> </w:t>
      </w:r>
      <w:r w:rsidR="007072C8">
        <w:rPr>
          <w:lang w:val="en-US"/>
        </w:rPr>
        <w:t>eating di</w:t>
      </w:r>
      <w:r w:rsidR="004510DB">
        <w:rPr>
          <w:lang w:val="en-US"/>
        </w:rPr>
        <w:t>sorders</w:t>
      </w:r>
      <w:r w:rsidR="007072C8">
        <w:rPr>
          <w:lang w:val="en-US"/>
        </w:rPr>
        <w:t xml:space="preserve"> </w:t>
      </w:r>
      <w:r w:rsidR="00636341">
        <w:rPr>
          <w:lang w:val="en-US"/>
        </w:rPr>
        <w:t xml:space="preserve">may turn to alcohol as a </w:t>
      </w:r>
      <w:r w:rsidR="008D1BB0">
        <w:rPr>
          <w:lang w:val="en-US"/>
        </w:rPr>
        <w:t>coping mechanism</w:t>
      </w:r>
      <w:r w:rsidR="0095596B">
        <w:rPr>
          <w:lang w:val="en-US"/>
        </w:rPr>
        <w:t>,</w:t>
      </w:r>
      <w:r w:rsidR="00636341">
        <w:rPr>
          <w:lang w:val="en-US"/>
        </w:rPr>
        <w:t xml:space="preserve"> th</w:t>
      </w:r>
      <w:r w:rsidR="0095596B">
        <w:rPr>
          <w:lang w:val="en-US"/>
        </w:rPr>
        <w:t>ereby</w:t>
      </w:r>
      <w:r w:rsidR="00636341">
        <w:rPr>
          <w:lang w:val="en-US"/>
        </w:rPr>
        <w:t xml:space="preserve"> making them susceptible to alcohol dependence</w:t>
      </w:r>
      <w:r w:rsidR="00E01265">
        <w:rPr>
          <w:lang w:val="en-US"/>
        </w:rPr>
        <w:t xml:space="preserve"> </w:t>
      </w:r>
      <w:r w:rsidR="00E01265">
        <w:rPr>
          <w:lang w:val="en-US"/>
        </w:rPr>
        <w:fldChar w:fldCharType="begin" w:fldLock="1"/>
      </w:r>
      <w:r w:rsidR="009037BE">
        <w:rPr>
          <w:lang w:val="en-US"/>
        </w:rPr>
        <w:instrText>ADDIN CSL_CITATION {"citationItems":[{"id":"ITEM-1","itemData":{"ISSN":"1434-1816","author":[{"dropping-particle":"","family":"Gadalla","given":"T","non-dropping-particle":"","parse-names":false,"suffix":""},{"dropping-particle":"","family":"Piran","given":"N","non-dropping-particle":"","parse-names":false,"suffix":""}],"container-title":"Archives of women's mental health","id":"ITEM-1","issued":{"date-parts":[["2007"]]},"page":"133-140","publisher":"Springer","title":"Co-occurrence of eating disorders and alcohol use disorders in women: a meta analysis","type":"article-journal","volume":"10"},"uris":["http://www.mendeley.com/documents/?uuid=d5adc2b7-e6ed-4a9a-af03-f7af07519f66"]}],"mendeley":{"formattedCitation":"[31]","plainTextFormattedCitation":"[31]","previouslyFormattedCitation":"(Gadalla &amp; Piran, 2007)"},"properties":{"noteIndex":0},"schema":"https://github.com/citation-style-language/schema/raw/master/csl-citation.json"}</w:instrText>
      </w:r>
      <w:r w:rsidR="00E01265">
        <w:rPr>
          <w:lang w:val="en-US"/>
        </w:rPr>
        <w:fldChar w:fldCharType="separate"/>
      </w:r>
      <w:r w:rsidR="009037BE" w:rsidRPr="009037BE">
        <w:rPr>
          <w:noProof/>
          <w:lang w:val="en-US"/>
        </w:rPr>
        <w:t>[31]</w:t>
      </w:r>
      <w:r w:rsidR="00E01265">
        <w:rPr>
          <w:lang w:val="en-US"/>
        </w:rPr>
        <w:fldChar w:fldCharType="end"/>
      </w:r>
      <w:r w:rsidR="00636341">
        <w:rPr>
          <w:lang w:val="en-US"/>
        </w:rPr>
        <w:t xml:space="preserve">. </w:t>
      </w:r>
      <w:r w:rsidR="0095596B">
        <w:rPr>
          <w:lang w:val="en-US"/>
        </w:rPr>
        <w:t>In turn,</w:t>
      </w:r>
      <w:r w:rsidR="00F2138C">
        <w:rPr>
          <w:lang w:val="en-US"/>
        </w:rPr>
        <w:t xml:space="preserve"> alcohol dependence </w:t>
      </w:r>
      <w:r w:rsidR="0095596B">
        <w:rPr>
          <w:lang w:val="en-US"/>
        </w:rPr>
        <w:t>is known to increase risk for</w:t>
      </w:r>
      <w:r w:rsidR="005A14E0">
        <w:rPr>
          <w:lang w:val="en-US"/>
        </w:rPr>
        <w:t xml:space="preserve"> a variety of physical diseases including</w:t>
      </w:r>
      <w:r w:rsidR="0095596B">
        <w:rPr>
          <w:lang w:val="en-US"/>
        </w:rPr>
        <w:t xml:space="preserve"> </w:t>
      </w:r>
      <w:r w:rsidR="003640FE" w:rsidRPr="003640FE">
        <w:rPr>
          <w:lang w:val="en-US"/>
        </w:rPr>
        <w:t>cardiovascular disease, liver disease, and malignant neoplasms</w:t>
      </w:r>
      <w:r w:rsidR="00E01265">
        <w:rPr>
          <w:lang w:val="en-US"/>
        </w:rPr>
        <w:t xml:space="preserve"> </w:t>
      </w:r>
      <w:r w:rsidR="00E01265">
        <w:rPr>
          <w:lang w:val="en-US"/>
        </w:rPr>
        <w:fldChar w:fldCharType="begin" w:fldLock="1"/>
      </w:r>
      <w:r w:rsidR="009037BE">
        <w:rPr>
          <w:lang w:val="en-US"/>
        </w:rPr>
        <w:instrText>ADDIN CSL_CITATION {"citationItems":[{"id":"ITEM-1","itemData":{"ISSN":"1079-2082","author":[{"dropping-particle":"","family":"Cargiulo","given":"Thomas","non-dropping-particle":"","parse-names":false,"suffix":""}],"container-title":"American journal of health-system pharmacy","id":"ITEM-1","issue":"5_Supplement_3","issued":{"date-parts":[["2007"]]},"page":"S5-S11","publisher":"Oxford University Press","title":"Understanding the health impact of alcohol dependence","type":"article-journal","volume":"64"},"uris":["http://www.mendeley.com/documents/?uuid=05abf7d2-c9eb-47b9-a10f-b620e2b4aee1"]}],"mendeley":{"formattedCitation":"[59]","plainTextFormattedCitation":"[59]","previouslyFormattedCitation":"(Cargiulo, 2007)"},"properties":{"noteIndex":0},"schema":"https://github.com/citation-style-language/schema/raw/master/csl-citation.json"}</w:instrText>
      </w:r>
      <w:r w:rsidR="00E01265">
        <w:rPr>
          <w:lang w:val="en-US"/>
        </w:rPr>
        <w:fldChar w:fldCharType="separate"/>
      </w:r>
      <w:r w:rsidR="009037BE" w:rsidRPr="009037BE">
        <w:rPr>
          <w:noProof/>
          <w:lang w:val="en-US"/>
        </w:rPr>
        <w:t>[59]</w:t>
      </w:r>
      <w:r w:rsidR="00E01265">
        <w:rPr>
          <w:lang w:val="en-US"/>
        </w:rPr>
        <w:fldChar w:fldCharType="end"/>
      </w:r>
      <w:r w:rsidR="003640FE">
        <w:rPr>
          <w:lang w:val="en-US"/>
        </w:rPr>
        <w:t xml:space="preserve">. </w:t>
      </w:r>
    </w:p>
    <w:p w14:paraId="7729A9AE" w14:textId="77777777" w:rsidR="005D5DC0" w:rsidRDefault="005D5DC0" w:rsidP="00C63A11">
      <w:pPr>
        <w:spacing w:line="480" w:lineRule="auto"/>
        <w:rPr>
          <w:lang w:val="en-US"/>
        </w:rPr>
      </w:pPr>
    </w:p>
    <w:p w14:paraId="59BDED82" w14:textId="75D64C69" w:rsidR="003640FE" w:rsidRDefault="00A9531B" w:rsidP="00C63A11">
      <w:pPr>
        <w:spacing w:line="480" w:lineRule="auto"/>
        <w:rPr>
          <w:lang w:val="en-US"/>
        </w:rPr>
      </w:pPr>
      <w:r>
        <w:rPr>
          <w:lang w:val="en-US"/>
        </w:rPr>
        <w:t>It is also important to note that all the influential factors included in our study</w:t>
      </w:r>
      <w:r w:rsidR="00C45B2B">
        <w:rPr>
          <w:lang w:val="en-US"/>
        </w:rPr>
        <w:t xml:space="preserve"> collectively explained less than 60% of the association between </w:t>
      </w:r>
      <w:r w:rsidR="00F133E6">
        <w:rPr>
          <w:lang w:val="en-US"/>
        </w:rPr>
        <w:t xml:space="preserve">possible eating disorder </w:t>
      </w:r>
      <w:r w:rsidR="00C45B2B">
        <w:rPr>
          <w:lang w:val="en-US"/>
        </w:rPr>
        <w:t>and physical multimorbidity.</w:t>
      </w:r>
      <w:r>
        <w:rPr>
          <w:lang w:val="en-US"/>
        </w:rPr>
        <w:t xml:space="preserve"> </w:t>
      </w:r>
      <w:r w:rsidR="00B8357B">
        <w:rPr>
          <w:lang w:val="en-US"/>
        </w:rPr>
        <w:t xml:space="preserve">It is possible that there are unmeasured </w:t>
      </w:r>
      <w:r w:rsidR="003B7790">
        <w:rPr>
          <w:lang w:val="en-US"/>
        </w:rPr>
        <w:t xml:space="preserve">mechanisms such as inflammation </w:t>
      </w:r>
      <w:r w:rsidR="003B7790">
        <w:rPr>
          <w:lang w:val="en-US"/>
        </w:rPr>
        <w:fldChar w:fldCharType="begin" w:fldLock="1"/>
      </w:r>
      <w:r w:rsidR="009037BE">
        <w:rPr>
          <w:lang w:val="en-US"/>
        </w:rPr>
        <w:instrText>ADDIN CSL_CITATION {"citationItems":[{"id":"ITEM-1","itemData":{"ISSN":"0160-6689","author":[{"dropping-particle":"","family":"Dargél","given":"Aroldo A","non-dropping-particle":"","parse-names":false,"suffix":""},{"dropping-particle":"","family":"Godin","given":"Ophelia","non-dropping-particle":"","parse-names":false,"suffix":""},{"dropping-particle":"","family":"Kapczinski","given":"Flávio","non-dropping-particle":"","parse-names":false,"suffix":""},{"dropping-particle":"","family":"Kupfer","given":"David J","non-dropping-particle":"","parse-names":false,"suffix":""},{"dropping-particle":"","family":"Leboyer","given":"Marion","non-dropping-particle":"","parse-names":false,"suffix":""}],"container-title":"The Journal of clinical psychiatry","id":"ITEM-1","issue":"2","issued":{"date-parts":[["2015"]]},"page":"3919","publisher":"Physicians Postgraduate Press, Inc.","title":"C-reactive protein alterations in bipolar disorder: a meta-analysis","type":"article-journal","volume":"76"},"uris":["http://www.mendeley.com/documents/?uuid=0aa1a053-ffd7-43eb-9b19-7845b5f0f2be"]}],"mendeley":{"formattedCitation":"[16]","plainTextFormattedCitation":"[16]","previouslyFormattedCitation":"(Dargél et al., 2015)"},"properties":{"noteIndex":0},"schema":"https://github.com/citation-style-language/schema/raw/master/csl-citation.json"}</w:instrText>
      </w:r>
      <w:r w:rsidR="003B7790">
        <w:rPr>
          <w:lang w:val="en-US"/>
        </w:rPr>
        <w:fldChar w:fldCharType="separate"/>
      </w:r>
      <w:r w:rsidR="009037BE" w:rsidRPr="009037BE">
        <w:rPr>
          <w:noProof/>
          <w:lang w:val="en-US"/>
        </w:rPr>
        <w:t>[16]</w:t>
      </w:r>
      <w:r w:rsidR="003B7790">
        <w:rPr>
          <w:lang w:val="en-US"/>
        </w:rPr>
        <w:fldChar w:fldCharType="end"/>
      </w:r>
      <w:r w:rsidR="00B8357B">
        <w:rPr>
          <w:lang w:val="en-US"/>
        </w:rPr>
        <w:t>, change in bone structure</w:t>
      </w:r>
      <w:r w:rsidR="003B7790">
        <w:rPr>
          <w:lang w:val="en-US"/>
        </w:rPr>
        <w:t xml:space="preserve"> </w:t>
      </w:r>
      <w:r w:rsidR="003B7790">
        <w:rPr>
          <w:lang w:val="en-US"/>
        </w:rPr>
        <w:fldChar w:fldCharType="begin" w:fldLock="1"/>
      </w:r>
      <w:r w:rsidR="009037BE">
        <w:rPr>
          <w:lang w:val="en-US"/>
        </w:rPr>
        <w:instrText>ADDIN CSL_CITATION {"citationItems":[{"id":"ITEM-1","itemData":{"ISSN":"0378-5122","author":[{"dropping-particle":"","family":"Meczekalski","given":"Blazej","non-dropping-particle":"","parse-names":false,"suffix":""},{"dropping-particle":"","family":"Podfigurna-Stopa","given":"Agnieszka","non-dropping-particle":"","parse-names":false,"suffix":""},{"dropping-particle":"","family":"Katulski","given":"Krzysztof","non-dropping-particle":"","parse-names":false,"suffix":""}],"container-title":"Maturitas","id":"ITEM-1","issue":"3","issued":{"date-parts":[["2013"]]},"page":"215-220","publisher":"Elsevier","title":"Long-term consequences of anorexia nervosa","type":"article-journal","volume":"75"},"uris":["http://www.mendeley.com/documents/?uuid=f06ea2b6-7043-46e3-8cd5-7804c9ec6ad6"]}],"mendeley":{"formattedCitation":"[24]","plainTextFormattedCitation":"[24]","previouslyFormattedCitation":"(Meczekalski et al., 2013)"},"properties":{"noteIndex":0},"schema":"https://github.com/citation-style-language/schema/raw/master/csl-citation.json"}</w:instrText>
      </w:r>
      <w:r w:rsidR="003B7790">
        <w:rPr>
          <w:lang w:val="en-US"/>
        </w:rPr>
        <w:fldChar w:fldCharType="separate"/>
      </w:r>
      <w:r w:rsidR="009037BE" w:rsidRPr="009037BE">
        <w:rPr>
          <w:noProof/>
          <w:lang w:val="en-US"/>
        </w:rPr>
        <w:t>[24]</w:t>
      </w:r>
      <w:r w:rsidR="003B7790">
        <w:rPr>
          <w:lang w:val="en-US"/>
        </w:rPr>
        <w:fldChar w:fldCharType="end"/>
      </w:r>
      <w:r w:rsidR="00B8357B">
        <w:rPr>
          <w:lang w:val="en-US"/>
        </w:rPr>
        <w:t xml:space="preserve">, and malnutrition. </w:t>
      </w:r>
      <w:bookmarkStart w:id="1" w:name="_Hlk142324327"/>
    </w:p>
    <w:bookmarkEnd w:id="1"/>
    <w:p w14:paraId="7222422F" w14:textId="7C741429" w:rsidR="002A735C" w:rsidRDefault="002A735C" w:rsidP="00C63A11">
      <w:pPr>
        <w:spacing w:line="480" w:lineRule="auto"/>
        <w:rPr>
          <w:lang w:val="en-US"/>
        </w:rPr>
      </w:pPr>
      <w:r>
        <w:rPr>
          <w:lang w:val="en-US"/>
        </w:rPr>
        <w:lastRenderedPageBreak/>
        <w:t>Interesting</w:t>
      </w:r>
      <w:r w:rsidR="009964D7">
        <w:rPr>
          <w:lang w:val="en-US"/>
        </w:rPr>
        <w:t>ly</w:t>
      </w:r>
      <w:r w:rsidR="00901204">
        <w:rPr>
          <w:lang w:val="en-US"/>
        </w:rPr>
        <w:t>,</w:t>
      </w:r>
      <w:r>
        <w:rPr>
          <w:lang w:val="en-US"/>
        </w:rPr>
        <w:t xml:space="preserve"> w</w:t>
      </w:r>
      <w:r w:rsidRPr="002A735C">
        <w:rPr>
          <w:lang w:val="en-US"/>
        </w:rPr>
        <w:t>eight loss, uncontrolled eating</w:t>
      </w:r>
      <w:r w:rsidR="007A1B1B">
        <w:rPr>
          <w:lang w:val="en-US"/>
        </w:rPr>
        <w:t>,</w:t>
      </w:r>
      <w:r w:rsidRPr="002A735C">
        <w:rPr>
          <w:lang w:val="en-US"/>
        </w:rPr>
        <w:t xml:space="preserve"> </w:t>
      </w:r>
      <w:r>
        <w:rPr>
          <w:lang w:val="en-US"/>
        </w:rPr>
        <w:t xml:space="preserve">and </w:t>
      </w:r>
      <w:r w:rsidRPr="002A735C">
        <w:rPr>
          <w:lang w:val="en-US"/>
        </w:rPr>
        <w:t xml:space="preserve">self-perceived fatness </w:t>
      </w:r>
      <w:r>
        <w:rPr>
          <w:lang w:val="en-US"/>
        </w:rPr>
        <w:t>were associated with higher</w:t>
      </w:r>
      <w:r w:rsidR="002D295C">
        <w:rPr>
          <w:lang w:val="en-US"/>
        </w:rPr>
        <w:t xml:space="preserve"> </w:t>
      </w:r>
      <w:r>
        <w:rPr>
          <w:lang w:val="en-US"/>
        </w:rPr>
        <w:t xml:space="preserve">odds </w:t>
      </w:r>
      <w:r w:rsidR="00776A95">
        <w:rPr>
          <w:lang w:val="en-US"/>
        </w:rPr>
        <w:t>f</w:t>
      </w:r>
      <w:r w:rsidR="005D30BC">
        <w:rPr>
          <w:lang w:val="en-US"/>
        </w:rPr>
        <w:t>or</w:t>
      </w:r>
      <w:r>
        <w:rPr>
          <w:lang w:val="en-US"/>
        </w:rPr>
        <w:t xml:space="preserve"> physical multimorbidity </w:t>
      </w:r>
      <w:r w:rsidRPr="002A735C">
        <w:rPr>
          <w:lang w:val="en-US"/>
        </w:rPr>
        <w:t>but self-sick for feeling full and food dominance were not</w:t>
      </w:r>
      <w:r>
        <w:rPr>
          <w:lang w:val="en-US"/>
        </w:rPr>
        <w:t xml:space="preserve">. </w:t>
      </w:r>
      <w:r w:rsidR="005818BB">
        <w:rPr>
          <w:lang w:val="en-US"/>
        </w:rPr>
        <w:t>It is likely that extreme weight loss and uncontrolled eating are associated with physical multimorbidity as both likely promote inflammatory dysregulation</w:t>
      </w:r>
      <w:r w:rsidR="005D30BC">
        <w:rPr>
          <w:lang w:val="en-US"/>
        </w:rPr>
        <w:t>,</w:t>
      </w:r>
      <w:r w:rsidR="005818BB">
        <w:rPr>
          <w:lang w:val="en-US"/>
        </w:rPr>
        <w:t xml:space="preserve"> and perceived fatness likely promote</w:t>
      </w:r>
      <w:r w:rsidR="005D30BC">
        <w:rPr>
          <w:lang w:val="en-US"/>
        </w:rPr>
        <w:t>s</w:t>
      </w:r>
      <w:r w:rsidR="005818BB">
        <w:rPr>
          <w:lang w:val="en-US"/>
        </w:rPr>
        <w:t xml:space="preserve"> physical multimorbidity via stress, anxiety, and depression. In the case of self-sick and food dominance</w:t>
      </w:r>
      <w:r w:rsidR="005D30BC">
        <w:rPr>
          <w:lang w:val="en-US"/>
        </w:rPr>
        <w:t>,</w:t>
      </w:r>
      <w:r w:rsidR="005818BB">
        <w:rPr>
          <w:lang w:val="en-US"/>
        </w:rPr>
        <w:t xml:space="preserve"> it is possible that these two constructs alone have little impact on physiological and psychological mechanisms that drive chronic disease and physical multimorbidity. </w:t>
      </w:r>
    </w:p>
    <w:p w14:paraId="22AD1E5A" w14:textId="77777777" w:rsidR="008547C8" w:rsidRDefault="008547C8" w:rsidP="008547C8">
      <w:pPr>
        <w:spacing w:line="480" w:lineRule="auto"/>
        <w:rPr>
          <w:b/>
          <w:bCs/>
          <w:i/>
          <w:iCs/>
          <w:lang w:val="en-US"/>
        </w:rPr>
      </w:pPr>
    </w:p>
    <w:p w14:paraId="5F8CDB20" w14:textId="2DA15E58" w:rsidR="008547C8" w:rsidRPr="006F6023" w:rsidRDefault="008547C8" w:rsidP="008547C8">
      <w:pPr>
        <w:spacing w:line="480" w:lineRule="auto"/>
        <w:rPr>
          <w:b/>
          <w:bCs/>
          <w:i/>
          <w:iCs/>
          <w:lang w:val="en-US"/>
        </w:rPr>
      </w:pPr>
      <w:r w:rsidRPr="006F6023">
        <w:rPr>
          <w:b/>
          <w:bCs/>
          <w:i/>
          <w:iCs/>
          <w:lang w:val="en-US"/>
        </w:rPr>
        <w:t>Strengths and limitations</w:t>
      </w:r>
    </w:p>
    <w:p w14:paraId="39BF3584" w14:textId="1A40C286" w:rsidR="008547C8" w:rsidRPr="00C41A3F" w:rsidRDefault="008547C8" w:rsidP="008547C8">
      <w:pPr>
        <w:spacing w:line="480" w:lineRule="auto"/>
        <w:rPr>
          <w:lang w:val="en-US"/>
        </w:rPr>
      </w:pPr>
      <w:r>
        <w:rPr>
          <w:lang w:val="en-US"/>
        </w:rPr>
        <w:t>The analysis of a large representative sample of English adults</w:t>
      </w:r>
      <w:r w:rsidR="0088018A">
        <w:rPr>
          <w:lang w:val="en-US"/>
        </w:rPr>
        <w:t xml:space="preserve"> and validated measures are </w:t>
      </w:r>
      <w:r>
        <w:rPr>
          <w:lang w:val="en-US"/>
        </w:rPr>
        <w:t>clear strength</w:t>
      </w:r>
      <w:r w:rsidR="0088018A">
        <w:rPr>
          <w:lang w:val="en-US"/>
        </w:rPr>
        <w:t>s</w:t>
      </w:r>
      <w:r>
        <w:rPr>
          <w:lang w:val="en-US"/>
        </w:rPr>
        <w:t xml:space="preserve"> of the present study. However, findings must be interpreted </w:t>
      </w:r>
      <w:proofErr w:type="gramStart"/>
      <w:r>
        <w:rPr>
          <w:lang w:val="en-US"/>
        </w:rPr>
        <w:t>in light of</w:t>
      </w:r>
      <w:proofErr w:type="gramEnd"/>
      <w:r>
        <w:rPr>
          <w:lang w:val="en-US"/>
        </w:rPr>
        <w:t xml:space="preserve"> the study’s limitations. </w:t>
      </w:r>
      <w:bookmarkStart w:id="2" w:name="_Hlk142324518"/>
      <w:r>
        <w:rPr>
          <w:lang w:val="en-US"/>
        </w:rPr>
        <w:t xml:space="preserve">First, the study was cross-sectional in nature, and thus, the direction of the association cannot be established. For example, weight loss can also be the consequence of the physical condition (e.g., cancer). </w:t>
      </w:r>
      <w:bookmarkEnd w:id="2"/>
      <w:r>
        <w:rPr>
          <w:lang w:val="en-US"/>
        </w:rPr>
        <w:t xml:space="preserve">Second, the variables included in the study were based on self-report, potentially introducing recall and social desirability bias into the findings. Third, there was no data on physical activity in the dataset despite this factor being associated with both </w:t>
      </w:r>
      <w:r w:rsidR="00BE3333">
        <w:rPr>
          <w:lang w:val="en-US"/>
        </w:rPr>
        <w:t>eating di</w:t>
      </w:r>
      <w:r w:rsidR="004510DB">
        <w:rPr>
          <w:lang w:val="en-US"/>
        </w:rPr>
        <w:t>sorder</w:t>
      </w:r>
      <w:r w:rsidR="00BE3333">
        <w:rPr>
          <w:lang w:val="en-US"/>
        </w:rPr>
        <w:t xml:space="preserve"> </w:t>
      </w:r>
      <w:r>
        <w:rPr>
          <w:lang w:val="en-US"/>
        </w:rPr>
        <w:t xml:space="preserve">and multimorbidity. Thus, we were unable to examine the influence of this factor in the association between </w:t>
      </w:r>
      <w:r w:rsidR="00BE3333">
        <w:rPr>
          <w:lang w:val="en-US"/>
        </w:rPr>
        <w:t xml:space="preserve">eating </w:t>
      </w:r>
      <w:r w:rsidR="0065038C">
        <w:rPr>
          <w:lang w:val="en-US"/>
        </w:rPr>
        <w:t xml:space="preserve">disorder </w:t>
      </w:r>
      <w:r>
        <w:rPr>
          <w:lang w:val="en-US"/>
        </w:rPr>
        <w:t xml:space="preserve">and multimorbidity. Furthermore, although the SCOFF questionnaire does have favorable validity, it is not a diagnostic tool. Thus, future research should aim to use clinician diagnosed eating disorders to confirm these findings. </w:t>
      </w:r>
      <w:bookmarkStart w:id="3" w:name="_Hlk142317706"/>
      <w:r w:rsidR="005E29D3">
        <w:rPr>
          <w:lang w:val="en-US"/>
        </w:rPr>
        <w:t>Also, w</w:t>
      </w:r>
      <w:r w:rsidR="00535BE8">
        <w:rPr>
          <w:lang w:val="en-US"/>
        </w:rPr>
        <w:t>e used BMI to determine weight category</w:t>
      </w:r>
      <w:r w:rsidR="00F1217A">
        <w:rPr>
          <w:lang w:val="en-US"/>
        </w:rPr>
        <w:t>.</w:t>
      </w:r>
      <w:r w:rsidR="00535BE8">
        <w:rPr>
          <w:lang w:val="en-US"/>
        </w:rPr>
        <w:t xml:space="preserve"> </w:t>
      </w:r>
      <w:r w:rsidR="00F1217A">
        <w:rPr>
          <w:lang w:val="en-US"/>
        </w:rPr>
        <w:t>However</w:t>
      </w:r>
      <w:r w:rsidR="00535BE8">
        <w:rPr>
          <w:lang w:val="en-US"/>
        </w:rPr>
        <w:t xml:space="preserve">, </w:t>
      </w:r>
      <w:r w:rsidR="00535BE8" w:rsidRPr="00535BE8">
        <w:rPr>
          <w:lang w:val="en-US"/>
        </w:rPr>
        <w:t>BMI may not be the optimal measure to employ to measure body mass since it does not distinguish between fat mass and fat-free mass</w:t>
      </w:r>
      <w:r w:rsidR="00F1217A">
        <w:rPr>
          <w:lang w:val="en-US"/>
        </w:rPr>
        <w:t>,</w:t>
      </w:r>
      <w:r w:rsidR="00535BE8" w:rsidRPr="00535BE8">
        <w:rPr>
          <w:lang w:val="en-US"/>
        </w:rPr>
        <w:t xml:space="preserve"> and thus</w:t>
      </w:r>
      <w:r w:rsidR="00F1217A">
        <w:rPr>
          <w:lang w:val="en-US"/>
        </w:rPr>
        <w:t>,</w:t>
      </w:r>
      <w:r w:rsidR="00535BE8" w:rsidRPr="00535BE8">
        <w:rPr>
          <w:lang w:val="en-US"/>
        </w:rPr>
        <w:t xml:space="preserve"> may categorize an individual with a high level of fat-free mass as overweight or obese. </w:t>
      </w:r>
      <w:r w:rsidR="00535BE8" w:rsidRPr="00535BE8">
        <w:rPr>
          <w:lang w:val="en-US"/>
        </w:rPr>
        <w:lastRenderedPageBreak/>
        <w:t xml:space="preserve">Different measures of adiposity (e.g., waist circumference, bioimpedance) may yield differing </w:t>
      </w:r>
      <w:r w:rsidR="00535BE8">
        <w:rPr>
          <w:lang w:val="en-US"/>
        </w:rPr>
        <w:t xml:space="preserve">mediating </w:t>
      </w:r>
      <w:r w:rsidR="00535BE8" w:rsidRPr="00E41489">
        <w:rPr>
          <w:lang w:val="en-US"/>
        </w:rPr>
        <w:t xml:space="preserve">effects. </w:t>
      </w:r>
      <w:bookmarkEnd w:id="3"/>
      <w:r w:rsidR="005E29D3" w:rsidRPr="00E41489">
        <w:rPr>
          <w:shd w:val="clear" w:color="auto" w:fill="FFFFFF"/>
        </w:rPr>
        <w:t xml:space="preserve">Next, while we did have data on underweight which could be considered a proxy of malnutrition, we did not have data on malnutrition </w:t>
      </w:r>
      <w:r w:rsidR="005E29D3" w:rsidRPr="00E41489">
        <w:rPr>
          <w:i/>
          <w:iCs/>
          <w:shd w:val="clear" w:color="auto" w:fill="FFFFFF"/>
        </w:rPr>
        <w:t>per se</w:t>
      </w:r>
      <w:r w:rsidR="005E29D3" w:rsidRPr="00E41489">
        <w:rPr>
          <w:shd w:val="clear" w:color="auto" w:fill="FFFFFF"/>
        </w:rPr>
        <w:t xml:space="preserve">, </w:t>
      </w:r>
      <w:proofErr w:type="gramStart"/>
      <w:r w:rsidR="005E29D3" w:rsidRPr="00E41489">
        <w:rPr>
          <w:shd w:val="clear" w:color="auto" w:fill="FFFFFF"/>
        </w:rPr>
        <w:t>despite the fact that</w:t>
      </w:r>
      <w:proofErr w:type="gramEnd"/>
      <w:r w:rsidR="005E29D3" w:rsidRPr="00E41489">
        <w:rPr>
          <w:shd w:val="clear" w:color="auto" w:fill="FFFFFF"/>
        </w:rPr>
        <w:t xml:space="preserve"> eating disorders are associated with a high risk for malnutrition, and malnutrition can increase risk for multiple physical diseases [60, 61]. For example, pathophysiologic changes of the </w:t>
      </w:r>
      <w:proofErr w:type="spellStart"/>
      <w:r w:rsidR="005E29D3" w:rsidRPr="00E41489">
        <w:rPr>
          <w:shd w:val="clear" w:color="auto" w:fill="FFFFFF"/>
        </w:rPr>
        <w:t>esophagus</w:t>
      </w:r>
      <w:proofErr w:type="spellEnd"/>
      <w:r w:rsidR="005E29D3" w:rsidRPr="00E41489">
        <w:rPr>
          <w:shd w:val="clear" w:color="auto" w:fill="FFFFFF"/>
        </w:rPr>
        <w:t xml:space="preserve">, stomach, and intestines develop with malnutrition, which can lead to gastrointestinal conditions such as Celiac disease and inflammatory bowel disease. </w:t>
      </w:r>
      <w:r w:rsidRPr="00E41489">
        <w:rPr>
          <w:lang w:val="en-US"/>
        </w:rPr>
        <w:t>Finally</w:t>
      </w:r>
      <w:r w:rsidRPr="00EF4A91">
        <w:rPr>
          <w:lang w:val="en-US"/>
        </w:rPr>
        <w:t xml:space="preserve">, </w:t>
      </w:r>
      <w:r w:rsidRPr="006F6023">
        <w:t xml:space="preserve">mediation and confounding are identical </w:t>
      </w:r>
      <w:r>
        <w:t xml:space="preserve">from a statistical point of view, </w:t>
      </w:r>
      <w:r w:rsidRPr="006F6023">
        <w:t>and can be distinguished only on conceptual grounds</w:t>
      </w:r>
      <w:r w:rsidR="000A7BB7">
        <w:t xml:space="preserve"> </w:t>
      </w:r>
      <w:r w:rsidR="000A7BB7">
        <w:fldChar w:fldCharType="begin" w:fldLock="1"/>
      </w:r>
      <w:r w:rsidR="009037BE">
        <w:instrText>ADDIN CSL_CITATION {"citationItems":[{"id":"ITEM-1","itemData":{"author":[{"dropping-particle":"","family":"MacKinnon","given":"David P","non-dropping-particle":"","parse-names":false,"suffix":""},{"dropping-particle":"","family":"Krull","given":"Jennifer L","non-dropping-particle":"","parse-names":false,"suffix":""},{"dropping-particle":"","family":"Lockwood","given":"Chondra M","non-dropping-particle":"","parse-names":false,"suffix":""}],"container-title":"Prevention science","id":"ITEM-1","issue":"4","issued":{"date-parts":[["2000"]]},"page":"173-181","publisher":"Springer","title":"Equivalence of the mediation, confounding and suppression effect","type":"article-journal","volume":"1"},"uris":["http://www.mendeley.com/documents/?uuid=e41cf1a0-f9a7-3b29-af89-70d73c2545a4"]}],"mendeley":{"formattedCitation":"[62]","plainTextFormattedCitation":"[62]","previouslyFormattedCitation":"(MacKinnon, Krull, &amp; Lockwood, 2000)"},"properties":{"noteIndex":0},"schema":"https://github.com/citation-style-language/schema/raw/master/csl-citation.json"}</w:instrText>
      </w:r>
      <w:r w:rsidR="000A7BB7">
        <w:fldChar w:fldCharType="separate"/>
      </w:r>
      <w:r w:rsidR="009037BE" w:rsidRPr="009037BE">
        <w:rPr>
          <w:noProof/>
        </w:rPr>
        <w:t>[62]</w:t>
      </w:r>
      <w:r w:rsidR="000A7BB7">
        <w:fldChar w:fldCharType="end"/>
      </w:r>
      <w:r w:rsidRPr="006F6023">
        <w:t xml:space="preserve">. </w:t>
      </w:r>
      <w:r>
        <w:t xml:space="preserve">Thus, although the influential variables that were assessed in this study could be conceptualized as mediators, the mediated percentage estimated for each potential influential factor in our study could also be due to confounding. </w:t>
      </w:r>
    </w:p>
    <w:p w14:paraId="3B3A7BDD" w14:textId="4DAEAEB1" w:rsidR="009F48FC" w:rsidRDefault="009F48FC" w:rsidP="00C63A11">
      <w:pPr>
        <w:spacing w:line="480" w:lineRule="auto"/>
        <w:rPr>
          <w:lang w:val="en-US"/>
        </w:rPr>
      </w:pPr>
    </w:p>
    <w:p w14:paraId="5EC974BE" w14:textId="719F1E8C" w:rsidR="00824BC0" w:rsidRPr="006F6023" w:rsidRDefault="00824BC0" w:rsidP="00C63A11">
      <w:pPr>
        <w:spacing w:line="480" w:lineRule="auto"/>
        <w:rPr>
          <w:b/>
          <w:bCs/>
          <w:i/>
          <w:iCs/>
          <w:lang w:val="en-US"/>
        </w:rPr>
      </w:pPr>
      <w:r w:rsidRPr="006F6023">
        <w:rPr>
          <w:b/>
          <w:bCs/>
          <w:i/>
          <w:iCs/>
          <w:lang w:val="en-US"/>
        </w:rPr>
        <w:t>Clinical implications and areas for future research</w:t>
      </w:r>
    </w:p>
    <w:p w14:paraId="1310CDBF" w14:textId="5044869C" w:rsidR="00824BC0" w:rsidRDefault="00A464ED" w:rsidP="00C63A11">
      <w:pPr>
        <w:spacing w:line="480" w:lineRule="auto"/>
        <w:rPr>
          <w:lang w:val="en-US"/>
        </w:rPr>
      </w:pPr>
      <w:r>
        <w:rPr>
          <w:lang w:val="en-US"/>
        </w:rPr>
        <w:t xml:space="preserve">The results of our study suggest that people with </w:t>
      </w:r>
      <w:r w:rsidR="004510DB">
        <w:rPr>
          <w:lang w:val="en-US"/>
        </w:rPr>
        <w:t xml:space="preserve">possible eating </w:t>
      </w:r>
      <w:proofErr w:type="gramStart"/>
      <w:r w:rsidR="004510DB">
        <w:rPr>
          <w:lang w:val="en-US"/>
        </w:rPr>
        <w:t>disorder</w:t>
      </w:r>
      <w:proofErr w:type="gramEnd"/>
      <w:r w:rsidR="00BE3333">
        <w:rPr>
          <w:lang w:val="en-US"/>
        </w:rPr>
        <w:t xml:space="preserve"> </w:t>
      </w:r>
      <w:r>
        <w:rPr>
          <w:lang w:val="en-US"/>
        </w:rPr>
        <w:t>may be at high risk for physical multimorbidity</w:t>
      </w:r>
      <w:r w:rsidR="00806965">
        <w:rPr>
          <w:lang w:val="en-US"/>
        </w:rPr>
        <w:t xml:space="preserve">. </w:t>
      </w:r>
      <w:r w:rsidR="00026A1E">
        <w:rPr>
          <w:lang w:val="en-US"/>
        </w:rPr>
        <w:t xml:space="preserve">Clinicians should be aware of this so that people with </w:t>
      </w:r>
      <w:r w:rsidR="00BE3333">
        <w:rPr>
          <w:lang w:val="en-US"/>
        </w:rPr>
        <w:t>eating di</w:t>
      </w:r>
      <w:r w:rsidR="004510DB">
        <w:rPr>
          <w:lang w:val="en-US"/>
        </w:rPr>
        <w:t>sorders</w:t>
      </w:r>
      <w:r w:rsidR="00BE3333">
        <w:rPr>
          <w:lang w:val="en-US"/>
        </w:rPr>
        <w:t xml:space="preserve"> </w:t>
      </w:r>
      <w:r w:rsidR="00026A1E">
        <w:rPr>
          <w:lang w:val="en-US"/>
        </w:rPr>
        <w:t xml:space="preserve">can be screened for physical </w:t>
      </w:r>
      <w:proofErr w:type="gramStart"/>
      <w:r w:rsidR="00026A1E">
        <w:rPr>
          <w:lang w:val="en-US"/>
        </w:rPr>
        <w:t>conditions</w:t>
      </w:r>
      <w:proofErr w:type="gramEnd"/>
      <w:r w:rsidR="00026A1E">
        <w:rPr>
          <w:lang w:val="en-US"/>
        </w:rPr>
        <w:t xml:space="preserve">, and have them treated, or vice versa. </w:t>
      </w:r>
      <w:r w:rsidR="00125B05">
        <w:rPr>
          <w:lang w:val="en-US"/>
        </w:rPr>
        <w:t xml:space="preserve">Furthermore, our study results suggest that addressing </w:t>
      </w:r>
      <w:r w:rsidR="004069EC">
        <w:rPr>
          <w:lang w:val="en-US"/>
        </w:rPr>
        <w:t xml:space="preserve">the </w:t>
      </w:r>
      <w:r w:rsidR="00806965">
        <w:rPr>
          <w:lang w:val="en-US"/>
        </w:rPr>
        <w:t xml:space="preserve">identified </w:t>
      </w:r>
      <w:r w:rsidR="004069EC">
        <w:rPr>
          <w:lang w:val="en-US"/>
        </w:rPr>
        <w:t xml:space="preserve">potential mediators </w:t>
      </w:r>
      <w:r w:rsidR="00806965">
        <w:rPr>
          <w:lang w:val="en-US"/>
        </w:rPr>
        <w:t xml:space="preserve">in the present study among those with </w:t>
      </w:r>
      <w:r w:rsidR="004510DB">
        <w:rPr>
          <w:lang w:val="en-US"/>
        </w:rPr>
        <w:t>eating disorders</w:t>
      </w:r>
      <w:r w:rsidR="00BE3333">
        <w:rPr>
          <w:lang w:val="en-US"/>
        </w:rPr>
        <w:t xml:space="preserve"> </w:t>
      </w:r>
      <w:r w:rsidR="00125B05">
        <w:rPr>
          <w:lang w:val="en-US"/>
        </w:rPr>
        <w:t>may help in the prevention of physical multimorbidity</w:t>
      </w:r>
      <w:r w:rsidR="00806965">
        <w:rPr>
          <w:lang w:val="en-US"/>
        </w:rPr>
        <w:t>. Indeed, a</w:t>
      </w:r>
      <w:r w:rsidR="00806965" w:rsidRPr="00806965">
        <w:rPr>
          <w:lang w:val="en-US"/>
        </w:rPr>
        <w:t xml:space="preserve"> well-established and lasting treatment </w:t>
      </w:r>
      <w:r w:rsidR="00806965">
        <w:rPr>
          <w:lang w:val="en-US"/>
        </w:rPr>
        <w:t>for depression, anxiety, alcohol dependence</w:t>
      </w:r>
      <w:r w:rsidR="00807CA9">
        <w:rPr>
          <w:lang w:val="en-US"/>
        </w:rPr>
        <w:t xml:space="preserve">, </w:t>
      </w:r>
      <w:r w:rsidR="00806965">
        <w:rPr>
          <w:lang w:val="en-US"/>
        </w:rPr>
        <w:t>perceived stress</w:t>
      </w:r>
      <w:r w:rsidR="00807CA9">
        <w:rPr>
          <w:lang w:val="en-US"/>
        </w:rPr>
        <w:t>, and sleep problems</w:t>
      </w:r>
      <w:r w:rsidR="00806965">
        <w:rPr>
          <w:lang w:val="en-US"/>
        </w:rPr>
        <w:t xml:space="preserve"> </w:t>
      </w:r>
      <w:r w:rsidR="00806965" w:rsidRPr="00806965">
        <w:rPr>
          <w:lang w:val="en-US"/>
        </w:rPr>
        <w:t>is cognitive-behavioral therapy</w:t>
      </w:r>
      <w:r w:rsidR="00E64479">
        <w:rPr>
          <w:lang w:val="en-US"/>
        </w:rPr>
        <w:t>,</w:t>
      </w:r>
      <w:r w:rsidR="00806965">
        <w:rPr>
          <w:lang w:val="en-US"/>
        </w:rPr>
        <w:t xml:space="preserve"> </w:t>
      </w:r>
      <w:r w:rsidR="00806965" w:rsidRPr="00806965">
        <w:rPr>
          <w:lang w:val="en-US"/>
        </w:rPr>
        <w:t>which focuses on identifying, understanding, and changing thinking and behavior patterns</w:t>
      </w:r>
      <w:r w:rsidR="005D3F6A">
        <w:rPr>
          <w:lang w:val="en-US"/>
        </w:rPr>
        <w:t xml:space="preserve"> </w:t>
      </w:r>
      <w:r w:rsidR="005D3F6A">
        <w:rPr>
          <w:lang w:val="en-US"/>
        </w:rPr>
        <w:fldChar w:fldCharType="begin" w:fldLock="1"/>
      </w:r>
      <w:r w:rsidR="009037BE">
        <w:rPr>
          <w:lang w:val="en-US"/>
        </w:rPr>
        <w:instrText>ADDIN CSL_CITATION {"citationItems":[{"id":"ITEM-1","itemData":{"URL":"https://adaa.org/understanding-anxiety/related-illnesses/eating-disorders","author":[{"dropping-particle":"","family":"Anxiety and Depression Association of America","given":"(ADAA)","non-dropping-particle":"","parse-names":false,"suffix":""}],"id":"ITEM-1","issue":"10/02/","issued":{"date-parts":[["2020"]]},"title":"Eating Disorders","type":"webpage","volume":"2021"},"uris":["http://www.mendeley.com/documents/?uuid=6a895200-6f62-3571-b7e2-0348e5bf58e9"]},{"id":"ITEM-2","itemData":{"author":[{"dropping-particle":"","family":"Gautam","given":"Manaswi","non-dropping-particle":"","parse-names":false,"suffix":""},{"dropping-particle":"","family":"Tripathi","given":"Adarsh","non-dropping-particle":"","parse-names":false,"suffix":""},{"dropping-particle":"","family":"Deshmukh","given":"Deepanjali","non-dropping-particle":"","parse-names":false,"suffix":""},{"dropping-particle":"","family":"Gaur","given":"Manisha","non-dropping-particle":"","parse-names":false,"suffix":""}],"container-title":"Indian journal of psychiatry","id":"ITEM-2","issue":"Suppl 2","issued":{"date-parts":[["2020"]]},"note":"pmid:32055065","page":"S223","publisher":"Wolters Kluwer--Medknow Publications","title":"Cognitive behavioral therapy for depression","type":"article-journal","volume":"62"},"uris":["http://www.mendeley.com/documents/?uuid=adbb0692-d1f2-36d1-a320-75363e2872cc"]},{"id":"ITEM-3","itemData":{"ISSN":"0740-5472","author":[{"dropping-particle":"","family":"Epstein","given":"Elizabeth E","non-dropping-particle":"","parse-names":false,"suffix":""},{"dropping-particle":"","family":"McCrady","given":"Barbara S","non-dropping-particle":"","parse-names":false,"suffix":""},{"dropping-particle":"","family":"Hallgren","given":"Kevin A","non-dropping-particle":"","parse-names":false,"suffix":""},{"dropping-particle":"","family":"Gaba","given":"Ayorkor","non-dropping-particle":"","parse-names":false,"suffix":""},{"dropping-particle":"","family":"Cook","given":"Sharon","non-dropping-particle":"","parse-names":false,"suffix":""},{"dropping-particle":"","family":"Jensen","given":"Noelle","non-dropping-particle":"","parse-names":false,"suffix":""},{"dropping-particle":"","family":"Hildebrandt","given":"Thomas","non-dropping-particle":"","parse-names":false,"suffix":""},{"dropping-particle":"","family":"Holzhauer","given":"Cathryn Glanton","non-dropping-particle":"","parse-names":false,"suffix":""},{"dropping-particle":"","family":"Litt","given":"Mark D","non-dropping-particle":"","parse-names":false,"suffix":""}],"container-title":"Journal of substance abuse treatment","id":"ITEM-3","issued":{"date-parts":[["2018"]]},"page":"27-43","publisher":"Elsevier","title":"Individual versus group female-specific cognitive behavior therapy for alcohol use disorder","type":"article-journal","volume":"88"},"uris":["http://www.mendeley.com/documents/?uuid=86846d58-ae20-4a82-b654-bbf752bd0e05"]},{"id":"ITEM-4","itemData":{"ISSN":"1877-0428","author":[{"dropping-particle":"","family":"Sarid","given":"Orly","non-dropping-particle":"","parse-names":false,"suffix":""},{"dropping-particle":"","family":"Berger","given":"Rivka","non-dropping-particle":"","parse-names":false,"suffix":""},{"dropping-particle":"","family":"Segal-Engelchin","given":"Dorit","non-dropping-particle":"","parse-names":false,"suffix":""}],"container-title":"Procedia-Social and Behavioral Sciences","id":"ITEM-4","issue":"2","issued":{"date-parts":[["2010"]]},"page":"928-932","publisher":"Elsevier","title":"The impact of cognitive behavioral interventions on SOC, perceived stress and mood states of nurses","type":"article-journal","volume":"2"},"uris":["http://www.mendeley.com/documents/?uuid=578ac5aa-c2c9-4f0e-b129-97aba17165c8"]}],"mendeley":{"formattedCitation":"[63–66]","plainTextFormattedCitation":"[63–66]","previouslyFormattedCitation":"(Anxiety and Depression Association of America, 2020; Epstein et al., 2018; Gautam, Tripathi, Deshmukh, &amp; Gaur, 2020; Sarid, Berger, &amp; Segal-Engelchin, 2010)"},"properties":{"noteIndex":0},"schema":"https://github.com/citation-style-language/schema/raw/master/csl-citation.json"}</w:instrText>
      </w:r>
      <w:r w:rsidR="005D3F6A">
        <w:rPr>
          <w:lang w:val="en-US"/>
        </w:rPr>
        <w:fldChar w:fldCharType="separate"/>
      </w:r>
      <w:r w:rsidR="009037BE" w:rsidRPr="009037BE">
        <w:rPr>
          <w:noProof/>
          <w:lang w:val="en-US"/>
        </w:rPr>
        <w:t>[63–66]</w:t>
      </w:r>
      <w:r w:rsidR="005D3F6A">
        <w:rPr>
          <w:lang w:val="en-US"/>
        </w:rPr>
        <w:fldChar w:fldCharType="end"/>
      </w:r>
      <w:r w:rsidR="00806965" w:rsidRPr="00806965">
        <w:rPr>
          <w:lang w:val="en-US"/>
        </w:rPr>
        <w:t>.</w:t>
      </w:r>
      <w:r w:rsidR="00806965">
        <w:rPr>
          <w:lang w:val="en-US"/>
        </w:rPr>
        <w:t xml:space="preserve"> </w:t>
      </w:r>
      <w:r w:rsidR="0075789E">
        <w:rPr>
          <w:lang w:val="en-US"/>
        </w:rPr>
        <w:t xml:space="preserve">Importantly, cognitive behavioral therapy can </w:t>
      </w:r>
      <w:r w:rsidR="00242159">
        <w:rPr>
          <w:lang w:val="en-US"/>
        </w:rPr>
        <w:t xml:space="preserve">also </w:t>
      </w:r>
      <w:r w:rsidR="0075789E">
        <w:rPr>
          <w:lang w:val="en-US"/>
        </w:rPr>
        <w:t xml:space="preserve">be utilized as a treatment approach for eating disorders </w:t>
      </w:r>
      <w:r w:rsidR="0075789E" w:rsidRPr="00E30719">
        <w:rPr>
          <w:i/>
          <w:iCs/>
          <w:lang w:val="en-US"/>
        </w:rPr>
        <w:t>per se</w:t>
      </w:r>
      <w:r w:rsidR="00194BFB">
        <w:rPr>
          <w:i/>
          <w:iCs/>
          <w:lang w:val="en-US"/>
        </w:rPr>
        <w:t xml:space="preserve"> </w:t>
      </w:r>
      <w:r w:rsidR="00FC5BE2">
        <w:rPr>
          <w:i/>
          <w:iCs/>
          <w:lang w:val="en-US"/>
        </w:rPr>
        <w:fldChar w:fldCharType="begin" w:fldLock="1"/>
      </w:r>
      <w:r w:rsidR="009037BE">
        <w:rPr>
          <w:i/>
          <w:iCs/>
          <w:lang w:val="en-US"/>
        </w:rPr>
        <w:instrText>ADDIN CSL_CITATION {"citationItems":[{"id":"ITEM-1","itemData":{"ISBN":"1606237675","author":[{"dropping-particle":"","family":"Fairburn","given":"Christopher G","non-dropping-particle":"","parse-names":false,"suffix":""}],"id":"ITEM-1","issued":{"date-parts":[["2008"]]},"publisher":"Guilford Press","title":"Cognitive behavior therapy and eating disorders","type":"book"},"uris":["http://www.mendeley.com/documents/?uuid=956e0c4b-aab0-4cbe-af9f-b63d9254ee65"]}],"mendeley":{"formattedCitation":"[67]","plainTextFormattedCitation":"[67]","previouslyFormattedCitation":"(Fairburn, 2008)"},"properties":{"noteIndex":0},"schema":"https://github.com/citation-style-language/schema/raw/master/csl-citation.json"}</w:instrText>
      </w:r>
      <w:r w:rsidR="00FC5BE2">
        <w:rPr>
          <w:i/>
          <w:iCs/>
          <w:lang w:val="en-US"/>
        </w:rPr>
        <w:fldChar w:fldCharType="separate"/>
      </w:r>
      <w:r w:rsidR="009037BE" w:rsidRPr="009037BE">
        <w:rPr>
          <w:iCs/>
          <w:noProof/>
          <w:lang w:val="en-US"/>
        </w:rPr>
        <w:t>[67]</w:t>
      </w:r>
      <w:r w:rsidR="00FC5BE2">
        <w:rPr>
          <w:i/>
          <w:iCs/>
          <w:lang w:val="en-US"/>
        </w:rPr>
        <w:fldChar w:fldCharType="end"/>
      </w:r>
      <w:r w:rsidR="0075789E">
        <w:rPr>
          <w:lang w:val="en-US"/>
        </w:rPr>
        <w:t xml:space="preserve">. </w:t>
      </w:r>
      <w:r w:rsidR="00A91D23">
        <w:rPr>
          <w:lang w:val="en-US"/>
        </w:rPr>
        <w:t>Interestingly, in the present study</w:t>
      </w:r>
      <w:r w:rsidR="00026A1E">
        <w:rPr>
          <w:lang w:val="en-US"/>
        </w:rPr>
        <w:t>,</w:t>
      </w:r>
      <w:r w:rsidR="00A91D23">
        <w:rPr>
          <w:lang w:val="en-US"/>
        </w:rPr>
        <w:t xml:space="preserve"> </w:t>
      </w:r>
      <w:r w:rsidR="00807CA9">
        <w:rPr>
          <w:lang w:val="en-US"/>
        </w:rPr>
        <w:t xml:space="preserve">even individual </w:t>
      </w:r>
      <w:r w:rsidR="004510DB">
        <w:rPr>
          <w:lang w:val="en-US"/>
        </w:rPr>
        <w:t xml:space="preserve">eating disorder </w:t>
      </w:r>
      <w:proofErr w:type="gramStart"/>
      <w:r w:rsidR="004510DB">
        <w:rPr>
          <w:lang w:val="en-US"/>
        </w:rPr>
        <w:t xml:space="preserve">symptoms </w:t>
      </w:r>
      <w:r w:rsidR="00BE3333">
        <w:rPr>
          <w:lang w:val="en-US"/>
        </w:rPr>
        <w:t xml:space="preserve"> </w:t>
      </w:r>
      <w:r w:rsidR="00807CA9">
        <w:rPr>
          <w:lang w:val="en-US"/>
        </w:rPr>
        <w:t>(</w:t>
      </w:r>
      <w:proofErr w:type="gramEnd"/>
      <w:r w:rsidR="00807CA9">
        <w:rPr>
          <w:lang w:val="en-US"/>
        </w:rPr>
        <w:t xml:space="preserve">i.e., </w:t>
      </w:r>
      <w:r w:rsidR="00A91D23" w:rsidRPr="00A91D23">
        <w:rPr>
          <w:lang w:val="en-US"/>
        </w:rPr>
        <w:lastRenderedPageBreak/>
        <w:t xml:space="preserve">weight loss, </w:t>
      </w:r>
      <w:r w:rsidR="00A91D23" w:rsidRPr="009503D5">
        <w:rPr>
          <w:lang w:val="en-US"/>
        </w:rPr>
        <w:t xml:space="preserve">uncontrolled eating, self-perceived fatness) were associated with </w:t>
      </w:r>
      <w:r w:rsidR="00807CA9" w:rsidRPr="009503D5">
        <w:rPr>
          <w:lang w:val="en-US"/>
        </w:rPr>
        <w:t xml:space="preserve">physical </w:t>
      </w:r>
      <w:r w:rsidR="00A91D23" w:rsidRPr="009503D5">
        <w:rPr>
          <w:lang w:val="en-US"/>
        </w:rPr>
        <w:t>multimorbidity. Thus</w:t>
      </w:r>
      <w:r w:rsidR="0075789E" w:rsidRPr="009503D5">
        <w:rPr>
          <w:lang w:val="en-US"/>
        </w:rPr>
        <w:t>,</w:t>
      </w:r>
      <w:r w:rsidR="00A91D23" w:rsidRPr="009503D5">
        <w:rPr>
          <w:lang w:val="en-US"/>
        </w:rPr>
        <w:t xml:space="preserve"> these findings suggest that</w:t>
      </w:r>
      <w:r w:rsidR="00807CA9" w:rsidRPr="009503D5">
        <w:rPr>
          <w:lang w:val="en-US"/>
        </w:rPr>
        <w:t xml:space="preserve"> the</w:t>
      </w:r>
      <w:r w:rsidR="00A91D23" w:rsidRPr="009503D5">
        <w:rPr>
          <w:lang w:val="en-US"/>
        </w:rPr>
        <w:t xml:space="preserve"> detection of </w:t>
      </w:r>
      <w:r w:rsidR="00807CA9" w:rsidRPr="009503D5">
        <w:rPr>
          <w:lang w:val="en-US"/>
        </w:rPr>
        <w:t xml:space="preserve">individual </w:t>
      </w:r>
      <w:r w:rsidR="00A91D23" w:rsidRPr="009503D5">
        <w:rPr>
          <w:lang w:val="en-US"/>
        </w:rPr>
        <w:t>symptoms</w:t>
      </w:r>
      <w:r w:rsidR="00807CA9" w:rsidRPr="009503D5">
        <w:rPr>
          <w:lang w:val="en-US"/>
        </w:rPr>
        <w:t xml:space="preserve"> alone could identify people at high risk for multimorbidity</w:t>
      </w:r>
      <w:r w:rsidR="00A91D23" w:rsidRPr="009503D5">
        <w:rPr>
          <w:lang w:val="en-US"/>
        </w:rPr>
        <w:t xml:space="preserve">. </w:t>
      </w:r>
      <w:r w:rsidR="000854F8" w:rsidRPr="009503D5">
        <w:rPr>
          <w:lang w:val="en-US"/>
        </w:rPr>
        <w:t>Finally</w:t>
      </w:r>
      <w:r w:rsidR="000854F8">
        <w:rPr>
          <w:lang w:val="en-US"/>
        </w:rPr>
        <w:t xml:space="preserve">, studies of longitudinal design on </w:t>
      </w:r>
      <w:r w:rsidR="00BE3333">
        <w:rPr>
          <w:lang w:val="en-US"/>
        </w:rPr>
        <w:t>eating di</w:t>
      </w:r>
      <w:r w:rsidR="00535BE8">
        <w:rPr>
          <w:lang w:val="en-US"/>
        </w:rPr>
        <w:t>sorders</w:t>
      </w:r>
      <w:r w:rsidR="00BE3333">
        <w:rPr>
          <w:lang w:val="en-US"/>
        </w:rPr>
        <w:t xml:space="preserve"> </w:t>
      </w:r>
      <w:r w:rsidR="000854F8">
        <w:rPr>
          <w:lang w:val="en-US"/>
        </w:rPr>
        <w:t xml:space="preserve">and physical multimorbidity are necessary to provide a better understanding of temporal associations, causality, and </w:t>
      </w:r>
      <w:r w:rsidR="00303C2E">
        <w:rPr>
          <w:lang w:val="en-US"/>
        </w:rPr>
        <w:t xml:space="preserve">the underlying mechanisms. </w:t>
      </w:r>
    </w:p>
    <w:p w14:paraId="38BEC05D" w14:textId="214DADAC" w:rsidR="00B61AA1" w:rsidRDefault="00B61AA1" w:rsidP="00C63A11">
      <w:pPr>
        <w:spacing w:line="480" w:lineRule="auto"/>
        <w:rPr>
          <w:lang w:val="en-US"/>
        </w:rPr>
      </w:pPr>
    </w:p>
    <w:p w14:paraId="5A44E01D" w14:textId="46A63605" w:rsidR="00822E6B" w:rsidRPr="006F6023" w:rsidRDefault="00B20E9E" w:rsidP="00C63A11">
      <w:pPr>
        <w:spacing w:line="480" w:lineRule="auto"/>
        <w:rPr>
          <w:b/>
          <w:bCs/>
          <w:i/>
          <w:iCs/>
          <w:lang w:val="en-US"/>
        </w:rPr>
      </w:pPr>
      <w:r w:rsidRPr="006F6023">
        <w:rPr>
          <w:b/>
          <w:bCs/>
          <w:i/>
          <w:iCs/>
          <w:lang w:val="en-US"/>
        </w:rPr>
        <w:t>Conclusion</w:t>
      </w:r>
    </w:p>
    <w:p w14:paraId="126E3640" w14:textId="56195755" w:rsidR="00F817FE" w:rsidRPr="007526AD" w:rsidRDefault="008E5670" w:rsidP="00C63A11">
      <w:pPr>
        <w:spacing w:line="480" w:lineRule="auto"/>
        <w:rPr>
          <w:lang w:val="en-US"/>
        </w:rPr>
      </w:pPr>
      <w:r>
        <w:rPr>
          <w:lang w:val="en-US"/>
        </w:rPr>
        <w:t>I</w:t>
      </w:r>
      <w:r w:rsidR="00F817FE">
        <w:rPr>
          <w:lang w:val="en-US"/>
        </w:rPr>
        <w:t>n this large sample of UK adults</w:t>
      </w:r>
      <w:r w:rsidR="00403216">
        <w:rPr>
          <w:lang w:val="en-US"/>
        </w:rPr>
        <w:t>,</w:t>
      </w:r>
      <w:r w:rsidR="00F817FE">
        <w:rPr>
          <w:lang w:val="en-US"/>
        </w:rPr>
        <w:t xml:space="preserve"> it was observed that </w:t>
      </w:r>
      <w:r w:rsidR="00535BE8">
        <w:rPr>
          <w:lang w:val="en-US"/>
        </w:rPr>
        <w:t>possible eating disorder</w:t>
      </w:r>
      <w:r w:rsidR="00BE3333">
        <w:rPr>
          <w:lang w:val="en-US"/>
        </w:rPr>
        <w:t xml:space="preserve"> </w:t>
      </w:r>
      <w:r w:rsidR="00F817FE">
        <w:rPr>
          <w:lang w:val="en-US"/>
        </w:rPr>
        <w:t xml:space="preserve">was significantly associated with </w:t>
      </w:r>
      <w:r w:rsidR="00933D5D">
        <w:rPr>
          <w:lang w:val="en-US"/>
        </w:rPr>
        <w:t xml:space="preserve">physical </w:t>
      </w:r>
      <w:proofErr w:type="gramStart"/>
      <w:r w:rsidR="00F817FE">
        <w:rPr>
          <w:lang w:val="en-US"/>
        </w:rPr>
        <w:t>multimorbidity</w:t>
      </w:r>
      <w:proofErr w:type="gramEnd"/>
      <w:r w:rsidR="00F817FE">
        <w:rPr>
          <w:lang w:val="en-US"/>
        </w:rPr>
        <w:t xml:space="preserve"> and that this association was partly </w:t>
      </w:r>
      <w:r>
        <w:rPr>
          <w:lang w:val="en-US"/>
        </w:rPr>
        <w:t xml:space="preserve">explained </w:t>
      </w:r>
      <w:r w:rsidR="00F817FE">
        <w:rPr>
          <w:lang w:val="en-US"/>
        </w:rPr>
        <w:t>by a</w:t>
      </w:r>
      <w:r w:rsidR="00F817FE" w:rsidRPr="00F817FE">
        <w:rPr>
          <w:lang w:val="en-US"/>
        </w:rPr>
        <w:t>nxiety disorder, insomnia, perceived stress, depression, obesity</w:t>
      </w:r>
      <w:r>
        <w:rPr>
          <w:lang w:val="en-US"/>
        </w:rPr>
        <w:t>,</w:t>
      </w:r>
      <w:r w:rsidR="00F817FE" w:rsidRPr="00F817FE">
        <w:rPr>
          <w:lang w:val="en-US"/>
        </w:rPr>
        <w:t xml:space="preserve"> and alcohol dependence</w:t>
      </w:r>
      <w:r w:rsidR="00F817FE">
        <w:rPr>
          <w:lang w:val="en-US"/>
        </w:rPr>
        <w:t xml:space="preserve">. </w:t>
      </w:r>
      <w:r w:rsidR="001B4665">
        <w:rPr>
          <w:lang w:val="en-US"/>
        </w:rPr>
        <w:t xml:space="preserve">While temporal associations and causality could not be assessed in our cross-sectional study, the mere co-existence of </w:t>
      </w:r>
      <w:r w:rsidR="00535BE8">
        <w:rPr>
          <w:lang w:val="en-US"/>
        </w:rPr>
        <w:t>possible eating disorder</w:t>
      </w:r>
      <w:r w:rsidR="00BE3333">
        <w:rPr>
          <w:lang w:val="en-US"/>
        </w:rPr>
        <w:t xml:space="preserve"> </w:t>
      </w:r>
      <w:r w:rsidR="001B4665">
        <w:rPr>
          <w:lang w:val="en-US"/>
        </w:rPr>
        <w:t xml:space="preserve">and physical multimorbidity </w:t>
      </w:r>
      <w:r w:rsidR="003A6E3E">
        <w:rPr>
          <w:lang w:val="en-US"/>
        </w:rPr>
        <w:t xml:space="preserve">could complicate the management of these conditions, while they can also mutually influence each other and lead to worse </w:t>
      </w:r>
      <w:r w:rsidR="00403216">
        <w:rPr>
          <w:lang w:val="en-US"/>
        </w:rPr>
        <w:t xml:space="preserve">clinical outcomes. </w:t>
      </w:r>
      <w:bookmarkStart w:id="4" w:name="_Hlk142324652"/>
      <w:r w:rsidR="00E467EC">
        <w:rPr>
          <w:lang w:val="en-US"/>
        </w:rPr>
        <w:t xml:space="preserve">Future longitudinal </w:t>
      </w:r>
      <w:r w:rsidR="00403216">
        <w:rPr>
          <w:lang w:val="en-US"/>
        </w:rPr>
        <w:t xml:space="preserve">studies are warranted to understand potential causality and the underlying mechanisms, </w:t>
      </w:r>
      <w:proofErr w:type="gramStart"/>
      <w:r w:rsidR="00403216">
        <w:rPr>
          <w:lang w:val="en-US"/>
        </w:rPr>
        <w:t>and also</w:t>
      </w:r>
      <w:proofErr w:type="gramEnd"/>
      <w:r w:rsidR="00403216">
        <w:rPr>
          <w:lang w:val="en-US"/>
        </w:rPr>
        <w:t xml:space="preserve"> whether addressing the identified potential mediators in people with </w:t>
      </w:r>
      <w:r w:rsidR="00BE3333">
        <w:rPr>
          <w:lang w:val="en-US"/>
        </w:rPr>
        <w:t>eating di</w:t>
      </w:r>
      <w:r w:rsidR="00535BE8">
        <w:rPr>
          <w:lang w:val="en-US"/>
        </w:rPr>
        <w:t>sorders</w:t>
      </w:r>
      <w:r w:rsidR="00BE3333">
        <w:rPr>
          <w:lang w:val="en-US"/>
        </w:rPr>
        <w:t xml:space="preserve"> </w:t>
      </w:r>
      <w:r w:rsidR="00403216">
        <w:rPr>
          <w:lang w:val="en-US"/>
        </w:rPr>
        <w:t xml:space="preserve">can </w:t>
      </w:r>
      <w:r w:rsidR="005B4862">
        <w:rPr>
          <w:lang w:val="en-US"/>
        </w:rPr>
        <w:t>lead to a lower risk for physical multimorbidity.</w:t>
      </w:r>
      <w:bookmarkEnd w:id="4"/>
      <w:r w:rsidR="005B4862">
        <w:rPr>
          <w:lang w:val="en-US"/>
        </w:rPr>
        <w:t xml:space="preserve"> </w:t>
      </w:r>
    </w:p>
    <w:p w14:paraId="740E0EED" w14:textId="72238BED" w:rsidR="00316342" w:rsidRDefault="00316342" w:rsidP="00C63A11">
      <w:pPr>
        <w:spacing w:line="480" w:lineRule="auto"/>
        <w:rPr>
          <w:lang w:val="en-US"/>
        </w:rPr>
      </w:pPr>
    </w:p>
    <w:p w14:paraId="60DEDE41" w14:textId="029D0C1E" w:rsidR="00643A57" w:rsidRPr="00643A57" w:rsidRDefault="00643A57" w:rsidP="00C63A11">
      <w:pPr>
        <w:spacing w:line="480" w:lineRule="auto"/>
        <w:rPr>
          <w:b/>
          <w:lang w:val="en-US"/>
        </w:rPr>
      </w:pPr>
      <w:r w:rsidRPr="00643A57">
        <w:rPr>
          <w:b/>
          <w:lang w:val="en-US"/>
        </w:rPr>
        <w:t>REFERENCES</w:t>
      </w:r>
    </w:p>
    <w:p w14:paraId="6524F093" w14:textId="63220B01" w:rsidR="009037BE" w:rsidRPr="009037BE" w:rsidRDefault="00D91A70" w:rsidP="009037BE">
      <w:pPr>
        <w:widowControl w:val="0"/>
        <w:autoSpaceDE w:val="0"/>
        <w:autoSpaceDN w:val="0"/>
        <w:adjustRightInd w:val="0"/>
        <w:spacing w:line="480" w:lineRule="auto"/>
        <w:ind w:left="640" w:hanging="640"/>
        <w:rPr>
          <w:noProof/>
        </w:rPr>
      </w:pPr>
      <w:r>
        <w:rPr>
          <w:lang w:val="en-US"/>
        </w:rPr>
        <w:fldChar w:fldCharType="begin" w:fldLock="1"/>
      </w:r>
      <w:r>
        <w:rPr>
          <w:lang w:val="en-US"/>
        </w:rPr>
        <w:instrText xml:space="preserve">ADDIN Mendeley Bibliography CSL_BIBLIOGRAPHY </w:instrText>
      </w:r>
      <w:r>
        <w:rPr>
          <w:lang w:val="en-US"/>
        </w:rPr>
        <w:fldChar w:fldCharType="separate"/>
      </w:r>
      <w:r w:rsidR="009037BE" w:rsidRPr="009037BE">
        <w:rPr>
          <w:noProof/>
        </w:rPr>
        <w:t xml:space="preserve">1. </w:t>
      </w:r>
      <w:r w:rsidR="009037BE" w:rsidRPr="009037BE">
        <w:rPr>
          <w:noProof/>
        </w:rPr>
        <w:tab/>
        <w:t>NICE | The National Institute for Health and Care Excellence (2016) Multimorbidity: clinical assessment and management. https://www.nice.org.uk/guidance/ng56/chapter/recommendat</w:t>
      </w:r>
      <w:r w:rsidR="009037BE">
        <w:rPr>
          <w:noProof/>
        </w:rPr>
        <w:t>ions#multimorbidity. Accessed 30 March 2023</w:t>
      </w:r>
    </w:p>
    <w:p w14:paraId="552E222D" w14:textId="77777777" w:rsidR="009037BE" w:rsidRPr="009037BE" w:rsidRDefault="009037BE" w:rsidP="009037BE">
      <w:pPr>
        <w:widowControl w:val="0"/>
        <w:autoSpaceDE w:val="0"/>
        <w:autoSpaceDN w:val="0"/>
        <w:adjustRightInd w:val="0"/>
        <w:spacing w:line="480" w:lineRule="auto"/>
        <w:ind w:left="640" w:hanging="640"/>
        <w:rPr>
          <w:noProof/>
        </w:rPr>
      </w:pPr>
      <w:r w:rsidRPr="009037BE">
        <w:rPr>
          <w:noProof/>
        </w:rPr>
        <w:t xml:space="preserve">2. </w:t>
      </w:r>
      <w:r w:rsidRPr="009037BE">
        <w:rPr>
          <w:noProof/>
        </w:rPr>
        <w:tab/>
        <w:t xml:space="preserve">Fortin M, Lapointe L, Hudon C, et al (2004) Multimorbidity and quality of life in primary </w:t>
      </w:r>
      <w:r w:rsidRPr="009037BE">
        <w:rPr>
          <w:noProof/>
        </w:rPr>
        <w:lastRenderedPageBreak/>
        <w:t>care: a systematic review. Health Qual Life Outcomes 2:1–12</w:t>
      </w:r>
    </w:p>
    <w:p w14:paraId="65E1EBF7" w14:textId="34F7D350" w:rsidR="009037BE" w:rsidRPr="009037BE" w:rsidRDefault="009037BE" w:rsidP="009037BE">
      <w:pPr>
        <w:widowControl w:val="0"/>
        <w:autoSpaceDE w:val="0"/>
        <w:autoSpaceDN w:val="0"/>
        <w:adjustRightInd w:val="0"/>
        <w:spacing w:line="480" w:lineRule="auto"/>
        <w:ind w:left="640" w:hanging="640"/>
        <w:rPr>
          <w:noProof/>
        </w:rPr>
      </w:pPr>
      <w:r w:rsidRPr="009037BE">
        <w:rPr>
          <w:noProof/>
        </w:rPr>
        <w:t xml:space="preserve">3. </w:t>
      </w:r>
      <w:r w:rsidRPr="009037BE">
        <w:rPr>
          <w:noProof/>
        </w:rPr>
        <w:tab/>
        <w:t>Kim J, Keshavjee S, Atun R (2020) Trends, patterns and health consequences of multimorbidity among South Korea adults: analysis of nationally representative survey d</w:t>
      </w:r>
      <w:r>
        <w:rPr>
          <w:noProof/>
        </w:rPr>
        <w:t>ata 2007-2016. J Glob Health 10</w:t>
      </w:r>
    </w:p>
    <w:p w14:paraId="272657D8" w14:textId="77777777" w:rsidR="009037BE" w:rsidRPr="009037BE" w:rsidRDefault="009037BE" w:rsidP="009037BE">
      <w:pPr>
        <w:widowControl w:val="0"/>
        <w:autoSpaceDE w:val="0"/>
        <w:autoSpaceDN w:val="0"/>
        <w:adjustRightInd w:val="0"/>
        <w:spacing w:line="480" w:lineRule="auto"/>
        <w:ind w:left="640" w:hanging="640"/>
        <w:rPr>
          <w:noProof/>
        </w:rPr>
      </w:pPr>
      <w:r w:rsidRPr="009037BE">
        <w:rPr>
          <w:noProof/>
        </w:rPr>
        <w:t xml:space="preserve">4. </w:t>
      </w:r>
      <w:r w:rsidRPr="009037BE">
        <w:rPr>
          <w:noProof/>
        </w:rPr>
        <w:tab/>
        <w:t>Gallo JJ, Hwang S, Joo JH, et al (2016) Multimorbidity, depression, and mortality in primary care: randomized clinical trial of an evidence-based depression care management program on mortality risk. J Gen Intern Med 31:380–386</w:t>
      </w:r>
    </w:p>
    <w:p w14:paraId="0504CFA4" w14:textId="77777777" w:rsidR="009037BE" w:rsidRPr="009037BE" w:rsidRDefault="009037BE" w:rsidP="009037BE">
      <w:pPr>
        <w:widowControl w:val="0"/>
        <w:autoSpaceDE w:val="0"/>
        <w:autoSpaceDN w:val="0"/>
        <w:adjustRightInd w:val="0"/>
        <w:spacing w:line="480" w:lineRule="auto"/>
        <w:ind w:left="640" w:hanging="640"/>
        <w:rPr>
          <w:noProof/>
        </w:rPr>
      </w:pPr>
      <w:r w:rsidRPr="009037BE">
        <w:rPr>
          <w:noProof/>
        </w:rPr>
        <w:t xml:space="preserve">5. </w:t>
      </w:r>
      <w:r w:rsidRPr="009037BE">
        <w:rPr>
          <w:noProof/>
        </w:rPr>
        <w:tab/>
        <w:t>Soley-Bori M, Ashworth M, Bisquera A, et al (2021) Impact of multimorbidity on healthcare costs and utilisation: a systematic review of the UK literature. Br J Gen Pract 71:e39–e46</w:t>
      </w:r>
    </w:p>
    <w:p w14:paraId="249E75B6" w14:textId="77777777" w:rsidR="009037BE" w:rsidRPr="009037BE" w:rsidRDefault="009037BE" w:rsidP="009037BE">
      <w:pPr>
        <w:widowControl w:val="0"/>
        <w:autoSpaceDE w:val="0"/>
        <w:autoSpaceDN w:val="0"/>
        <w:adjustRightInd w:val="0"/>
        <w:spacing w:line="480" w:lineRule="auto"/>
        <w:ind w:left="640" w:hanging="640"/>
        <w:rPr>
          <w:noProof/>
        </w:rPr>
      </w:pPr>
      <w:r w:rsidRPr="009037BE">
        <w:rPr>
          <w:noProof/>
        </w:rPr>
        <w:t xml:space="preserve">6. </w:t>
      </w:r>
      <w:r w:rsidRPr="009037BE">
        <w:rPr>
          <w:noProof/>
        </w:rPr>
        <w:tab/>
        <w:t>Ho IS-S, Azcoaga-Lorenzo A, Akbari A, et al (2022) Variation in the estimated prevalence of multimorbidity: systematic review and meta-analysis of 193 international studies. BMJ Open 12:e057017</w:t>
      </w:r>
    </w:p>
    <w:p w14:paraId="6E168442" w14:textId="77777777" w:rsidR="009037BE" w:rsidRPr="009037BE" w:rsidRDefault="009037BE" w:rsidP="009037BE">
      <w:pPr>
        <w:widowControl w:val="0"/>
        <w:autoSpaceDE w:val="0"/>
        <w:autoSpaceDN w:val="0"/>
        <w:adjustRightInd w:val="0"/>
        <w:spacing w:line="480" w:lineRule="auto"/>
        <w:ind w:left="640" w:hanging="640"/>
        <w:rPr>
          <w:noProof/>
        </w:rPr>
      </w:pPr>
      <w:r w:rsidRPr="009037BE">
        <w:rPr>
          <w:noProof/>
        </w:rPr>
        <w:t xml:space="preserve">7. </w:t>
      </w:r>
      <w:r w:rsidRPr="009037BE">
        <w:rPr>
          <w:noProof/>
        </w:rPr>
        <w:tab/>
        <w:t>National Institute for Health Research | NIHR (2018) Multi-morbidity predicted to increase in the UK over the next 20 years. https://evidence.nihr.ac.uk/alert/multi-morbidity-predicted-to-increase-in-the-uk-over-the-next-20-years/</w:t>
      </w:r>
    </w:p>
    <w:p w14:paraId="70DCBA34" w14:textId="77777777" w:rsidR="009037BE" w:rsidRPr="009037BE" w:rsidRDefault="009037BE" w:rsidP="009037BE">
      <w:pPr>
        <w:widowControl w:val="0"/>
        <w:autoSpaceDE w:val="0"/>
        <w:autoSpaceDN w:val="0"/>
        <w:adjustRightInd w:val="0"/>
        <w:spacing w:line="480" w:lineRule="auto"/>
        <w:ind w:left="640" w:hanging="640"/>
        <w:rPr>
          <w:noProof/>
        </w:rPr>
      </w:pPr>
      <w:r w:rsidRPr="009037BE">
        <w:rPr>
          <w:noProof/>
        </w:rPr>
        <w:t xml:space="preserve">8. </w:t>
      </w:r>
      <w:r w:rsidRPr="009037BE">
        <w:rPr>
          <w:noProof/>
        </w:rPr>
        <w:tab/>
        <w:t>Solmi M, Veronese N, Correll CU, et al (2016) Bone mineral density, osteoporosis, and fractures among people with eating disorders: A systematic review and meta‐analysis. Acta Psychiatr Scand 133:341–351</w:t>
      </w:r>
    </w:p>
    <w:p w14:paraId="5EE06230" w14:textId="77777777" w:rsidR="009037BE" w:rsidRPr="009037BE" w:rsidRDefault="009037BE" w:rsidP="009037BE">
      <w:pPr>
        <w:widowControl w:val="0"/>
        <w:autoSpaceDE w:val="0"/>
        <w:autoSpaceDN w:val="0"/>
        <w:adjustRightInd w:val="0"/>
        <w:spacing w:line="480" w:lineRule="auto"/>
        <w:ind w:left="640" w:hanging="640"/>
        <w:rPr>
          <w:noProof/>
        </w:rPr>
      </w:pPr>
      <w:r w:rsidRPr="009037BE">
        <w:rPr>
          <w:noProof/>
        </w:rPr>
        <w:t xml:space="preserve">9. </w:t>
      </w:r>
      <w:r w:rsidRPr="009037BE">
        <w:rPr>
          <w:noProof/>
        </w:rPr>
        <w:tab/>
        <w:t>Cavoli GL, Mulè G, Rotolo U (2011) Renal involvement in psychological eating disorders. Nephron Clin Pract 119:c338–c341</w:t>
      </w:r>
    </w:p>
    <w:p w14:paraId="6123AAAB" w14:textId="77777777" w:rsidR="009037BE" w:rsidRPr="009037BE" w:rsidRDefault="009037BE" w:rsidP="009037BE">
      <w:pPr>
        <w:widowControl w:val="0"/>
        <w:autoSpaceDE w:val="0"/>
        <w:autoSpaceDN w:val="0"/>
        <w:adjustRightInd w:val="0"/>
        <w:spacing w:line="480" w:lineRule="auto"/>
        <w:ind w:left="640" w:hanging="640"/>
        <w:rPr>
          <w:noProof/>
        </w:rPr>
      </w:pPr>
      <w:r w:rsidRPr="009037BE">
        <w:rPr>
          <w:noProof/>
        </w:rPr>
        <w:t xml:space="preserve">10. </w:t>
      </w:r>
      <w:r w:rsidRPr="009037BE">
        <w:rPr>
          <w:noProof/>
        </w:rPr>
        <w:tab/>
        <w:t>American Psychiatric Association (2013) Diagnostic and statistical manual of mental disorders (DSM-5®). American Psychiatric Pub</w:t>
      </w:r>
    </w:p>
    <w:p w14:paraId="334BBCBA" w14:textId="77777777" w:rsidR="009037BE" w:rsidRDefault="009037BE" w:rsidP="009037BE">
      <w:pPr>
        <w:widowControl w:val="0"/>
        <w:autoSpaceDE w:val="0"/>
        <w:autoSpaceDN w:val="0"/>
        <w:adjustRightInd w:val="0"/>
        <w:spacing w:line="480" w:lineRule="auto"/>
        <w:ind w:left="640" w:hanging="640"/>
        <w:rPr>
          <w:noProof/>
        </w:rPr>
      </w:pPr>
      <w:r w:rsidRPr="009037BE">
        <w:rPr>
          <w:noProof/>
        </w:rPr>
        <w:lastRenderedPageBreak/>
        <w:t xml:space="preserve">11. </w:t>
      </w:r>
      <w:r w:rsidRPr="009037BE">
        <w:rPr>
          <w:noProof/>
        </w:rPr>
        <w:tab/>
        <w:t xml:space="preserve">World health organization (2023) International Statistical Classification of Diseases and Related Health Problems (ICD). https://www.who.int/standards/classifications/classification-of-diseases. </w:t>
      </w:r>
      <w:r>
        <w:rPr>
          <w:noProof/>
        </w:rPr>
        <w:t>Accessed 30 March 2023</w:t>
      </w:r>
    </w:p>
    <w:p w14:paraId="229D84C0" w14:textId="30A7E011" w:rsidR="009037BE" w:rsidRPr="009037BE" w:rsidRDefault="009037BE" w:rsidP="009037BE">
      <w:pPr>
        <w:widowControl w:val="0"/>
        <w:autoSpaceDE w:val="0"/>
        <w:autoSpaceDN w:val="0"/>
        <w:adjustRightInd w:val="0"/>
        <w:spacing w:line="480" w:lineRule="auto"/>
        <w:ind w:left="640" w:hanging="640"/>
        <w:rPr>
          <w:noProof/>
        </w:rPr>
      </w:pPr>
      <w:r w:rsidRPr="009037BE">
        <w:rPr>
          <w:noProof/>
        </w:rPr>
        <w:t xml:space="preserve">12. </w:t>
      </w:r>
      <w:r w:rsidRPr="009037BE">
        <w:rPr>
          <w:noProof/>
        </w:rPr>
        <w:tab/>
        <w:t>Sardar MR, Greway A, DeAngelis M, et al (2015) Cardiovascular impact of eating disorders in adults: a single center experience and literature review. Hear Views Off J Gulf Hear Assoc 16:88</w:t>
      </w:r>
    </w:p>
    <w:p w14:paraId="0FFA7C97" w14:textId="3318D2CC" w:rsidR="009037BE" w:rsidRPr="009037BE" w:rsidRDefault="009037BE" w:rsidP="009037BE">
      <w:pPr>
        <w:widowControl w:val="0"/>
        <w:autoSpaceDE w:val="0"/>
        <w:autoSpaceDN w:val="0"/>
        <w:adjustRightInd w:val="0"/>
        <w:spacing w:line="480" w:lineRule="auto"/>
        <w:ind w:left="640" w:hanging="640"/>
        <w:rPr>
          <w:noProof/>
        </w:rPr>
      </w:pPr>
      <w:r w:rsidRPr="009037BE">
        <w:rPr>
          <w:noProof/>
        </w:rPr>
        <w:t xml:space="preserve">13. </w:t>
      </w:r>
      <w:r w:rsidRPr="009037BE">
        <w:rPr>
          <w:noProof/>
        </w:rPr>
        <w:tab/>
        <w:t xml:space="preserve">Priory (2023) Eating Disorder Statistics. https://www.priorygroup.com/eating-disorders/eating-disorder-statistics. </w:t>
      </w:r>
      <w:r>
        <w:rPr>
          <w:noProof/>
        </w:rPr>
        <w:t>Accessed 30 March 2023</w:t>
      </w:r>
    </w:p>
    <w:p w14:paraId="178A613C" w14:textId="77777777" w:rsidR="009037BE" w:rsidRPr="009037BE" w:rsidRDefault="009037BE" w:rsidP="009037BE">
      <w:pPr>
        <w:widowControl w:val="0"/>
        <w:autoSpaceDE w:val="0"/>
        <w:autoSpaceDN w:val="0"/>
        <w:adjustRightInd w:val="0"/>
        <w:spacing w:line="480" w:lineRule="auto"/>
        <w:ind w:left="640" w:hanging="640"/>
        <w:rPr>
          <w:noProof/>
        </w:rPr>
      </w:pPr>
      <w:r w:rsidRPr="009037BE">
        <w:rPr>
          <w:noProof/>
        </w:rPr>
        <w:t xml:space="preserve">14. </w:t>
      </w:r>
      <w:r w:rsidRPr="009037BE">
        <w:rPr>
          <w:noProof/>
        </w:rPr>
        <w:tab/>
        <w:t>López-Gil JF, García-Hermoso A, Smith L, et al (2023) Global Proportion of Disordered Eating in Children and Adolescents: A Systematic Review and Meta-analysis. JAMA Pediatr</w:t>
      </w:r>
    </w:p>
    <w:p w14:paraId="32C0ED00" w14:textId="77777777" w:rsidR="009037BE" w:rsidRPr="009037BE" w:rsidRDefault="009037BE" w:rsidP="009037BE">
      <w:pPr>
        <w:widowControl w:val="0"/>
        <w:autoSpaceDE w:val="0"/>
        <w:autoSpaceDN w:val="0"/>
        <w:adjustRightInd w:val="0"/>
        <w:spacing w:line="480" w:lineRule="auto"/>
        <w:ind w:left="640" w:hanging="640"/>
        <w:rPr>
          <w:noProof/>
        </w:rPr>
      </w:pPr>
      <w:r w:rsidRPr="009037BE">
        <w:rPr>
          <w:noProof/>
        </w:rPr>
        <w:t xml:space="preserve">15. </w:t>
      </w:r>
      <w:r w:rsidRPr="009037BE">
        <w:rPr>
          <w:noProof/>
        </w:rPr>
        <w:tab/>
        <w:t>Trott M, Johnstone J, Pardhan S, et al (2021) Changes in body dysmorphic disorder, eating disorder, and exercise addiction symptomology during the COVID-19 pandemic: A longitudinal study of 319 health club users. Psychiatry Res 298:113831</w:t>
      </w:r>
    </w:p>
    <w:p w14:paraId="2E50E74D" w14:textId="77777777" w:rsidR="009037BE" w:rsidRPr="009037BE" w:rsidRDefault="009037BE" w:rsidP="009037BE">
      <w:pPr>
        <w:widowControl w:val="0"/>
        <w:autoSpaceDE w:val="0"/>
        <w:autoSpaceDN w:val="0"/>
        <w:adjustRightInd w:val="0"/>
        <w:spacing w:line="480" w:lineRule="auto"/>
        <w:ind w:left="640" w:hanging="640"/>
        <w:rPr>
          <w:noProof/>
        </w:rPr>
      </w:pPr>
      <w:r w:rsidRPr="009037BE">
        <w:rPr>
          <w:noProof/>
        </w:rPr>
        <w:t xml:space="preserve">16. </w:t>
      </w:r>
      <w:r w:rsidRPr="009037BE">
        <w:rPr>
          <w:noProof/>
        </w:rPr>
        <w:tab/>
        <w:t>Dargél AA, Godin O, Kapczinski F, et al (2015) C-reactive protein alterations in bipolar disorder: a meta-analysis. J Clin Psychiatry 76:3919</w:t>
      </w:r>
    </w:p>
    <w:p w14:paraId="70C647B1" w14:textId="77777777" w:rsidR="009037BE" w:rsidRPr="00E41489" w:rsidRDefault="009037BE" w:rsidP="009037BE">
      <w:pPr>
        <w:widowControl w:val="0"/>
        <w:autoSpaceDE w:val="0"/>
        <w:autoSpaceDN w:val="0"/>
        <w:adjustRightInd w:val="0"/>
        <w:spacing w:line="480" w:lineRule="auto"/>
        <w:ind w:left="640" w:hanging="640"/>
        <w:rPr>
          <w:noProof/>
          <w:lang w:val="es-ES"/>
        </w:rPr>
      </w:pPr>
      <w:r w:rsidRPr="009037BE">
        <w:rPr>
          <w:noProof/>
        </w:rPr>
        <w:t xml:space="preserve">17. </w:t>
      </w:r>
      <w:r w:rsidRPr="009037BE">
        <w:rPr>
          <w:noProof/>
        </w:rPr>
        <w:tab/>
        <w:t xml:space="preserve">Succurro E, Segura-Garcia C, Ruffo M, et al (2015) Obese patients with a binge eating disorder have an unfavorable metabolic and inflammatory profile. </w:t>
      </w:r>
      <w:r w:rsidRPr="00E41489">
        <w:rPr>
          <w:noProof/>
          <w:lang w:val="es-ES"/>
        </w:rPr>
        <w:t>Medicine (Baltimore) 94:</w:t>
      </w:r>
    </w:p>
    <w:p w14:paraId="01B93F86" w14:textId="77777777" w:rsidR="009037BE" w:rsidRPr="00E41489" w:rsidRDefault="009037BE" w:rsidP="009037BE">
      <w:pPr>
        <w:widowControl w:val="0"/>
        <w:autoSpaceDE w:val="0"/>
        <w:autoSpaceDN w:val="0"/>
        <w:adjustRightInd w:val="0"/>
        <w:spacing w:line="480" w:lineRule="auto"/>
        <w:ind w:left="640" w:hanging="640"/>
        <w:rPr>
          <w:noProof/>
          <w:lang w:val="es-ES"/>
        </w:rPr>
      </w:pPr>
      <w:r w:rsidRPr="00E41489">
        <w:rPr>
          <w:noProof/>
          <w:lang w:val="es-ES"/>
        </w:rPr>
        <w:t xml:space="preserve">18. </w:t>
      </w:r>
      <w:r w:rsidRPr="00E41489">
        <w:rPr>
          <w:noProof/>
          <w:lang w:val="es-ES"/>
        </w:rPr>
        <w:tab/>
        <w:t>Espinoza-Salinas A, Bobadilla-Olivares M, Millaqueo C, et al (2022) Efecto agudo de ejercicio isométrico sobre parámetros autonómicos en adultos sedentarios obesos y con sobrepeso. Sport TK-Revista Euroam Ciencias del Deport 11:5</w:t>
      </w:r>
    </w:p>
    <w:p w14:paraId="3AC6B2A6" w14:textId="77777777" w:rsidR="009037BE" w:rsidRPr="009037BE" w:rsidRDefault="009037BE" w:rsidP="009037BE">
      <w:pPr>
        <w:widowControl w:val="0"/>
        <w:autoSpaceDE w:val="0"/>
        <w:autoSpaceDN w:val="0"/>
        <w:adjustRightInd w:val="0"/>
        <w:spacing w:line="480" w:lineRule="auto"/>
        <w:ind w:left="640" w:hanging="640"/>
        <w:rPr>
          <w:noProof/>
        </w:rPr>
      </w:pPr>
      <w:r w:rsidRPr="00E41489">
        <w:rPr>
          <w:noProof/>
          <w:lang w:val="es-ES"/>
        </w:rPr>
        <w:lastRenderedPageBreak/>
        <w:t xml:space="preserve">19. </w:t>
      </w:r>
      <w:r w:rsidRPr="00E41489">
        <w:rPr>
          <w:noProof/>
          <w:lang w:val="es-ES"/>
        </w:rPr>
        <w:tab/>
        <w:t xml:space="preserve">Bautista LE, López-Jaramillo P, Vera LM, et al (2001) Is C-reactive protein an independent risk factor for essential hypertension? </w:t>
      </w:r>
      <w:r w:rsidRPr="009037BE">
        <w:rPr>
          <w:noProof/>
        </w:rPr>
        <w:t>J Hypertens 19:857–861</w:t>
      </w:r>
    </w:p>
    <w:p w14:paraId="73C06245" w14:textId="77777777" w:rsidR="009037BE" w:rsidRPr="009037BE" w:rsidRDefault="009037BE" w:rsidP="009037BE">
      <w:pPr>
        <w:widowControl w:val="0"/>
        <w:autoSpaceDE w:val="0"/>
        <w:autoSpaceDN w:val="0"/>
        <w:adjustRightInd w:val="0"/>
        <w:spacing w:line="480" w:lineRule="auto"/>
        <w:ind w:left="640" w:hanging="640"/>
        <w:rPr>
          <w:noProof/>
        </w:rPr>
      </w:pPr>
      <w:r w:rsidRPr="009037BE">
        <w:rPr>
          <w:noProof/>
        </w:rPr>
        <w:t xml:space="preserve">20. </w:t>
      </w:r>
      <w:r w:rsidRPr="009037BE">
        <w:rPr>
          <w:noProof/>
        </w:rPr>
        <w:tab/>
        <w:t>Mendall MA, Patel P, Ballam L, et al (1996) C reactive protein and its relation to cardiovascular risk factors: a population based cross sectional study. Bmj 312:1061–1065</w:t>
      </w:r>
    </w:p>
    <w:p w14:paraId="3686EB5A" w14:textId="77777777" w:rsidR="009037BE" w:rsidRPr="009037BE" w:rsidRDefault="009037BE" w:rsidP="009037BE">
      <w:pPr>
        <w:widowControl w:val="0"/>
        <w:autoSpaceDE w:val="0"/>
        <w:autoSpaceDN w:val="0"/>
        <w:adjustRightInd w:val="0"/>
        <w:spacing w:line="480" w:lineRule="auto"/>
        <w:ind w:left="640" w:hanging="640"/>
        <w:rPr>
          <w:noProof/>
        </w:rPr>
      </w:pPr>
      <w:r w:rsidRPr="009037BE">
        <w:rPr>
          <w:noProof/>
        </w:rPr>
        <w:t xml:space="preserve">21. </w:t>
      </w:r>
      <w:r w:rsidRPr="009037BE">
        <w:rPr>
          <w:noProof/>
        </w:rPr>
        <w:tab/>
        <w:t>Nielen MMJ, Van Schaardenburg D, Reesink HW, et al (2004) Increased levels of C‐reactive protein in serum from blood donors before the onset of rheumatoid arthritis. Arthritis Rheum Off J Am Coll Rheumatol 50:2423–2427</w:t>
      </w:r>
    </w:p>
    <w:p w14:paraId="70FF9FF4" w14:textId="77777777" w:rsidR="009037BE" w:rsidRPr="009037BE" w:rsidRDefault="009037BE" w:rsidP="009037BE">
      <w:pPr>
        <w:widowControl w:val="0"/>
        <w:autoSpaceDE w:val="0"/>
        <w:autoSpaceDN w:val="0"/>
        <w:adjustRightInd w:val="0"/>
        <w:spacing w:line="480" w:lineRule="auto"/>
        <w:ind w:left="640" w:hanging="640"/>
        <w:rPr>
          <w:noProof/>
        </w:rPr>
      </w:pPr>
      <w:r w:rsidRPr="009037BE">
        <w:rPr>
          <w:noProof/>
        </w:rPr>
        <w:t xml:space="preserve">22. </w:t>
      </w:r>
      <w:r w:rsidRPr="009037BE">
        <w:rPr>
          <w:noProof/>
        </w:rPr>
        <w:tab/>
        <w:t>Lochhead P, Khalili H, Ananthakrishnan AN, et al (2016) Association between circulating levels of C-reactive protein and interleukin-6 and risk of inflammatory bowel disease. Clin Gastroenterol Hepatol 14:818–824</w:t>
      </w:r>
    </w:p>
    <w:p w14:paraId="19A83FB1" w14:textId="77777777" w:rsidR="009037BE" w:rsidRPr="009037BE" w:rsidRDefault="009037BE" w:rsidP="009037BE">
      <w:pPr>
        <w:widowControl w:val="0"/>
        <w:autoSpaceDE w:val="0"/>
        <w:autoSpaceDN w:val="0"/>
        <w:adjustRightInd w:val="0"/>
        <w:spacing w:line="480" w:lineRule="auto"/>
        <w:ind w:left="640" w:hanging="640"/>
        <w:rPr>
          <w:noProof/>
        </w:rPr>
      </w:pPr>
      <w:r w:rsidRPr="009037BE">
        <w:rPr>
          <w:noProof/>
        </w:rPr>
        <w:t xml:space="preserve">23. </w:t>
      </w:r>
      <w:r w:rsidRPr="009037BE">
        <w:rPr>
          <w:noProof/>
        </w:rPr>
        <w:tab/>
        <w:t>Garrafa E, Casnici N, Squazzoni F, et al (2017) C-reactive protein, lipoprotein (a) and cystatin C levels increase with multimorbidity in older persons. Eur J Intern Med 42:e25–e26</w:t>
      </w:r>
    </w:p>
    <w:p w14:paraId="66A01A14" w14:textId="77777777" w:rsidR="009037BE" w:rsidRPr="009037BE" w:rsidRDefault="009037BE" w:rsidP="009037BE">
      <w:pPr>
        <w:widowControl w:val="0"/>
        <w:autoSpaceDE w:val="0"/>
        <w:autoSpaceDN w:val="0"/>
        <w:adjustRightInd w:val="0"/>
        <w:spacing w:line="480" w:lineRule="auto"/>
        <w:ind w:left="640" w:hanging="640"/>
        <w:rPr>
          <w:noProof/>
        </w:rPr>
      </w:pPr>
      <w:r w:rsidRPr="009037BE">
        <w:rPr>
          <w:noProof/>
        </w:rPr>
        <w:t xml:space="preserve">24. </w:t>
      </w:r>
      <w:r w:rsidRPr="009037BE">
        <w:rPr>
          <w:noProof/>
        </w:rPr>
        <w:tab/>
        <w:t>Meczekalski B, Podfigurna-Stopa A, Katulski K (2013) Long-term consequences of anorexia nervosa. Maturitas 75:215–220</w:t>
      </w:r>
    </w:p>
    <w:p w14:paraId="2715549F" w14:textId="77777777" w:rsidR="009037BE" w:rsidRPr="009037BE" w:rsidRDefault="009037BE" w:rsidP="009037BE">
      <w:pPr>
        <w:widowControl w:val="0"/>
        <w:autoSpaceDE w:val="0"/>
        <w:autoSpaceDN w:val="0"/>
        <w:adjustRightInd w:val="0"/>
        <w:spacing w:line="480" w:lineRule="auto"/>
        <w:ind w:left="640" w:hanging="640"/>
        <w:rPr>
          <w:noProof/>
        </w:rPr>
      </w:pPr>
      <w:r w:rsidRPr="009037BE">
        <w:rPr>
          <w:noProof/>
        </w:rPr>
        <w:t xml:space="preserve">25. </w:t>
      </w:r>
      <w:r w:rsidRPr="009037BE">
        <w:rPr>
          <w:noProof/>
        </w:rPr>
        <w:tab/>
        <w:t>Stamenkovic BN, Rancic NK, Bojanovic MR, et al (2022) Is Osteoarthritis Always Associated with Low Bone Mineral Density in Elderly Patients? Medicina (B Aires) 58:1207</w:t>
      </w:r>
    </w:p>
    <w:p w14:paraId="785C2C0E" w14:textId="677F4BA7" w:rsidR="009037BE" w:rsidRPr="009037BE" w:rsidRDefault="009037BE" w:rsidP="009037BE">
      <w:pPr>
        <w:widowControl w:val="0"/>
        <w:autoSpaceDE w:val="0"/>
        <w:autoSpaceDN w:val="0"/>
        <w:adjustRightInd w:val="0"/>
        <w:spacing w:line="480" w:lineRule="auto"/>
        <w:ind w:left="640" w:hanging="640"/>
        <w:rPr>
          <w:noProof/>
        </w:rPr>
      </w:pPr>
      <w:r w:rsidRPr="009037BE">
        <w:rPr>
          <w:noProof/>
        </w:rPr>
        <w:t xml:space="preserve">26. </w:t>
      </w:r>
      <w:r w:rsidRPr="009037BE">
        <w:rPr>
          <w:noProof/>
        </w:rPr>
        <w:tab/>
        <w:t xml:space="preserve">Yale Medicine (2023) Low Bone Density. https://www.yalemedicine.org/conditions/bone-density-test. </w:t>
      </w:r>
      <w:r>
        <w:rPr>
          <w:noProof/>
        </w:rPr>
        <w:t xml:space="preserve">Accessed 30 March 2023 </w:t>
      </w:r>
    </w:p>
    <w:p w14:paraId="0312FC31" w14:textId="77777777" w:rsidR="009037BE" w:rsidRPr="009037BE" w:rsidRDefault="009037BE" w:rsidP="009037BE">
      <w:pPr>
        <w:widowControl w:val="0"/>
        <w:autoSpaceDE w:val="0"/>
        <w:autoSpaceDN w:val="0"/>
        <w:adjustRightInd w:val="0"/>
        <w:spacing w:line="480" w:lineRule="auto"/>
        <w:ind w:left="640" w:hanging="640"/>
        <w:rPr>
          <w:noProof/>
        </w:rPr>
      </w:pPr>
      <w:r w:rsidRPr="009037BE">
        <w:rPr>
          <w:noProof/>
        </w:rPr>
        <w:t xml:space="preserve">27. </w:t>
      </w:r>
      <w:r w:rsidRPr="009037BE">
        <w:rPr>
          <w:noProof/>
        </w:rPr>
        <w:tab/>
        <w:t>Esparza Montero MÁ (2021) Influence of the strength of the ankle plantar flexors on dynamic balance in 55-65-year-old women. Atena J Public Heal 3:3</w:t>
      </w:r>
    </w:p>
    <w:p w14:paraId="0A6194E2" w14:textId="77777777" w:rsidR="009037BE" w:rsidRPr="009037BE" w:rsidRDefault="009037BE" w:rsidP="009037BE">
      <w:pPr>
        <w:widowControl w:val="0"/>
        <w:autoSpaceDE w:val="0"/>
        <w:autoSpaceDN w:val="0"/>
        <w:adjustRightInd w:val="0"/>
        <w:spacing w:line="480" w:lineRule="auto"/>
        <w:ind w:left="640" w:hanging="640"/>
        <w:rPr>
          <w:noProof/>
        </w:rPr>
      </w:pPr>
      <w:r w:rsidRPr="009037BE">
        <w:rPr>
          <w:noProof/>
        </w:rPr>
        <w:t xml:space="preserve">28. </w:t>
      </w:r>
      <w:r w:rsidRPr="009037BE">
        <w:rPr>
          <w:noProof/>
        </w:rPr>
        <w:tab/>
        <w:t xml:space="preserve">Kenny TE, Van Wijk M, Singleton C, Carter JC (2018) An examination of the </w:t>
      </w:r>
      <w:r w:rsidRPr="009037BE">
        <w:rPr>
          <w:noProof/>
        </w:rPr>
        <w:lastRenderedPageBreak/>
        <w:t>relationship between binge eating disorder and insomnia symptoms. Eur Eat Disord Rev 26:186–196</w:t>
      </w:r>
    </w:p>
    <w:p w14:paraId="5C99549B" w14:textId="77777777" w:rsidR="009037BE" w:rsidRPr="009037BE" w:rsidRDefault="009037BE" w:rsidP="009037BE">
      <w:pPr>
        <w:widowControl w:val="0"/>
        <w:autoSpaceDE w:val="0"/>
        <w:autoSpaceDN w:val="0"/>
        <w:adjustRightInd w:val="0"/>
        <w:spacing w:line="480" w:lineRule="auto"/>
        <w:ind w:left="640" w:hanging="640"/>
        <w:rPr>
          <w:noProof/>
        </w:rPr>
      </w:pPr>
      <w:r w:rsidRPr="009037BE">
        <w:rPr>
          <w:noProof/>
        </w:rPr>
        <w:t xml:space="preserve">29. </w:t>
      </w:r>
      <w:r w:rsidRPr="009037BE">
        <w:rPr>
          <w:noProof/>
        </w:rPr>
        <w:tab/>
        <w:t>Araujo DMR, Santos GF da S, Nardi AE (2010) Binge eating disorder and depression: a systematic review. world J Biol psychiatry 11:199–207</w:t>
      </w:r>
    </w:p>
    <w:p w14:paraId="014F991E" w14:textId="77777777" w:rsidR="009037BE" w:rsidRPr="009037BE" w:rsidRDefault="009037BE" w:rsidP="009037BE">
      <w:pPr>
        <w:widowControl w:val="0"/>
        <w:autoSpaceDE w:val="0"/>
        <w:autoSpaceDN w:val="0"/>
        <w:adjustRightInd w:val="0"/>
        <w:spacing w:line="480" w:lineRule="auto"/>
        <w:ind w:left="640" w:hanging="640"/>
        <w:rPr>
          <w:noProof/>
        </w:rPr>
      </w:pPr>
      <w:r w:rsidRPr="009037BE">
        <w:rPr>
          <w:noProof/>
        </w:rPr>
        <w:t xml:space="preserve">30. </w:t>
      </w:r>
      <w:r w:rsidRPr="009037BE">
        <w:rPr>
          <w:noProof/>
        </w:rPr>
        <w:tab/>
        <w:t>Swinbourne JM, Touyz SW (2007) The co‐morbidity of eating disorders and anxiety disorders: A review. Eur Eat Disord Rev Prof J Eat Disord Assoc 15:253–274</w:t>
      </w:r>
    </w:p>
    <w:p w14:paraId="65B1BDC8" w14:textId="77777777" w:rsidR="009037BE" w:rsidRPr="009037BE" w:rsidRDefault="009037BE" w:rsidP="009037BE">
      <w:pPr>
        <w:widowControl w:val="0"/>
        <w:autoSpaceDE w:val="0"/>
        <w:autoSpaceDN w:val="0"/>
        <w:adjustRightInd w:val="0"/>
        <w:spacing w:line="480" w:lineRule="auto"/>
        <w:ind w:left="640" w:hanging="640"/>
        <w:rPr>
          <w:noProof/>
        </w:rPr>
      </w:pPr>
      <w:r w:rsidRPr="009037BE">
        <w:rPr>
          <w:noProof/>
        </w:rPr>
        <w:t xml:space="preserve">31. </w:t>
      </w:r>
      <w:r w:rsidRPr="009037BE">
        <w:rPr>
          <w:noProof/>
        </w:rPr>
        <w:tab/>
        <w:t>Gadalla T, Piran N (2007) Co-occurrence of eating disorders and alcohol use disorders in women: a meta analysis. Arch Womens Ment Health 10:133–140</w:t>
      </w:r>
    </w:p>
    <w:p w14:paraId="6ECA9019" w14:textId="77777777" w:rsidR="009037BE" w:rsidRPr="009037BE" w:rsidRDefault="009037BE" w:rsidP="009037BE">
      <w:pPr>
        <w:widowControl w:val="0"/>
        <w:autoSpaceDE w:val="0"/>
        <w:autoSpaceDN w:val="0"/>
        <w:adjustRightInd w:val="0"/>
        <w:spacing w:line="480" w:lineRule="auto"/>
        <w:ind w:left="640" w:hanging="640"/>
        <w:rPr>
          <w:noProof/>
        </w:rPr>
      </w:pPr>
      <w:r w:rsidRPr="009037BE">
        <w:rPr>
          <w:noProof/>
        </w:rPr>
        <w:t xml:space="preserve">32. </w:t>
      </w:r>
      <w:r w:rsidRPr="009037BE">
        <w:rPr>
          <w:noProof/>
        </w:rPr>
        <w:tab/>
        <w:t>Anzengruber D, Klump KL, Thornton L, et al (2006) Smoking in eating disorders. Eat Behav 7:291–299</w:t>
      </w:r>
    </w:p>
    <w:p w14:paraId="6C0710B5" w14:textId="77777777" w:rsidR="009037BE" w:rsidRPr="009037BE" w:rsidRDefault="009037BE" w:rsidP="009037BE">
      <w:pPr>
        <w:widowControl w:val="0"/>
        <w:autoSpaceDE w:val="0"/>
        <w:autoSpaceDN w:val="0"/>
        <w:adjustRightInd w:val="0"/>
        <w:spacing w:line="480" w:lineRule="auto"/>
        <w:ind w:left="640" w:hanging="640"/>
        <w:rPr>
          <w:noProof/>
        </w:rPr>
      </w:pPr>
      <w:r w:rsidRPr="009037BE">
        <w:rPr>
          <w:noProof/>
        </w:rPr>
        <w:t xml:space="preserve">33. </w:t>
      </w:r>
      <w:r w:rsidRPr="009037BE">
        <w:rPr>
          <w:noProof/>
        </w:rPr>
        <w:tab/>
        <w:t>Naish KR, Laliberte M, MacKillop J, Balodis IM (2019) Systematic review of the effects of acute stress in binge eating disorder. Eur J Neurosci 50:2415–2429</w:t>
      </w:r>
    </w:p>
    <w:p w14:paraId="6618D2E2" w14:textId="77777777" w:rsidR="009037BE" w:rsidRPr="009037BE" w:rsidRDefault="009037BE" w:rsidP="009037BE">
      <w:pPr>
        <w:widowControl w:val="0"/>
        <w:autoSpaceDE w:val="0"/>
        <w:autoSpaceDN w:val="0"/>
        <w:adjustRightInd w:val="0"/>
        <w:spacing w:line="480" w:lineRule="auto"/>
        <w:ind w:left="640" w:hanging="640"/>
        <w:rPr>
          <w:noProof/>
        </w:rPr>
      </w:pPr>
      <w:r w:rsidRPr="009037BE">
        <w:rPr>
          <w:noProof/>
        </w:rPr>
        <w:t xml:space="preserve">34. </w:t>
      </w:r>
      <w:r w:rsidRPr="009037BE">
        <w:rPr>
          <w:noProof/>
        </w:rPr>
        <w:tab/>
        <w:t>Yanovski SZ (2003) Binge eating disorder and obesity in 2003: could treating an eating disorder have a positive effect on the obesity epidemic? Int J Eat Disord 34:S117–S120</w:t>
      </w:r>
    </w:p>
    <w:p w14:paraId="615F0DED" w14:textId="77777777" w:rsidR="009037BE" w:rsidRPr="009037BE" w:rsidRDefault="009037BE" w:rsidP="009037BE">
      <w:pPr>
        <w:widowControl w:val="0"/>
        <w:autoSpaceDE w:val="0"/>
        <w:autoSpaceDN w:val="0"/>
        <w:adjustRightInd w:val="0"/>
        <w:spacing w:line="480" w:lineRule="auto"/>
        <w:ind w:left="640" w:hanging="640"/>
        <w:rPr>
          <w:noProof/>
        </w:rPr>
      </w:pPr>
      <w:r w:rsidRPr="009037BE">
        <w:rPr>
          <w:noProof/>
        </w:rPr>
        <w:t xml:space="preserve">35. </w:t>
      </w:r>
      <w:r w:rsidRPr="009037BE">
        <w:rPr>
          <w:noProof/>
        </w:rPr>
        <w:tab/>
        <w:t>Sindi S, Pérez LM, Vetrano DL, et al (2020) Sleep disturbances and the speed of multimorbidity development in old age: results from a longitudinal population-based study. BMC Med 18:1–10</w:t>
      </w:r>
    </w:p>
    <w:p w14:paraId="16A63789" w14:textId="77777777" w:rsidR="009037BE" w:rsidRPr="009037BE" w:rsidRDefault="009037BE" w:rsidP="009037BE">
      <w:pPr>
        <w:widowControl w:val="0"/>
        <w:autoSpaceDE w:val="0"/>
        <w:autoSpaceDN w:val="0"/>
        <w:adjustRightInd w:val="0"/>
        <w:spacing w:line="480" w:lineRule="auto"/>
        <w:ind w:left="640" w:hanging="640"/>
        <w:rPr>
          <w:noProof/>
        </w:rPr>
      </w:pPr>
      <w:r w:rsidRPr="009037BE">
        <w:rPr>
          <w:noProof/>
        </w:rPr>
        <w:t xml:space="preserve">36. </w:t>
      </w:r>
      <w:r w:rsidRPr="009037BE">
        <w:rPr>
          <w:noProof/>
        </w:rPr>
        <w:tab/>
        <w:t>Birk JL, Kronish IM, Moise N, et al (2019) Depression and multimorbidity: Considering temporal characteristics of the associations between depression and multiple chronic diseases. Heal Psychol 38:802</w:t>
      </w:r>
    </w:p>
    <w:p w14:paraId="01AD2E9B" w14:textId="77777777" w:rsidR="009037BE" w:rsidRPr="009037BE" w:rsidRDefault="009037BE" w:rsidP="009037BE">
      <w:pPr>
        <w:widowControl w:val="0"/>
        <w:autoSpaceDE w:val="0"/>
        <w:autoSpaceDN w:val="0"/>
        <w:adjustRightInd w:val="0"/>
        <w:spacing w:line="480" w:lineRule="auto"/>
        <w:ind w:left="640" w:hanging="640"/>
        <w:rPr>
          <w:noProof/>
        </w:rPr>
      </w:pPr>
      <w:r w:rsidRPr="009037BE">
        <w:rPr>
          <w:noProof/>
        </w:rPr>
        <w:t xml:space="preserve">37. </w:t>
      </w:r>
      <w:r w:rsidRPr="009037BE">
        <w:rPr>
          <w:noProof/>
        </w:rPr>
        <w:tab/>
        <w:t>Felez-Nobrega M, Haro JM, Koyanagi A (2022) Multimorbidity, depression with anxiety symptoms, and decrements in health in 47 low-and middle-income countries. J Affect Disord 317:176–184</w:t>
      </w:r>
    </w:p>
    <w:p w14:paraId="6BE1ADBF" w14:textId="77777777" w:rsidR="009037BE" w:rsidRPr="009037BE" w:rsidRDefault="009037BE" w:rsidP="009037BE">
      <w:pPr>
        <w:widowControl w:val="0"/>
        <w:autoSpaceDE w:val="0"/>
        <w:autoSpaceDN w:val="0"/>
        <w:adjustRightInd w:val="0"/>
        <w:spacing w:line="480" w:lineRule="auto"/>
        <w:ind w:left="640" w:hanging="640"/>
        <w:rPr>
          <w:noProof/>
        </w:rPr>
      </w:pPr>
      <w:r w:rsidRPr="009037BE">
        <w:rPr>
          <w:noProof/>
        </w:rPr>
        <w:lastRenderedPageBreak/>
        <w:t xml:space="preserve">38. </w:t>
      </w:r>
      <w:r w:rsidRPr="009037BE">
        <w:rPr>
          <w:noProof/>
        </w:rPr>
        <w:tab/>
        <w:t>Keetile M, Navaneetham K, Letamo G (2020) Prevalence and correlates of multimorbidity among adults in Botswana: a cross-sectional study. PLoS One 15:e0239334</w:t>
      </w:r>
    </w:p>
    <w:p w14:paraId="4BD3767E" w14:textId="77777777" w:rsidR="009037BE" w:rsidRPr="009037BE" w:rsidRDefault="009037BE" w:rsidP="009037BE">
      <w:pPr>
        <w:widowControl w:val="0"/>
        <w:autoSpaceDE w:val="0"/>
        <w:autoSpaceDN w:val="0"/>
        <w:adjustRightInd w:val="0"/>
        <w:spacing w:line="480" w:lineRule="auto"/>
        <w:ind w:left="640" w:hanging="640"/>
        <w:rPr>
          <w:noProof/>
        </w:rPr>
      </w:pPr>
      <w:r w:rsidRPr="009037BE">
        <w:rPr>
          <w:noProof/>
        </w:rPr>
        <w:t xml:space="preserve">39. </w:t>
      </w:r>
      <w:r w:rsidRPr="009037BE">
        <w:rPr>
          <w:noProof/>
        </w:rPr>
        <w:tab/>
        <w:t>Wikström K, Lindström J, Harald K, et al (2015) Clinical and lifestyle-related risk factors for incident multimorbidity: 10-year follow-up of Finnish population-based cohorts 1982–2012. Eur J Intern Med 26:211–216</w:t>
      </w:r>
    </w:p>
    <w:p w14:paraId="0A75A528" w14:textId="77777777" w:rsidR="009037BE" w:rsidRPr="009037BE" w:rsidRDefault="009037BE" w:rsidP="009037BE">
      <w:pPr>
        <w:widowControl w:val="0"/>
        <w:autoSpaceDE w:val="0"/>
        <w:autoSpaceDN w:val="0"/>
        <w:adjustRightInd w:val="0"/>
        <w:spacing w:line="480" w:lineRule="auto"/>
        <w:ind w:left="640" w:hanging="640"/>
        <w:rPr>
          <w:noProof/>
        </w:rPr>
      </w:pPr>
      <w:r w:rsidRPr="009037BE">
        <w:rPr>
          <w:noProof/>
        </w:rPr>
        <w:t xml:space="preserve">40. </w:t>
      </w:r>
      <w:r w:rsidRPr="009037BE">
        <w:rPr>
          <w:noProof/>
        </w:rPr>
        <w:tab/>
        <w:t>Vancampfort D, Koyanagi A, Ward PB, et al (2017) Perceived stress and its relationship with chronic medical conditions and multimorbidity among 229,293 community-dwelling adults in 44 low-and middle-income countries. Am J Epidemiol 186:979–989</w:t>
      </w:r>
    </w:p>
    <w:p w14:paraId="5E4D99CA" w14:textId="77777777" w:rsidR="009037BE" w:rsidRPr="009037BE" w:rsidRDefault="009037BE" w:rsidP="009037BE">
      <w:pPr>
        <w:widowControl w:val="0"/>
        <w:autoSpaceDE w:val="0"/>
        <w:autoSpaceDN w:val="0"/>
        <w:adjustRightInd w:val="0"/>
        <w:spacing w:line="480" w:lineRule="auto"/>
        <w:ind w:left="640" w:hanging="640"/>
        <w:rPr>
          <w:noProof/>
        </w:rPr>
      </w:pPr>
      <w:r w:rsidRPr="009037BE">
        <w:rPr>
          <w:noProof/>
        </w:rPr>
        <w:t xml:space="preserve">41. </w:t>
      </w:r>
      <w:r w:rsidRPr="009037BE">
        <w:rPr>
          <w:noProof/>
        </w:rPr>
        <w:tab/>
        <w:t>López Sánchez GF, Vigueras Hernández MR, Lucas Casas P, et al (2022) Impact of physical activity, BMI and sociodemographic and lifestyle factors on the risk of diabetes in 9511 Ghanaian adults. Sport TK Rev Euroam ciencias del Deport 11:15</w:t>
      </w:r>
    </w:p>
    <w:p w14:paraId="6211C54E" w14:textId="77777777" w:rsidR="009037BE" w:rsidRPr="009037BE" w:rsidRDefault="009037BE" w:rsidP="009037BE">
      <w:pPr>
        <w:widowControl w:val="0"/>
        <w:autoSpaceDE w:val="0"/>
        <w:autoSpaceDN w:val="0"/>
        <w:adjustRightInd w:val="0"/>
        <w:spacing w:line="480" w:lineRule="auto"/>
        <w:ind w:left="640" w:hanging="640"/>
        <w:rPr>
          <w:noProof/>
        </w:rPr>
      </w:pPr>
      <w:r w:rsidRPr="009037BE">
        <w:rPr>
          <w:noProof/>
        </w:rPr>
        <w:t xml:space="preserve">42. </w:t>
      </w:r>
      <w:r w:rsidRPr="009037BE">
        <w:rPr>
          <w:noProof/>
        </w:rPr>
        <w:tab/>
        <w:t>Jenkins R, Meltzer H, Bebbington P, et al (2009) The British Mental Health Survey Programme: achievements and latest findings. Soc Psychiatry Psychiatr Epidemiol 44:899–904</w:t>
      </w:r>
    </w:p>
    <w:p w14:paraId="5ECB22E4" w14:textId="77777777" w:rsidR="009037BE" w:rsidRPr="009037BE" w:rsidRDefault="009037BE" w:rsidP="009037BE">
      <w:pPr>
        <w:widowControl w:val="0"/>
        <w:autoSpaceDE w:val="0"/>
        <w:autoSpaceDN w:val="0"/>
        <w:adjustRightInd w:val="0"/>
        <w:spacing w:line="480" w:lineRule="auto"/>
        <w:ind w:left="640" w:hanging="640"/>
        <w:rPr>
          <w:noProof/>
        </w:rPr>
      </w:pPr>
      <w:r w:rsidRPr="009037BE">
        <w:rPr>
          <w:noProof/>
        </w:rPr>
        <w:t xml:space="preserve">43. </w:t>
      </w:r>
      <w:r w:rsidRPr="009037BE">
        <w:rPr>
          <w:noProof/>
        </w:rPr>
        <w:tab/>
        <w:t>Digital NHS (2009) Adult Psychiatric Morbidity in England - 2007, Results of a household survey. https://digital.nhs.uk/data-and-information/publications/statistical/adult-psychiatric-morbidity-survey/adult-psychiatric-morbidity-in-england-2007-results-of-a-household-survey</w:t>
      </w:r>
    </w:p>
    <w:p w14:paraId="320671B3" w14:textId="77777777" w:rsidR="009037BE" w:rsidRPr="009037BE" w:rsidRDefault="009037BE" w:rsidP="009037BE">
      <w:pPr>
        <w:widowControl w:val="0"/>
        <w:autoSpaceDE w:val="0"/>
        <w:autoSpaceDN w:val="0"/>
        <w:adjustRightInd w:val="0"/>
        <w:spacing w:line="480" w:lineRule="auto"/>
        <w:ind w:left="640" w:hanging="640"/>
        <w:rPr>
          <w:noProof/>
        </w:rPr>
      </w:pPr>
      <w:r w:rsidRPr="009037BE">
        <w:rPr>
          <w:noProof/>
        </w:rPr>
        <w:t xml:space="preserve">44. </w:t>
      </w:r>
      <w:r w:rsidRPr="009037BE">
        <w:rPr>
          <w:noProof/>
        </w:rPr>
        <w:tab/>
        <w:t>Garin N, Koyanagi A, Chatterji S, et al (2016) Global multimorbidity patterns: a cross-sectional, population-based, multi-country study. Journals Gerontol Ser A Biomed Sci Med Sci 71:205–214</w:t>
      </w:r>
    </w:p>
    <w:p w14:paraId="3C44B6F2" w14:textId="77777777" w:rsidR="009037BE" w:rsidRPr="009037BE" w:rsidRDefault="009037BE" w:rsidP="009037BE">
      <w:pPr>
        <w:widowControl w:val="0"/>
        <w:autoSpaceDE w:val="0"/>
        <w:autoSpaceDN w:val="0"/>
        <w:adjustRightInd w:val="0"/>
        <w:spacing w:line="480" w:lineRule="auto"/>
        <w:ind w:left="640" w:hanging="640"/>
        <w:rPr>
          <w:noProof/>
        </w:rPr>
      </w:pPr>
      <w:r w:rsidRPr="009037BE">
        <w:rPr>
          <w:noProof/>
        </w:rPr>
        <w:t xml:space="preserve">45. </w:t>
      </w:r>
      <w:r w:rsidRPr="009037BE">
        <w:rPr>
          <w:noProof/>
        </w:rPr>
        <w:tab/>
        <w:t>Morgan JF, Reid F, Lacey JH (1999) The SCOFF questionnaire: assessment of a new screening tool for eating disorders. Bmj 319:1467–1468</w:t>
      </w:r>
    </w:p>
    <w:p w14:paraId="332B305D" w14:textId="77777777" w:rsidR="009037BE" w:rsidRPr="009037BE" w:rsidRDefault="009037BE" w:rsidP="009037BE">
      <w:pPr>
        <w:widowControl w:val="0"/>
        <w:autoSpaceDE w:val="0"/>
        <w:autoSpaceDN w:val="0"/>
        <w:adjustRightInd w:val="0"/>
        <w:spacing w:line="480" w:lineRule="auto"/>
        <w:ind w:left="640" w:hanging="640"/>
        <w:rPr>
          <w:noProof/>
        </w:rPr>
      </w:pPr>
      <w:r w:rsidRPr="009037BE">
        <w:rPr>
          <w:noProof/>
        </w:rPr>
        <w:lastRenderedPageBreak/>
        <w:t xml:space="preserve">46. </w:t>
      </w:r>
      <w:r w:rsidRPr="009037BE">
        <w:rPr>
          <w:noProof/>
        </w:rPr>
        <w:tab/>
        <w:t>Garcia-Campayo J, Sanz-Carrillo C, Ibañez JA, et al (2005) Validation of the Spanish version of the SCOFF questionnaire for the screening of eating disorders in primary care. J Psychosom Res 59:51–55</w:t>
      </w:r>
    </w:p>
    <w:p w14:paraId="1AEB4072" w14:textId="77777777" w:rsidR="009037BE" w:rsidRPr="009037BE" w:rsidRDefault="009037BE" w:rsidP="009037BE">
      <w:pPr>
        <w:widowControl w:val="0"/>
        <w:autoSpaceDE w:val="0"/>
        <w:autoSpaceDN w:val="0"/>
        <w:adjustRightInd w:val="0"/>
        <w:spacing w:line="480" w:lineRule="auto"/>
        <w:ind w:left="640" w:hanging="640"/>
        <w:rPr>
          <w:noProof/>
        </w:rPr>
      </w:pPr>
      <w:r w:rsidRPr="009037BE">
        <w:rPr>
          <w:noProof/>
        </w:rPr>
        <w:t xml:space="preserve">47. </w:t>
      </w:r>
      <w:r w:rsidRPr="009037BE">
        <w:rPr>
          <w:noProof/>
        </w:rPr>
        <w:tab/>
        <w:t>Luck AJ, MorganLuck JF, Reid F, et al (2002) The SCOFF questionnaire and clinical interview for eating disorders in general practice: comparative study. Bmj 325:755–756</w:t>
      </w:r>
    </w:p>
    <w:p w14:paraId="4E141507" w14:textId="77777777" w:rsidR="009037BE" w:rsidRPr="009037BE" w:rsidRDefault="009037BE" w:rsidP="009037BE">
      <w:pPr>
        <w:widowControl w:val="0"/>
        <w:autoSpaceDE w:val="0"/>
        <w:autoSpaceDN w:val="0"/>
        <w:adjustRightInd w:val="0"/>
        <w:spacing w:line="480" w:lineRule="auto"/>
        <w:ind w:left="640" w:hanging="640"/>
        <w:rPr>
          <w:noProof/>
        </w:rPr>
      </w:pPr>
      <w:r w:rsidRPr="009037BE">
        <w:rPr>
          <w:noProof/>
        </w:rPr>
        <w:t xml:space="preserve">48. </w:t>
      </w:r>
      <w:r w:rsidRPr="009037BE">
        <w:rPr>
          <w:noProof/>
        </w:rPr>
        <w:tab/>
        <w:t>Botella J, Sepúlveda AR, Huang H, Gambara H (2013) A meta-analysis of the diagnostic accuracy of the SCOFF. Span J Psychol 16:E92</w:t>
      </w:r>
    </w:p>
    <w:p w14:paraId="73778F8C" w14:textId="77777777" w:rsidR="009037BE" w:rsidRPr="009037BE" w:rsidRDefault="009037BE" w:rsidP="009037BE">
      <w:pPr>
        <w:widowControl w:val="0"/>
        <w:autoSpaceDE w:val="0"/>
        <w:autoSpaceDN w:val="0"/>
        <w:adjustRightInd w:val="0"/>
        <w:spacing w:line="480" w:lineRule="auto"/>
        <w:ind w:left="640" w:hanging="640"/>
        <w:rPr>
          <w:noProof/>
        </w:rPr>
      </w:pPr>
      <w:r w:rsidRPr="009037BE">
        <w:rPr>
          <w:noProof/>
        </w:rPr>
        <w:t xml:space="preserve">49. </w:t>
      </w:r>
      <w:r w:rsidRPr="009037BE">
        <w:rPr>
          <w:noProof/>
        </w:rPr>
        <w:tab/>
        <w:t>Freeman D, Brugha T, Meltzer H, et al (2010) Persecutory ideation and insomnia: findings from the second British National Survey of Psychiatric Morbidity. J Psychiatr Res 44:1021–1026</w:t>
      </w:r>
    </w:p>
    <w:p w14:paraId="4CCADE2D" w14:textId="77777777" w:rsidR="009037BE" w:rsidRPr="009037BE" w:rsidRDefault="009037BE" w:rsidP="009037BE">
      <w:pPr>
        <w:widowControl w:val="0"/>
        <w:autoSpaceDE w:val="0"/>
        <w:autoSpaceDN w:val="0"/>
        <w:adjustRightInd w:val="0"/>
        <w:spacing w:line="480" w:lineRule="auto"/>
        <w:ind w:left="640" w:hanging="640"/>
        <w:rPr>
          <w:noProof/>
        </w:rPr>
      </w:pPr>
      <w:r w:rsidRPr="009037BE">
        <w:rPr>
          <w:noProof/>
        </w:rPr>
        <w:t xml:space="preserve">50. </w:t>
      </w:r>
      <w:r w:rsidRPr="009037BE">
        <w:rPr>
          <w:noProof/>
        </w:rPr>
        <w:tab/>
        <w:t>Lewis G, Pelosi AJ, Araya R, Dunn G (1992) Measuring psychiatric disorder in the community: a standardized assessment for use by lay interviewers. Psychol Med 22:465–486</w:t>
      </w:r>
    </w:p>
    <w:p w14:paraId="1DBA48FB" w14:textId="77777777" w:rsidR="009037BE" w:rsidRPr="009037BE" w:rsidRDefault="009037BE" w:rsidP="009037BE">
      <w:pPr>
        <w:widowControl w:val="0"/>
        <w:autoSpaceDE w:val="0"/>
        <w:autoSpaceDN w:val="0"/>
        <w:adjustRightInd w:val="0"/>
        <w:spacing w:line="480" w:lineRule="auto"/>
        <w:ind w:left="640" w:hanging="640"/>
        <w:rPr>
          <w:noProof/>
        </w:rPr>
      </w:pPr>
      <w:r w:rsidRPr="009037BE">
        <w:rPr>
          <w:noProof/>
        </w:rPr>
        <w:t xml:space="preserve">51. </w:t>
      </w:r>
      <w:r w:rsidRPr="009037BE">
        <w:rPr>
          <w:noProof/>
        </w:rPr>
        <w:tab/>
        <w:t>Saunders JB, Aasland OG, Babor TF, et al (1993) Development of the alcohol use disorders identification test (AUDIT): WHO collaborative project on early detection of persons with harmful alcohol consumption‐II. Addiction 88:791–804</w:t>
      </w:r>
    </w:p>
    <w:p w14:paraId="0E8E767D" w14:textId="77777777" w:rsidR="009037BE" w:rsidRPr="009037BE" w:rsidRDefault="009037BE" w:rsidP="009037BE">
      <w:pPr>
        <w:widowControl w:val="0"/>
        <w:autoSpaceDE w:val="0"/>
        <w:autoSpaceDN w:val="0"/>
        <w:adjustRightInd w:val="0"/>
        <w:spacing w:line="480" w:lineRule="auto"/>
        <w:ind w:left="640" w:hanging="640"/>
        <w:rPr>
          <w:noProof/>
        </w:rPr>
      </w:pPr>
      <w:r w:rsidRPr="009037BE">
        <w:rPr>
          <w:noProof/>
        </w:rPr>
        <w:t xml:space="preserve">52. </w:t>
      </w:r>
      <w:r w:rsidRPr="009037BE">
        <w:rPr>
          <w:noProof/>
        </w:rPr>
        <w:tab/>
        <w:t>Stockwell TIM, Sitharthan T, McGRATH D, Lang E (1994) The measurement of alcohol dependence and impaired control in community samples. Addiction 89:167–184</w:t>
      </w:r>
    </w:p>
    <w:p w14:paraId="0A6460D2" w14:textId="77777777" w:rsidR="009037BE" w:rsidRPr="009037BE" w:rsidRDefault="009037BE" w:rsidP="009037BE">
      <w:pPr>
        <w:widowControl w:val="0"/>
        <w:autoSpaceDE w:val="0"/>
        <w:autoSpaceDN w:val="0"/>
        <w:adjustRightInd w:val="0"/>
        <w:spacing w:line="480" w:lineRule="auto"/>
        <w:ind w:left="640" w:hanging="640"/>
        <w:rPr>
          <w:noProof/>
        </w:rPr>
      </w:pPr>
      <w:r w:rsidRPr="009037BE">
        <w:rPr>
          <w:noProof/>
        </w:rPr>
        <w:t xml:space="preserve">53. </w:t>
      </w:r>
      <w:r w:rsidRPr="009037BE">
        <w:rPr>
          <w:noProof/>
        </w:rPr>
        <w:tab/>
        <w:t>Breen R, Karlson KB, Holm A (2013) Total, direct, and indirect effects in logit and probit models. Sociol Methods Res 42:164–191</w:t>
      </w:r>
    </w:p>
    <w:p w14:paraId="47E30FBC" w14:textId="77777777" w:rsidR="009037BE" w:rsidRPr="009037BE" w:rsidRDefault="009037BE" w:rsidP="009037BE">
      <w:pPr>
        <w:widowControl w:val="0"/>
        <w:autoSpaceDE w:val="0"/>
        <w:autoSpaceDN w:val="0"/>
        <w:adjustRightInd w:val="0"/>
        <w:spacing w:line="480" w:lineRule="auto"/>
        <w:ind w:left="640" w:hanging="640"/>
        <w:rPr>
          <w:noProof/>
        </w:rPr>
      </w:pPr>
      <w:r w:rsidRPr="009037BE">
        <w:rPr>
          <w:noProof/>
        </w:rPr>
        <w:t xml:space="preserve">54. </w:t>
      </w:r>
      <w:r w:rsidRPr="009037BE">
        <w:rPr>
          <w:noProof/>
        </w:rPr>
        <w:tab/>
        <w:t>Laporta-Herrero I, Jáuregui-Lobera I, Barajas-Iglesias B, Santed-Germán MÁ (2018) Body dissatisfaction in adolescents with eating disorders. Eat Weight Disord Anorexia, Bulim Obes 23:339–347</w:t>
      </w:r>
    </w:p>
    <w:p w14:paraId="6CDF8905" w14:textId="77777777" w:rsidR="009037BE" w:rsidRPr="009037BE" w:rsidRDefault="009037BE" w:rsidP="009037BE">
      <w:pPr>
        <w:widowControl w:val="0"/>
        <w:autoSpaceDE w:val="0"/>
        <w:autoSpaceDN w:val="0"/>
        <w:adjustRightInd w:val="0"/>
        <w:spacing w:line="480" w:lineRule="auto"/>
        <w:ind w:left="640" w:hanging="640"/>
        <w:rPr>
          <w:noProof/>
        </w:rPr>
      </w:pPr>
      <w:r w:rsidRPr="009037BE">
        <w:rPr>
          <w:noProof/>
        </w:rPr>
        <w:lastRenderedPageBreak/>
        <w:t xml:space="preserve">55. </w:t>
      </w:r>
      <w:r w:rsidRPr="009037BE">
        <w:rPr>
          <w:noProof/>
        </w:rPr>
        <w:tab/>
        <w:t>Vogelzangs N, Beekman ATF, De Jonge P, Penninx B (2013) Anxiety disorders and inflammation in a large adult cohort. Transl Psychiatry 3:e249</w:t>
      </w:r>
    </w:p>
    <w:p w14:paraId="569869F8" w14:textId="77777777" w:rsidR="009037BE" w:rsidRPr="009037BE" w:rsidRDefault="009037BE" w:rsidP="009037BE">
      <w:pPr>
        <w:widowControl w:val="0"/>
        <w:autoSpaceDE w:val="0"/>
        <w:autoSpaceDN w:val="0"/>
        <w:adjustRightInd w:val="0"/>
        <w:spacing w:line="480" w:lineRule="auto"/>
        <w:ind w:left="640" w:hanging="640"/>
        <w:rPr>
          <w:noProof/>
        </w:rPr>
      </w:pPr>
      <w:r w:rsidRPr="009037BE">
        <w:rPr>
          <w:noProof/>
        </w:rPr>
        <w:t xml:space="preserve">56. </w:t>
      </w:r>
      <w:r w:rsidRPr="009037BE">
        <w:rPr>
          <w:noProof/>
        </w:rPr>
        <w:tab/>
        <w:t>Allison KC, Spaeth A, Hopkins CM (2016) Sleep and eating disorders. Curr Psychiatry Rep 18:1–8</w:t>
      </w:r>
    </w:p>
    <w:p w14:paraId="30263153" w14:textId="77777777" w:rsidR="009037BE" w:rsidRPr="009037BE" w:rsidRDefault="009037BE" w:rsidP="009037BE">
      <w:pPr>
        <w:widowControl w:val="0"/>
        <w:autoSpaceDE w:val="0"/>
        <w:autoSpaceDN w:val="0"/>
        <w:adjustRightInd w:val="0"/>
        <w:spacing w:line="480" w:lineRule="auto"/>
        <w:ind w:left="640" w:hanging="640"/>
        <w:rPr>
          <w:noProof/>
        </w:rPr>
      </w:pPr>
      <w:r w:rsidRPr="009037BE">
        <w:rPr>
          <w:noProof/>
        </w:rPr>
        <w:t xml:space="preserve">57. </w:t>
      </w:r>
      <w:r w:rsidRPr="009037BE">
        <w:rPr>
          <w:noProof/>
        </w:rPr>
        <w:tab/>
        <w:t>Irwin MR, Wang M, Ribeiro D, et al (2008) Sleep loss activates cellular inflammatory signaling. Biol Psychiatry 64:538–540</w:t>
      </w:r>
    </w:p>
    <w:p w14:paraId="443F1C03" w14:textId="409866FC" w:rsidR="009037BE" w:rsidRPr="009037BE" w:rsidRDefault="009037BE" w:rsidP="009037BE">
      <w:pPr>
        <w:widowControl w:val="0"/>
        <w:autoSpaceDE w:val="0"/>
        <w:autoSpaceDN w:val="0"/>
        <w:adjustRightInd w:val="0"/>
        <w:spacing w:line="480" w:lineRule="auto"/>
        <w:ind w:left="640" w:hanging="640"/>
        <w:rPr>
          <w:noProof/>
        </w:rPr>
      </w:pPr>
      <w:r w:rsidRPr="009037BE">
        <w:rPr>
          <w:noProof/>
        </w:rPr>
        <w:t xml:space="preserve">58. </w:t>
      </w:r>
      <w:r w:rsidRPr="009037BE">
        <w:rPr>
          <w:noProof/>
        </w:rPr>
        <w:tab/>
        <w:t xml:space="preserve">Harvard T.H. Chan School of Public Health (2023) Obesity Prevention Source. https://www.hsph.harvard.edu/obesity-prevention-source/obesity-consequences/health-effects/. </w:t>
      </w:r>
      <w:r>
        <w:rPr>
          <w:noProof/>
        </w:rPr>
        <w:t>Accessed 30 March 2023</w:t>
      </w:r>
    </w:p>
    <w:p w14:paraId="44227748" w14:textId="77777777" w:rsidR="009037BE" w:rsidRPr="009037BE" w:rsidRDefault="009037BE" w:rsidP="009037BE">
      <w:pPr>
        <w:widowControl w:val="0"/>
        <w:autoSpaceDE w:val="0"/>
        <w:autoSpaceDN w:val="0"/>
        <w:adjustRightInd w:val="0"/>
        <w:spacing w:line="480" w:lineRule="auto"/>
        <w:ind w:left="640" w:hanging="640"/>
        <w:rPr>
          <w:noProof/>
        </w:rPr>
      </w:pPr>
      <w:r w:rsidRPr="009037BE">
        <w:rPr>
          <w:noProof/>
        </w:rPr>
        <w:t xml:space="preserve">59. </w:t>
      </w:r>
      <w:r w:rsidRPr="009037BE">
        <w:rPr>
          <w:noProof/>
        </w:rPr>
        <w:tab/>
        <w:t>Cargiulo T (2007) Understanding the health impact of alcohol dependence. Am J Heal Pharm 64:S5–S11</w:t>
      </w:r>
    </w:p>
    <w:p w14:paraId="7946D6FA" w14:textId="77777777" w:rsidR="009037BE" w:rsidRPr="009037BE" w:rsidRDefault="009037BE" w:rsidP="009037BE">
      <w:pPr>
        <w:widowControl w:val="0"/>
        <w:autoSpaceDE w:val="0"/>
        <w:autoSpaceDN w:val="0"/>
        <w:adjustRightInd w:val="0"/>
        <w:spacing w:line="480" w:lineRule="auto"/>
        <w:ind w:left="640" w:hanging="640"/>
        <w:rPr>
          <w:noProof/>
        </w:rPr>
      </w:pPr>
      <w:r w:rsidRPr="009037BE">
        <w:rPr>
          <w:noProof/>
        </w:rPr>
        <w:t xml:space="preserve">60. </w:t>
      </w:r>
      <w:r w:rsidRPr="009037BE">
        <w:rPr>
          <w:noProof/>
        </w:rPr>
        <w:tab/>
        <w:t>Laraia BA (2013) Food insecurity and chronic disease. Adv Nutr 4:203–212</w:t>
      </w:r>
    </w:p>
    <w:p w14:paraId="2DB21C26" w14:textId="77777777" w:rsidR="009037BE" w:rsidRPr="009037BE" w:rsidRDefault="009037BE" w:rsidP="009037BE">
      <w:pPr>
        <w:widowControl w:val="0"/>
        <w:autoSpaceDE w:val="0"/>
        <w:autoSpaceDN w:val="0"/>
        <w:adjustRightInd w:val="0"/>
        <w:spacing w:line="480" w:lineRule="auto"/>
        <w:ind w:left="640" w:hanging="640"/>
        <w:rPr>
          <w:noProof/>
        </w:rPr>
      </w:pPr>
      <w:r w:rsidRPr="009037BE">
        <w:rPr>
          <w:noProof/>
        </w:rPr>
        <w:t xml:space="preserve">61. </w:t>
      </w:r>
      <w:r w:rsidRPr="009037BE">
        <w:rPr>
          <w:noProof/>
        </w:rPr>
        <w:tab/>
        <w:t>Fares K, Barada D, Hoteit M, Abou Haidar M (2020) Prevalence and correlates of food insecurity among Lebanese University students of Hadath Campus. Atena J Public Heal 2:5</w:t>
      </w:r>
    </w:p>
    <w:p w14:paraId="24EEA3DD" w14:textId="77777777" w:rsidR="009037BE" w:rsidRPr="009037BE" w:rsidRDefault="009037BE" w:rsidP="009037BE">
      <w:pPr>
        <w:widowControl w:val="0"/>
        <w:autoSpaceDE w:val="0"/>
        <w:autoSpaceDN w:val="0"/>
        <w:adjustRightInd w:val="0"/>
        <w:spacing w:line="480" w:lineRule="auto"/>
        <w:ind w:left="640" w:hanging="640"/>
        <w:rPr>
          <w:noProof/>
        </w:rPr>
      </w:pPr>
      <w:r w:rsidRPr="009037BE">
        <w:rPr>
          <w:noProof/>
        </w:rPr>
        <w:t xml:space="preserve">62. </w:t>
      </w:r>
      <w:r w:rsidRPr="009037BE">
        <w:rPr>
          <w:noProof/>
        </w:rPr>
        <w:tab/>
        <w:t>MacKinnon DP, Krull JL, Lockwood CM (2000) Equivalence of the mediation, confounding and suppression effect. Prev Sci 1:173–181</w:t>
      </w:r>
    </w:p>
    <w:p w14:paraId="721128C1" w14:textId="77777777" w:rsidR="009037BE" w:rsidRPr="009037BE" w:rsidRDefault="009037BE" w:rsidP="009037BE">
      <w:pPr>
        <w:widowControl w:val="0"/>
        <w:autoSpaceDE w:val="0"/>
        <w:autoSpaceDN w:val="0"/>
        <w:adjustRightInd w:val="0"/>
        <w:spacing w:line="480" w:lineRule="auto"/>
        <w:ind w:left="640" w:hanging="640"/>
        <w:rPr>
          <w:noProof/>
        </w:rPr>
      </w:pPr>
      <w:r w:rsidRPr="009037BE">
        <w:rPr>
          <w:noProof/>
        </w:rPr>
        <w:t xml:space="preserve">63. </w:t>
      </w:r>
      <w:r w:rsidRPr="009037BE">
        <w:rPr>
          <w:noProof/>
        </w:rPr>
        <w:tab/>
        <w:t>Anxiety and Depression Association of America (ADAA) (2020) Eating Disorders. https://adaa.org/understanding-anxiety/related-illnesses/eating-disorders</w:t>
      </w:r>
    </w:p>
    <w:p w14:paraId="17555B4B" w14:textId="77777777" w:rsidR="009037BE" w:rsidRPr="009037BE" w:rsidRDefault="009037BE" w:rsidP="009037BE">
      <w:pPr>
        <w:widowControl w:val="0"/>
        <w:autoSpaceDE w:val="0"/>
        <w:autoSpaceDN w:val="0"/>
        <w:adjustRightInd w:val="0"/>
        <w:spacing w:line="480" w:lineRule="auto"/>
        <w:ind w:left="640" w:hanging="640"/>
        <w:rPr>
          <w:noProof/>
        </w:rPr>
      </w:pPr>
      <w:r w:rsidRPr="009037BE">
        <w:rPr>
          <w:noProof/>
        </w:rPr>
        <w:t xml:space="preserve">64. </w:t>
      </w:r>
      <w:r w:rsidRPr="009037BE">
        <w:rPr>
          <w:noProof/>
        </w:rPr>
        <w:tab/>
        <w:t>Gautam M, Tripathi A, Deshmukh D, Gaur M (2020) Cognitive behavioral therapy for depression. Indian J Psychiatry 62:S223</w:t>
      </w:r>
    </w:p>
    <w:p w14:paraId="409C045E" w14:textId="77777777" w:rsidR="009037BE" w:rsidRPr="009037BE" w:rsidRDefault="009037BE" w:rsidP="009037BE">
      <w:pPr>
        <w:widowControl w:val="0"/>
        <w:autoSpaceDE w:val="0"/>
        <w:autoSpaceDN w:val="0"/>
        <w:adjustRightInd w:val="0"/>
        <w:spacing w:line="480" w:lineRule="auto"/>
        <w:ind w:left="640" w:hanging="640"/>
        <w:rPr>
          <w:noProof/>
        </w:rPr>
      </w:pPr>
      <w:r w:rsidRPr="009037BE">
        <w:rPr>
          <w:noProof/>
        </w:rPr>
        <w:t xml:space="preserve">65. </w:t>
      </w:r>
      <w:r w:rsidRPr="009037BE">
        <w:rPr>
          <w:noProof/>
        </w:rPr>
        <w:tab/>
        <w:t>Epstein EE, McCrady BS, Hallgren KA, et al (2018) Individual versus group female-specific cognitive behavior therapy for alcohol use disorder. J Subst Abuse Treat 88:27–</w:t>
      </w:r>
      <w:r w:rsidRPr="009037BE">
        <w:rPr>
          <w:noProof/>
        </w:rPr>
        <w:lastRenderedPageBreak/>
        <w:t>43</w:t>
      </w:r>
    </w:p>
    <w:p w14:paraId="3C6065DC" w14:textId="77777777" w:rsidR="009037BE" w:rsidRPr="009037BE" w:rsidRDefault="009037BE" w:rsidP="009037BE">
      <w:pPr>
        <w:widowControl w:val="0"/>
        <w:autoSpaceDE w:val="0"/>
        <w:autoSpaceDN w:val="0"/>
        <w:adjustRightInd w:val="0"/>
        <w:spacing w:line="480" w:lineRule="auto"/>
        <w:ind w:left="640" w:hanging="640"/>
        <w:rPr>
          <w:noProof/>
        </w:rPr>
      </w:pPr>
      <w:r w:rsidRPr="009037BE">
        <w:rPr>
          <w:noProof/>
        </w:rPr>
        <w:t xml:space="preserve">66. </w:t>
      </w:r>
      <w:r w:rsidRPr="009037BE">
        <w:rPr>
          <w:noProof/>
        </w:rPr>
        <w:tab/>
        <w:t>Sarid O, Berger R, Segal-Engelchin D (2010) The impact of cognitive behavioral interventions on SOC, perceived stress and mood states of nurses. Procedia-Social Behav Sci 2:928–932</w:t>
      </w:r>
    </w:p>
    <w:p w14:paraId="59308F59" w14:textId="77777777" w:rsidR="009037BE" w:rsidRPr="009037BE" w:rsidRDefault="009037BE" w:rsidP="009037BE">
      <w:pPr>
        <w:widowControl w:val="0"/>
        <w:autoSpaceDE w:val="0"/>
        <w:autoSpaceDN w:val="0"/>
        <w:adjustRightInd w:val="0"/>
        <w:spacing w:line="480" w:lineRule="auto"/>
        <w:ind w:left="640" w:hanging="640"/>
        <w:rPr>
          <w:noProof/>
        </w:rPr>
      </w:pPr>
      <w:r w:rsidRPr="009037BE">
        <w:rPr>
          <w:noProof/>
        </w:rPr>
        <w:t xml:space="preserve">67. </w:t>
      </w:r>
      <w:r w:rsidRPr="009037BE">
        <w:rPr>
          <w:noProof/>
        </w:rPr>
        <w:tab/>
        <w:t>Fairburn CG (2008) Cognitive behavior therapy and eating disorders. Guilford Press</w:t>
      </w:r>
    </w:p>
    <w:p w14:paraId="338ECED8" w14:textId="2546DBD8" w:rsidR="00D23E8D" w:rsidRPr="007526AD" w:rsidRDefault="00D91A70" w:rsidP="00C63A11">
      <w:pPr>
        <w:spacing w:line="480" w:lineRule="auto"/>
        <w:rPr>
          <w:lang w:val="en-US"/>
        </w:rPr>
      </w:pPr>
      <w:r>
        <w:rPr>
          <w:lang w:val="en-US"/>
        </w:rPr>
        <w:fldChar w:fldCharType="end"/>
      </w:r>
    </w:p>
    <w:p w14:paraId="655CF1DB" w14:textId="1369BBFD" w:rsidR="00C63A11" w:rsidRPr="007526AD" w:rsidRDefault="00C63A11" w:rsidP="00C63A11">
      <w:pPr>
        <w:spacing w:line="480" w:lineRule="auto"/>
        <w:rPr>
          <w:lang w:val="en-US"/>
        </w:rPr>
      </w:pPr>
    </w:p>
    <w:p w14:paraId="3592D8C8" w14:textId="77777777" w:rsidR="00052610" w:rsidRPr="007526AD" w:rsidRDefault="00052610" w:rsidP="00C63A11">
      <w:pPr>
        <w:spacing w:line="480" w:lineRule="auto"/>
        <w:rPr>
          <w:lang w:val="en-US"/>
        </w:rPr>
        <w:sectPr w:rsidR="00052610" w:rsidRPr="007526AD">
          <w:pgSz w:w="12240" w:h="15840"/>
          <w:pgMar w:top="1440" w:right="1440" w:bottom="1440" w:left="1440"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9"/>
        <w:gridCol w:w="1677"/>
        <w:gridCol w:w="1188"/>
        <w:gridCol w:w="1255"/>
        <w:gridCol w:w="1255"/>
        <w:gridCol w:w="889"/>
      </w:tblGrid>
      <w:tr w:rsidR="00052610" w:rsidRPr="007526AD" w14:paraId="6BD00DBC" w14:textId="77777777" w:rsidTr="00DC2123">
        <w:trPr>
          <w:trHeight w:val="340"/>
        </w:trPr>
        <w:tc>
          <w:tcPr>
            <w:tcW w:w="0" w:type="auto"/>
            <w:gridSpan w:val="6"/>
            <w:shd w:val="clear" w:color="auto" w:fill="auto"/>
            <w:noWrap/>
            <w:vAlign w:val="center"/>
            <w:hideMark/>
          </w:tcPr>
          <w:p w14:paraId="711C7561" w14:textId="1C374F2E" w:rsidR="00052610" w:rsidRPr="007526AD" w:rsidRDefault="00052610" w:rsidP="00052610">
            <w:pPr>
              <w:rPr>
                <w:color w:val="000000"/>
                <w:lang w:val="en-US"/>
              </w:rPr>
            </w:pPr>
            <w:r w:rsidRPr="007526AD">
              <w:rPr>
                <w:b/>
                <w:bCs/>
                <w:color w:val="000000"/>
                <w:lang w:val="en-US"/>
              </w:rPr>
              <w:lastRenderedPageBreak/>
              <w:t>Table 1</w:t>
            </w:r>
            <w:r w:rsidRPr="007526AD">
              <w:rPr>
                <w:color w:val="000000"/>
                <w:lang w:val="en-US"/>
              </w:rPr>
              <w:t xml:space="preserve"> Sample characteristics (overall and by</w:t>
            </w:r>
            <w:r w:rsidR="00EC3CB2">
              <w:rPr>
                <w:color w:val="000000"/>
                <w:lang w:val="en-US"/>
              </w:rPr>
              <w:t xml:space="preserve"> possible eating disorder</w:t>
            </w:r>
            <w:r w:rsidRPr="007526AD">
              <w:rPr>
                <w:color w:val="000000"/>
                <w:lang w:val="en-US"/>
              </w:rPr>
              <w:t>)</w:t>
            </w:r>
          </w:p>
        </w:tc>
      </w:tr>
      <w:tr w:rsidR="00FB1F15" w:rsidRPr="007526AD" w14:paraId="2AECFE5B" w14:textId="77777777" w:rsidTr="00DC2123">
        <w:trPr>
          <w:trHeight w:val="340"/>
        </w:trPr>
        <w:tc>
          <w:tcPr>
            <w:tcW w:w="0" w:type="auto"/>
            <w:shd w:val="clear" w:color="auto" w:fill="auto"/>
            <w:noWrap/>
            <w:vAlign w:val="center"/>
            <w:hideMark/>
          </w:tcPr>
          <w:p w14:paraId="27ABDD1C" w14:textId="77777777" w:rsidR="00052610" w:rsidRPr="007526AD" w:rsidRDefault="00052610" w:rsidP="00052610">
            <w:pPr>
              <w:rPr>
                <w:color w:val="000000"/>
                <w:sz w:val="22"/>
                <w:szCs w:val="22"/>
                <w:lang w:val="en-US"/>
              </w:rPr>
            </w:pPr>
            <w:r w:rsidRPr="007526AD">
              <w:rPr>
                <w:color w:val="000000"/>
                <w:sz w:val="22"/>
                <w:szCs w:val="22"/>
                <w:lang w:val="en-US"/>
              </w:rPr>
              <w:t> </w:t>
            </w:r>
          </w:p>
        </w:tc>
        <w:tc>
          <w:tcPr>
            <w:tcW w:w="0" w:type="auto"/>
            <w:shd w:val="clear" w:color="auto" w:fill="auto"/>
            <w:noWrap/>
            <w:vAlign w:val="center"/>
            <w:hideMark/>
          </w:tcPr>
          <w:p w14:paraId="074E3FBC" w14:textId="77777777" w:rsidR="00052610" w:rsidRPr="007526AD" w:rsidRDefault="00052610" w:rsidP="00052610">
            <w:pPr>
              <w:rPr>
                <w:color w:val="000000"/>
                <w:sz w:val="22"/>
                <w:szCs w:val="22"/>
                <w:lang w:val="en-US"/>
              </w:rPr>
            </w:pPr>
            <w:r w:rsidRPr="007526AD">
              <w:rPr>
                <w:color w:val="000000"/>
                <w:sz w:val="22"/>
                <w:szCs w:val="22"/>
                <w:lang w:val="en-US"/>
              </w:rPr>
              <w:t> </w:t>
            </w:r>
          </w:p>
        </w:tc>
        <w:tc>
          <w:tcPr>
            <w:tcW w:w="0" w:type="auto"/>
            <w:shd w:val="clear" w:color="auto" w:fill="auto"/>
            <w:noWrap/>
            <w:vAlign w:val="center"/>
            <w:hideMark/>
          </w:tcPr>
          <w:p w14:paraId="5FEFCA7D" w14:textId="77777777" w:rsidR="00052610" w:rsidRPr="007526AD" w:rsidRDefault="00052610" w:rsidP="00052610">
            <w:pPr>
              <w:rPr>
                <w:color w:val="000000"/>
                <w:sz w:val="22"/>
                <w:szCs w:val="22"/>
                <w:lang w:val="en-US"/>
              </w:rPr>
            </w:pPr>
            <w:r w:rsidRPr="007526AD">
              <w:rPr>
                <w:color w:val="000000"/>
                <w:sz w:val="22"/>
                <w:szCs w:val="22"/>
                <w:lang w:val="en-US"/>
              </w:rPr>
              <w:t> </w:t>
            </w:r>
          </w:p>
        </w:tc>
        <w:tc>
          <w:tcPr>
            <w:tcW w:w="0" w:type="auto"/>
            <w:gridSpan w:val="2"/>
            <w:shd w:val="clear" w:color="auto" w:fill="auto"/>
            <w:noWrap/>
            <w:vAlign w:val="center"/>
            <w:hideMark/>
          </w:tcPr>
          <w:p w14:paraId="0D380A49" w14:textId="2AA2F756" w:rsidR="00052610" w:rsidRPr="007526AD" w:rsidRDefault="00FB1F15" w:rsidP="00052610">
            <w:pPr>
              <w:rPr>
                <w:color w:val="000000"/>
                <w:sz w:val="22"/>
                <w:szCs w:val="22"/>
                <w:lang w:val="en-US"/>
              </w:rPr>
            </w:pPr>
            <w:r>
              <w:rPr>
                <w:lang w:val="en-US"/>
              </w:rPr>
              <w:t>Possible eating disorder</w:t>
            </w:r>
          </w:p>
        </w:tc>
        <w:tc>
          <w:tcPr>
            <w:tcW w:w="0" w:type="auto"/>
            <w:shd w:val="clear" w:color="auto" w:fill="auto"/>
            <w:noWrap/>
            <w:vAlign w:val="center"/>
            <w:hideMark/>
          </w:tcPr>
          <w:p w14:paraId="39EF4313" w14:textId="77777777" w:rsidR="00052610" w:rsidRPr="007526AD" w:rsidRDefault="00052610" w:rsidP="00052610">
            <w:pPr>
              <w:rPr>
                <w:color w:val="000000"/>
                <w:sz w:val="22"/>
                <w:szCs w:val="22"/>
                <w:lang w:val="en-US"/>
              </w:rPr>
            </w:pPr>
            <w:r w:rsidRPr="007526AD">
              <w:rPr>
                <w:color w:val="000000"/>
                <w:sz w:val="22"/>
                <w:szCs w:val="22"/>
                <w:lang w:val="en-US"/>
              </w:rPr>
              <w:t> </w:t>
            </w:r>
          </w:p>
        </w:tc>
      </w:tr>
      <w:tr w:rsidR="00FB1F15" w:rsidRPr="007526AD" w14:paraId="411506AF" w14:textId="77777777" w:rsidTr="00DC2123">
        <w:trPr>
          <w:trHeight w:val="360"/>
        </w:trPr>
        <w:tc>
          <w:tcPr>
            <w:tcW w:w="0" w:type="auto"/>
            <w:shd w:val="clear" w:color="auto" w:fill="auto"/>
            <w:noWrap/>
            <w:vAlign w:val="center"/>
            <w:hideMark/>
          </w:tcPr>
          <w:p w14:paraId="60E6A35A" w14:textId="77777777" w:rsidR="00052610" w:rsidRPr="007526AD" w:rsidRDefault="00052610" w:rsidP="00052610">
            <w:pPr>
              <w:rPr>
                <w:color w:val="000000"/>
                <w:sz w:val="22"/>
                <w:szCs w:val="22"/>
                <w:lang w:val="en-US"/>
              </w:rPr>
            </w:pPr>
            <w:r w:rsidRPr="007526AD">
              <w:rPr>
                <w:color w:val="000000"/>
                <w:sz w:val="22"/>
                <w:szCs w:val="22"/>
                <w:lang w:val="en-US"/>
              </w:rPr>
              <w:t>Characteristic</w:t>
            </w:r>
          </w:p>
        </w:tc>
        <w:tc>
          <w:tcPr>
            <w:tcW w:w="0" w:type="auto"/>
            <w:shd w:val="clear" w:color="auto" w:fill="auto"/>
            <w:noWrap/>
            <w:vAlign w:val="center"/>
            <w:hideMark/>
          </w:tcPr>
          <w:p w14:paraId="0B1599AD" w14:textId="77777777" w:rsidR="00052610" w:rsidRPr="007526AD" w:rsidRDefault="00052610" w:rsidP="00052610">
            <w:pPr>
              <w:rPr>
                <w:color w:val="000000"/>
                <w:sz w:val="22"/>
                <w:szCs w:val="22"/>
                <w:lang w:val="en-US"/>
              </w:rPr>
            </w:pPr>
            <w:r w:rsidRPr="007526AD">
              <w:rPr>
                <w:color w:val="000000"/>
                <w:sz w:val="22"/>
                <w:szCs w:val="22"/>
                <w:lang w:val="en-US"/>
              </w:rPr>
              <w:t> </w:t>
            </w:r>
          </w:p>
        </w:tc>
        <w:tc>
          <w:tcPr>
            <w:tcW w:w="0" w:type="auto"/>
            <w:shd w:val="clear" w:color="auto" w:fill="auto"/>
            <w:noWrap/>
            <w:vAlign w:val="center"/>
            <w:hideMark/>
          </w:tcPr>
          <w:p w14:paraId="56B53D7D" w14:textId="77777777" w:rsidR="00052610" w:rsidRPr="007526AD" w:rsidRDefault="00052610" w:rsidP="00052610">
            <w:pPr>
              <w:rPr>
                <w:color w:val="000000"/>
                <w:sz w:val="22"/>
                <w:szCs w:val="22"/>
                <w:lang w:val="en-US"/>
              </w:rPr>
            </w:pPr>
            <w:r w:rsidRPr="007526AD">
              <w:rPr>
                <w:color w:val="000000"/>
                <w:sz w:val="22"/>
                <w:szCs w:val="22"/>
                <w:lang w:val="en-US"/>
              </w:rPr>
              <w:t>Overall</w:t>
            </w:r>
          </w:p>
        </w:tc>
        <w:tc>
          <w:tcPr>
            <w:tcW w:w="0" w:type="auto"/>
            <w:shd w:val="clear" w:color="auto" w:fill="auto"/>
            <w:noWrap/>
            <w:vAlign w:val="center"/>
            <w:hideMark/>
          </w:tcPr>
          <w:p w14:paraId="0204D4BB" w14:textId="77777777" w:rsidR="00052610" w:rsidRPr="007526AD" w:rsidRDefault="00052610" w:rsidP="00052610">
            <w:pPr>
              <w:rPr>
                <w:color w:val="000000"/>
                <w:sz w:val="22"/>
                <w:szCs w:val="22"/>
                <w:lang w:val="en-US"/>
              </w:rPr>
            </w:pPr>
            <w:r w:rsidRPr="007526AD">
              <w:rPr>
                <w:color w:val="000000"/>
                <w:sz w:val="22"/>
                <w:szCs w:val="22"/>
                <w:lang w:val="en-US"/>
              </w:rPr>
              <w:t>No</w:t>
            </w:r>
          </w:p>
        </w:tc>
        <w:tc>
          <w:tcPr>
            <w:tcW w:w="0" w:type="auto"/>
            <w:shd w:val="clear" w:color="auto" w:fill="auto"/>
            <w:noWrap/>
            <w:vAlign w:val="center"/>
            <w:hideMark/>
          </w:tcPr>
          <w:p w14:paraId="0E61C821" w14:textId="77777777" w:rsidR="00052610" w:rsidRPr="007526AD" w:rsidRDefault="00052610" w:rsidP="00052610">
            <w:pPr>
              <w:rPr>
                <w:color w:val="000000"/>
                <w:sz w:val="22"/>
                <w:szCs w:val="22"/>
                <w:lang w:val="en-US"/>
              </w:rPr>
            </w:pPr>
            <w:r w:rsidRPr="007526AD">
              <w:rPr>
                <w:color w:val="000000"/>
                <w:sz w:val="22"/>
                <w:szCs w:val="22"/>
                <w:lang w:val="en-US"/>
              </w:rPr>
              <w:t>Yes</w:t>
            </w:r>
          </w:p>
        </w:tc>
        <w:tc>
          <w:tcPr>
            <w:tcW w:w="0" w:type="auto"/>
            <w:shd w:val="clear" w:color="auto" w:fill="auto"/>
            <w:noWrap/>
            <w:vAlign w:val="center"/>
            <w:hideMark/>
          </w:tcPr>
          <w:p w14:paraId="58474453" w14:textId="77777777" w:rsidR="00052610" w:rsidRPr="007526AD" w:rsidRDefault="00052610" w:rsidP="00052610">
            <w:pPr>
              <w:rPr>
                <w:color w:val="000000"/>
                <w:sz w:val="22"/>
                <w:szCs w:val="22"/>
                <w:lang w:val="en-US"/>
              </w:rPr>
            </w:pPr>
            <w:r w:rsidRPr="007526AD">
              <w:rPr>
                <w:color w:val="000000"/>
                <w:sz w:val="22"/>
                <w:szCs w:val="22"/>
                <w:lang w:val="en-US"/>
              </w:rPr>
              <w:t>P-value</w:t>
            </w:r>
          </w:p>
        </w:tc>
      </w:tr>
      <w:tr w:rsidR="00FB1F15" w:rsidRPr="007526AD" w14:paraId="5B24C065" w14:textId="77777777" w:rsidTr="00DC2123">
        <w:trPr>
          <w:trHeight w:val="360"/>
        </w:trPr>
        <w:tc>
          <w:tcPr>
            <w:tcW w:w="0" w:type="auto"/>
            <w:shd w:val="clear" w:color="auto" w:fill="auto"/>
            <w:noWrap/>
            <w:vAlign w:val="center"/>
            <w:hideMark/>
          </w:tcPr>
          <w:p w14:paraId="5EAE3BF1" w14:textId="77777777" w:rsidR="00052610" w:rsidRPr="007526AD" w:rsidRDefault="00052610" w:rsidP="00052610">
            <w:pPr>
              <w:rPr>
                <w:color w:val="000000"/>
                <w:sz w:val="22"/>
                <w:szCs w:val="22"/>
                <w:lang w:val="en-US"/>
              </w:rPr>
            </w:pPr>
            <w:r w:rsidRPr="007526AD">
              <w:rPr>
                <w:color w:val="000000"/>
                <w:sz w:val="22"/>
                <w:szCs w:val="22"/>
                <w:lang w:val="en-US"/>
              </w:rPr>
              <w:t>Age (years)</w:t>
            </w:r>
          </w:p>
        </w:tc>
        <w:tc>
          <w:tcPr>
            <w:tcW w:w="0" w:type="auto"/>
            <w:shd w:val="clear" w:color="auto" w:fill="auto"/>
            <w:noWrap/>
            <w:vAlign w:val="center"/>
            <w:hideMark/>
          </w:tcPr>
          <w:p w14:paraId="5D3E7A9E" w14:textId="77777777" w:rsidR="00052610" w:rsidRPr="007526AD" w:rsidRDefault="00052610" w:rsidP="00052610">
            <w:pPr>
              <w:rPr>
                <w:color w:val="000000"/>
                <w:sz w:val="22"/>
                <w:szCs w:val="22"/>
                <w:lang w:val="en-US"/>
              </w:rPr>
            </w:pPr>
            <w:r w:rsidRPr="007526AD">
              <w:rPr>
                <w:color w:val="000000"/>
                <w:sz w:val="22"/>
                <w:szCs w:val="22"/>
                <w:lang w:val="en-US"/>
              </w:rPr>
              <w:t>Mean (SD)</w:t>
            </w:r>
          </w:p>
        </w:tc>
        <w:tc>
          <w:tcPr>
            <w:tcW w:w="0" w:type="auto"/>
            <w:shd w:val="clear" w:color="auto" w:fill="auto"/>
            <w:noWrap/>
            <w:vAlign w:val="center"/>
            <w:hideMark/>
          </w:tcPr>
          <w:p w14:paraId="40F2F915" w14:textId="77777777" w:rsidR="00052610" w:rsidRPr="007526AD" w:rsidRDefault="00052610" w:rsidP="00052610">
            <w:pPr>
              <w:rPr>
                <w:color w:val="000000"/>
                <w:sz w:val="22"/>
                <w:szCs w:val="22"/>
                <w:lang w:val="en-US"/>
              </w:rPr>
            </w:pPr>
            <w:r w:rsidRPr="007526AD">
              <w:rPr>
                <w:color w:val="000000"/>
                <w:sz w:val="22"/>
                <w:szCs w:val="22"/>
                <w:lang w:val="en-US"/>
              </w:rPr>
              <w:t>46.3 (18.6)</w:t>
            </w:r>
          </w:p>
        </w:tc>
        <w:tc>
          <w:tcPr>
            <w:tcW w:w="0" w:type="auto"/>
            <w:shd w:val="clear" w:color="auto" w:fill="auto"/>
            <w:noWrap/>
            <w:vAlign w:val="center"/>
            <w:hideMark/>
          </w:tcPr>
          <w:p w14:paraId="444A73DE" w14:textId="77777777" w:rsidR="00052610" w:rsidRPr="007526AD" w:rsidRDefault="00052610" w:rsidP="00052610">
            <w:pPr>
              <w:rPr>
                <w:color w:val="000000"/>
                <w:sz w:val="22"/>
                <w:szCs w:val="22"/>
                <w:lang w:val="en-US"/>
              </w:rPr>
            </w:pPr>
            <w:r w:rsidRPr="007526AD">
              <w:rPr>
                <w:color w:val="000000"/>
                <w:sz w:val="22"/>
                <w:szCs w:val="22"/>
                <w:lang w:val="en-US"/>
              </w:rPr>
              <w:t>47.0 (18.6)</w:t>
            </w:r>
          </w:p>
        </w:tc>
        <w:tc>
          <w:tcPr>
            <w:tcW w:w="0" w:type="auto"/>
            <w:shd w:val="clear" w:color="auto" w:fill="auto"/>
            <w:noWrap/>
            <w:vAlign w:val="center"/>
            <w:hideMark/>
          </w:tcPr>
          <w:p w14:paraId="774BF24C" w14:textId="77777777" w:rsidR="00052610" w:rsidRPr="007526AD" w:rsidRDefault="00052610" w:rsidP="00052610">
            <w:pPr>
              <w:rPr>
                <w:color w:val="000000"/>
                <w:sz w:val="22"/>
                <w:szCs w:val="22"/>
                <w:lang w:val="en-US"/>
              </w:rPr>
            </w:pPr>
            <w:r w:rsidRPr="007526AD">
              <w:rPr>
                <w:color w:val="000000"/>
                <w:sz w:val="22"/>
                <w:szCs w:val="22"/>
                <w:lang w:val="en-US"/>
              </w:rPr>
              <w:t>35.8 (14.2)</w:t>
            </w:r>
          </w:p>
        </w:tc>
        <w:tc>
          <w:tcPr>
            <w:tcW w:w="0" w:type="auto"/>
            <w:shd w:val="clear" w:color="auto" w:fill="auto"/>
            <w:noWrap/>
            <w:vAlign w:val="center"/>
            <w:hideMark/>
          </w:tcPr>
          <w:p w14:paraId="379B47F8" w14:textId="77777777" w:rsidR="00052610" w:rsidRPr="007526AD" w:rsidRDefault="00052610" w:rsidP="00052610">
            <w:pPr>
              <w:rPr>
                <w:color w:val="000000"/>
                <w:sz w:val="22"/>
                <w:szCs w:val="22"/>
                <w:lang w:val="en-US"/>
              </w:rPr>
            </w:pPr>
            <w:r w:rsidRPr="007526AD">
              <w:rPr>
                <w:color w:val="000000"/>
                <w:sz w:val="22"/>
                <w:szCs w:val="22"/>
                <w:lang w:val="en-US"/>
              </w:rPr>
              <w:t>&lt;0.001</w:t>
            </w:r>
          </w:p>
        </w:tc>
      </w:tr>
      <w:tr w:rsidR="00FB1F15" w:rsidRPr="007526AD" w14:paraId="0C6FDCEF" w14:textId="77777777" w:rsidTr="00DC2123">
        <w:trPr>
          <w:trHeight w:val="340"/>
        </w:trPr>
        <w:tc>
          <w:tcPr>
            <w:tcW w:w="0" w:type="auto"/>
            <w:shd w:val="clear" w:color="auto" w:fill="auto"/>
            <w:noWrap/>
            <w:vAlign w:val="center"/>
            <w:hideMark/>
          </w:tcPr>
          <w:p w14:paraId="2BF5D196" w14:textId="77777777" w:rsidR="00052610" w:rsidRPr="007526AD" w:rsidRDefault="00052610" w:rsidP="00052610">
            <w:pPr>
              <w:rPr>
                <w:color w:val="000000"/>
                <w:sz w:val="22"/>
                <w:szCs w:val="22"/>
                <w:lang w:val="en-US"/>
              </w:rPr>
            </w:pPr>
            <w:r w:rsidRPr="007526AD">
              <w:rPr>
                <w:color w:val="000000"/>
                <w:sz w:val="22"/>
                <w:szCs w:val="22"/>
                <w:lang w:val="en-US"/>
              </w:rPr>
              <w:t>Sex</w:t>
            </w:r>
          </w:p>
        </w:tc>
        <w:tc>
          <w:tcPr>
            <w:tcW w:w="0" w:type="auto"/>
            <w:shd w:val="clear" w:color="auto" w:fill="auto"/>
            <w:noWrap/>
            <w:vAlign w:val="center"/>
            <w:hideMark/>
          </w:tcPr>
          <w:p w14:paraId="10763ABE" w14:textId="77777777" w:rsidR="00052610" w:rsidRPr="007526AD" w:rsidRDefault="00052610" w:rsidP="00052610">
            <w:pPr>
              <w:rPr>
                <w:color w:val="000000"/>
                <w:sz w:val="22"/>
                <w:szCs w:val="22"/>
                <w:lang w:val="en-US"/>
              </w:rPr>
            </w:pPr>
            <w:r w:rsidRPr="007526AD">
              <w:rPr>
                <w:color w:val="000000"/>
                <w:sz w:val="22"/>
                <w:szCs w:val="22"/>
                <w:lang w:val="en-US"/>
              </w:rPr>
              <w:t>Male</w:t>
            </w:r>
          </w:p>
        </w:tc>
        <w:tc>
          <w:tcPr>
            <w:tcW w:w="0" w:type="auto"/>
            <w:shd w:val="clear" w:color="auto" w:fill="auto"/>
            <w:noWrap/>
            <w:vAlign w:val="center"/>
            <w:hideMark/>
          </w:tcPr>
          <w:p w14:paraId="22B836EF" w14:textId="77777777" w:rsidR="00052610" w:rsidRPr="007526AD" w:rsidRDefault="00052610" w:rsidP="00052610">
            <w:pPr>
              <w:rPr>
                <w:color w:val="000000"/>
                <w:sz w:val="22"/>
                <w:szCs w:val="22"/>
                <w:lang w:val="en-US"/>
              </w:rPr>
            </w:pPr>
            <w:r w:rsidRPr="007526AD">
              <w:rPr>
                <w:color w:val="000000"/>
                <w:sz w:val="22"/>
                <w:szCs w:val="22"/>
                <w:lang w:val="en-US"/>
              </w:rPr>
              <w:t>48.6</w:t>
            </w:r>
          </w:p>
        </w:tc>
        <w:tc>
          <w:tcPr>
            <w:tcW w:w="0" w:type="auto"/>
            <w:shd w:val="clear" w:color="auto" w:fill="auto"/>
            <w:noWrap/>
            <w:vAlign w:val="center"/>
            <w:hideMark/>
          </w:tcPr>
          <w:p w14:paraId="1020333D" w14:textId="77777777" w:rsidR="00052610" w:rsidRPr="007526AD" w:rsidRDefault="00052610" w:rsidP="00052610">
            <w:pPr>
              <w:rPr>
                <w:color w:val="000000"/>
                <w:sz w:val="22"/>
                <w:szCs w:val="22"/>
                <w:lang w:val="en-US"/>
              </w:rPr>
            </w:pPr>
            <w:r w:rsidRPr="007526AD">
              <w:rPr>
                <w:color w:val="000000"/>
                <w:sz w:val="22"/>
                <w:szCs w:val="22"/>
                <w:lang w:val="en-US"/>
              </w:rPr>
              <w:t>50.1</w:t>
            </w:r>
          </w:p>
        </w:tc>
        <w:tc>
          <w:tcPr>
            <w:tcW w:w="0" w:type="auto"/>
            <w:shd w:val="clear" w:color="auto" w:fill="auto"/>
            <w:noWrap/>
            <w:vAlign w:val="center"/>
            <w:hideMark/>
          </w:tcPr>
          <w:p w14:paraId="3E5A586B" w14:textId="77777777" w:rsidR="00052610" w:rsidRPr="007526AD" w:rsidRDefault="00052610" w:rsidP="00052610">
            <w:pPr>
              <w:rPr>
                <w:color w:val="000000"/>
                <w:sz w:val="22"/>
                <w:szCs w:val="22"/>
                <w:lang w:val="en-US"/>
              </w:rPr>
            </w:pPr>
            <w:r w:rsidRPr="007526AD">
              <w:rPr>
                <w:color w:val="000000"/>
                <w:sz w:val="22"/>
                <w:szCs w:val="22"/>
                <w:lang w:val="en-US"/>
              </w:rPr>
              <w:t>26.5</w:t>
            </w:r>
          </w:p>
        </w:tc>
        <w:tc>
          <w:tcPr>
            <w:tcW w:w="0" w:type="auto"/>
            <w:shd w:val="clear" w:color="auto" w:fill="auto"/>
            <w:noWrap/>
            <w:vAlign w:val="center"/>
            <w:hideMark/>
          </w:tcPr>
          <w:p w14:paraId="2AFECF9F" w14:textId="77777777" w:rsidR="00052610" w:rsidRPr="007526AD" w:rsidRDefault="00052610" w:rsidP="00052610">
            <w:pPr>
              <w:rPr>
                <w:color w:val="000000"/>
                <w:sz w:val="22"/>
                <w:szCs w:val="22"/>
                <w:lang w:val="en-US"/>
              </w:rPr>
            </w:pPr>
            <w:r w:rsidRPr="007526AD">
              <w:rPr>
                <w:color w:val="000000"/>
                <w:sz w:val="22"/>
                <w:szCs w:val="22"/>
                <w:lang w:val="en-US"/>
              </w:rPr>
              <w:t>&lt;0.001</w:t>
            </w:r>
          </w:p>
        </w:tc>
      </w:tr>
      <w:tr w:rsidR="00FB1F15" w:rsidRPr="007526AD" w14:paraId="7E6D06CE" w14:textId="77777777" w:rsidTr="00DC2123">
        <w:trPr>
          <w:trHeight w:val="340"/>
        </w:trPr>
        <w:tc>
          <w:tcPr>
            <w:tcW w:w="0" w:type="auto"/>
            <w:shd w:val="clear" w:color="auto" w:fill="auto"/>
            <w:noWrap/>
            <w:vAlign w:val="center"/>
            <w:hideMark/>
          </w:tcPr>
          <w:p w14:paraId="3A7B6BF4" w14:textId="77777777" w:rsidR="00052610" w:rsidRPr="007526AD" w:rsidRDefault="00052610" w:rsidP="00052610">
            <w:pPr>
              <w:rPr>
                <w:color w:val="000000"/>
                <w:sz w:val="22"/>
                <w:szCs w:val="22"/>
                <w:lang w:val="en-US"/>
              </w:rPr>
            </w:pPr>
          </w:p>
        </w:tc>
        <w:tc>
          <w:tcPr>
            <w:tcW w:w="0" w:type="auto"/>
            <w:shd w:val="clear" w:color="auto" w:fill="auto"/>
            <w:noWrap/>
            <w:vAlign w:val="center"/>
            <w:hideMark/>
          </w:tcPr>
          <w:p w14:paraId="2BE95326" w14:textId="77777777" w:rsidR="00052610" w:rsidRPr="007526AD" w:rsidRDefault="00052610" w:rsidP="00052610">
            <w:pPr>
              <w:rPr>
                <w:color w:val="000000"/>
                <w:sz w:val="22"/>
                <w:szCs w:val="22"/>
                <w:lang w:val="en-US"/>
              </w:rPr>
            </w:pPr>
            <w:r w:rsidRPr="007526AD">
              <w:rPr>
                <w:color w:val="000000"/>
                <w:sz w:val="22"/>
                <w:szCs w:val="22"/>
                <w:lang w:val="en-US"/>
              </w:rPr>
              <w:t>Female</w:t>
            </w:r>
          </w:p>
        </w:tc>
        <w:tc>
          <w:tcPr>
            <w:tcW w:w="0" w:type="auto"/>
            <w:shd w:val="clear" w:color="auto" w:fill="auto"/>
            <w:noWrap/>
            <w:vAlign w:val="center"/>
            <w:hideMark/>
          </w:tcPr>
          <w:p w14:paraId="312794AC" w14:textId="77777777" w:rsidR="00052610" w:rsidRPr="007526AD" w:rsidRDefault="00052610" w:rsidP="00052610">
            <w:pPr>
              <w:rPr>
                <w:color w:val="000000"/>
                <w:sz w:val="22"/>
                <w:szCs w:val="22"/>
                <w:lang w:val="en-US"/>
              </w:rPr>
            </w:pPr>
            <w:r w:rsidRPr="007526AD">
              <w:rPr>
                <w:color w:val="000000"/>
                <w:sz w:val="22"/>
                <w:szCs w:val="22"/>
                <w:lang w:val="en-US"/>
              </w:rPr>
              <w:t>51.4</w:t>
            </w:r>
          </w:p>
        </w:tc>
        <w:tc>
          <w:tcPr>
            <w:tcW w:w="0" w:type="auto"/>
            <w:shd w:val="clear" w:color="auto" w:fill="auto"/>
            <w:noWrap/>
            <w:vAlign w:val="center"/>
            <w:hideMark/>
          </w:tcPr>
          <w:p w14:paraId="567F6958" w14:textId="77777777" w:rsidR="00052610" w:rsidRPr="007526AD" w:rsidRDefault="00052610" w:rsidP="00052610">
            <w:pPr>
              <w:rPr>
                <w:color w:val="000000"/>
                <w:sz w:val="22"/>
                <w:szCs w:val="22"/>
                <w:lang w:val="en-US"/>
              </w:rPr>
            </w:pPr>
            <w:r w:rsidRPr="007526AD">
              <w:rPr>
                <w:color w:val="000000"/>
                <w:sz w:val="22"/>
                <w:szCs w:val="22"/>
                <w:lang w:val="en-US"/>
              </w:rPr>
              <w:t>49.9</w:t>
            </w:r>
          </w:p>
        </w:tc>
        <w:tc>
          <w:tcPr>
            <w:tcW w:w="0" w:type="auto"/>
            <w:shd w:val="clear" w:color="auto" w:fill="auto"/>
            <w:noWrap/>
            <w:vAlign w:val="center"/>
            <w:hideMark/>
          </w:tcPr>
          <w:p w14:paraId="70F92D28" w14:textId="77777777" w:rsidR="00052610" w:rsidRPr="007526AD" w:rsidRDefault="00052610" w:rsidP="00052610">
            <w:pPr>
              <w:rPr>
                <w:color w:val="000000"/>
                <w:sz w:val="22"/>
                <w:szCs w:val="22"/>
                <w:lang w:val="en-US"/>
              </w:rPr>
            </w:pPr>
            <w:r w:rsidRPr="007526AD">
              <w:rPr>
                <w:color w:val="000000"/>
                <w:sz w:val="22"/>
                <w:szCs w:val="22"/>
                <w:lang w:val="en-US"/>
              </w:rPr>
              <w:t>73.5</w:t>
            </w:r>
          </w:p>
        </w:tc>
        <w:tc>
          <w:tcPr>
            <w:tcW w:w="0" w:type="auto"/>
            <w:shd w:val="clear" w:color="auto" w:fill="auto"/>
            <w:noWrap/>
            <w:vAlign w:val="center"/>
            <w:hideMark/>
          </w:tcPr>
          <w:p w14:paraId="22464FB8" w14:textId="77777777" w:rsidR="00052610" w:rsidRPr="007526AD" w:rsidRDefault="00052610" w:rsidP="00052610">
            <w:pPr>
              <w:rPr>
                <w:color w:val="000000"/>
                <w:sz w:val="22"/>
                <w:szCs w:val="22"/>
                <w:lang w:val="en-US"/>
              </w:rPr>
            </w:pPr>
          </w:p>
        </w:tc>
      </w:tr>
      <w:tr w:rsidR="00FB1F15" w:rsidRPr="007526AD" w14:paraId="7CA30B1A" w14:textId="77777777" w:rsidTr="00DC2123">
        <w:trPr>
          <w:trHeight w:val="340"/>
        </w:trPr>
        <w:tc>
          <w:tcPr>
            <w:tcW w:w="0" w:type="auto"/>
            <w:shd w:val="clear" w:color="auto" w:fill="auto"/>
            <w:noWrap/>
            <w:vAlign w:val="center"/>
            <w:hideMark/>
          </w:tcPr>
          <w:p w14:paraId="37AAF92F" w14:textId="451E5DFE" w:rsidR="00052610" w:rsidRPr="007526AD" w:rsidRDefault="00C90AD9" w:rsidP="00052610">
            <w:pPr>
              <w:rPr>
                <w:color w:val="000000"/>
                <w:sz w:val="22"/>
                <w:szCs w:val="22"/>
                <w:lang w:val="en-US"/>
              </w:rPr>
            </w:pPr>
            <w:r w:rsidRPr="007526AD">
              <w:rPr>
                <w:color w:val="000000"/>
                <w:sz w:val="22"/>
                <w:szCs w:val="22"/>
                <w:lang w:val="en-US"/>
              </w:rPr>
              <w:t>Qualification</w:t>
            </w:r>
          </w:p>
        </w:tc>
        <w:tc>
          <w:tcPr>
            <w:tcW w:w="0" w:type="auto"/>
            <w:shd w:val="clear" w:color="auto" w:fill="auto"/>
            <w:noWrap/>
            <w:vAlign w:val="center"/>
            <w:hideMark/>
          </w:tcPr>
          <w:p w14:paraId="35264CBA" w14:textId="3B966A02" w:rsidR="00052610" w:rsidRPr="007526AD" w:rsidRDefault="00C90AD9" w:rsidP="00052610">
            <w:pPr>
              <w:rPr>
                <w:color w:val="000000"/>
                <w:sz w:val="22"/>
                <w:szCs w:val="22"/>
                <w:lang w:val="en-US"/>
              </w:rPr>
            </w:pPr>
            <w:r w:rsidRPr="007526AD">
              <w:rPr>
                <w:color w:val="000000"/>
                <w:sz w:val="22"/>
                <w:szCs w:val="22"/>
                <w:lang w:val="en-US"/>
              </w:rPr>
              <w:t>No</w:t>
            </w:r>
          </w:p>
        </w:tc>
        <w:tc>
          <w:tcPr>
            <w:tcW w:w="0" w:type="auto"/>
            <w:shd w:val="clear" w:color="auto" w:fill="auto"/>
            <w:noWrap/>
            <w:vAlign w:val="center"/>
            <w:hideMark/>
          </w:tcPr>
          <w:p w14:paraId="195A4E72" w14:textId="77777777" w:rsidR="00052610" w:rsidRPr="007526AD" w:rsidRDefault="00052610" w:rsidP="00052610">
            <w:pPr>
              <w:rPr>
                <w:color w:val="000000"/>
                <w:sz w:val="22"/>
                <w:szCs w:val="22"/>
                <w:lang w:val="en-US"/>
              </w:rPr>
            </w:pPr>
            <w:r w:rsidRPr="007526AD">
              <w:rPr>
                <w:color w:val="000000"/>
                <w:sz w:val="22"/>
                <w:szCs w:val="22"/>
                <w:lang w:val="en-US"/>
              </w:rPr>
              <w:t>23.9</w:t>
            </w:r>
          </w:p>
        </w:tc>
        <w:tc>
          <w:tcPr>
            <w:tcW w:w="0" w:type="auto"/>
            <w:shd w:val="clear" w:color="auto" w:fill="auto"/>
            <w:noWrap/>
            <w:vAlign w:val="center"/>
            <w:hideMark/>
          </w:tcPr>
          <w:p w14:paraId="38801AD8" w14:textId="77777777" w:rsidR="00052610" w:rsidRPr="007526AD" w:rsidRDefault="00052610" w:rsidP="00052610">
            <w:pPr>
              <w:rPr>
                <w:color w:val="000000"/>
                <w:sz w:val="22"/>
                <w:szCs w:val="22"/>
                <w:lang w:val="en-US"/>
              </w:rPr>
            </w:pPr>
            <w:r w:rsidRPr="007526AD">
              <w:rPr>
                <w:color w:val="000000"/>
                <w:sz w:val="22"/>
                <w:szCs w:val="22"/>
                <w:lang w:val="en-US"/>
              </w:rPr>
              <w:t>24.5</w:t>
            </w:r>
          </w:p>
        </w:tc>
        <w:tc>
          <w:tcPr>
            <w:tcW w:w="0" w:type="auto"/>
            <w:shd w:val="clear" w:color="auto" w:fill="auto"/>
            <w:noWrap/>
            <w:vAlign w:val="center"/>
            <w:hideMark/>
          </w:tcPr>
          <w:p w14:paraId="2592A97C" w14:textId="77777777" w:rsidR="00052610" w:rsidRPr="007526AD" w:rsidRDefault="00052610" w:rsidP="00052610">
            <w:pPr>
              <w:rPr>
                <w:color w:val="000000"/>
                <w:sz w:val="22"/>
                <w:szCs w:val="22"/>
                <w:lang w:val="en-US"/>
              </w:rPr>
            </w:pPr>
            <w:r w:rsidRPr="007526AD">
              <w:rPr>
                <w:color w:val="000000"/>
                <w:sz w:val="22"/>
                <w:szCs w:val="22"/>
                <w:lang w:val="en-US"/>
              </w:rPr>
              <w:t>14.3</w:t>
            </w:r>
          </w:p>
        </w:tc>
        <w:tc>
          <w:tcPr>
            <w:tcW w:w="0" w:type="auto"/>
            <w:shd w:val="clear" w:color="auto" w:fill="auto"/>
            <w:noWrap/>
            <w:vAlign w:val="center"/>
            <w:hideMark/>
          </w:tcPr>
          <w:p w14:paraId="067CCBCC" w14:textId="77777777" w:rsidR="00052610" w:rsidRPr="007526AD" w:rsidRDefault="00052610" w:rsidP="00052610">
            <w:pPr>
              <w:rPr>
                <w:color w:val="000000"/>
                <w:sz w:val="22"/>
                <w:szCs w:val="22"/>
                <w:lang w:val="en-US"/>
              </w:rPr>
            </w:pPr>
            <w:r w:rsidRPr="007526AD">
              <w:rPr>
                <w:color w:val="000000"/>
                <w:sz w:val="22"/>
                <w:szCs w:val="22"/>
                <w:lang w:val="en-US"/>
              </w:rPr>
              <w:t>&lt;0.001</w:t>
            </w:r>
          </w:p>
        </w:tc>
      </w:tr>
      <w:tr w:rsidR="00FB1F15" w:rsidRPr="007526AD" w14:paraId="7D73DEEC" w14:textId="77777777" w:rsidTr="00DC2123">
        <w:trPr>
          <w:trHeight w:val="340"/>
        </w:trPr>
        <w:tc>
          <w:tcPr>
            <w:tcW w:w="0" w:type="auto"/>
            <w:shd w:val="clear" w:color="auto" w:fill="auto"/>
            <w:noWrap/>
            <w:vAlign w:val="center"/>
            <w:hideMark/>
          </w:tcPr>
          <w:p w14:paraId="15EDD4EA" w14:textId="77777777" w:rsidR="00052610" w:rsidRPr="007526AD" w:rsidRDefault="00052610" w:rsidP="00052610">
            <w:pPr>
              <w:rPr>
                <w:color w:val="000000"/>
                <w:sz w:val="22"/>
                <w:szCs w:val="22"/>
                <w:lang w:val="en-US"/>
              </w:rPr>
            </w:pPr>
          </w:p>
        </w:tc>
        <w:tc>
          <w:tcPr>
            <w:tcW w:w="0" w:type="auto"/>
            <w:shd w:val="clear" w:color="auto" w:fill="auto"/>
            <w:noWrap/>
            <w:vAlign w:val="center"/>
            <w:hideMark/>
          </w:tcPr>
          <w:p w14:paraId="600DE135" w14:textId="773A1350" w:rsidR="00052610" w:rsidRPr="007526AD" w:rsidRDefault="00C90AD9" w:rsidP="00052610">
            <w:pPr>
              <w:rPr>
                <w:color w:val="000000"/>
                <w:sz w:val="22"/>
                <w:szCs w:val="22"/>
                <w:lang w:val="en-US"/>
              </w:rPr>
            </w:pPr>
            <w:r w:rsidRPr="007526AD">
              <w:rPr>
                <w:color w:val="000000"/>
                <w:sz w:val="22"/>
                <w:szCs w:val="22"/>
                <w:lang w:val="en-US"/>
              </w:rPr>
              <w:t>Yes</w:t>
            </w:r>
          </w:p>
        </w:tc>
        <w:tc>
          <w:tcPr>
            <w:tcW w:w="0" w:type="auto"/>
            <w:shd w:val="clear" w:color="auto" w:fill="auto"/>
            <w:noWrap/>
            <w:vAlign w:val="center"/>
            <w:hideMark/>
          </w:tcPr>
          <w:p w14:paraId="0F85A40B" w14:textId="77777777" w:rsidR="00052610" w:rsidRPr="007526AD" w:rsidRDefault="00052610" w:rsidP="00052610">
            <w:pPr>
              <w:rPr>
                <w:color w:val="000000"/>
                <w:sz w:val="22"/>
                <w:szCs w:val="22"/>
                <w:lang w:val="en-US"/>
              </w:rPr>
            </w:pPr>
            <w:r w:rsidRPr="007526AD">
              <w:rPr>
                <w:color w:val="000000"/>
                <w:sz w:val="22"/>
                <w:szCs w:val="22"/>
                <w:lang w:val="en-US"/>
              </w:rPr>
              <w:t>76.1</w:t>
            </w:r>
          </w:p>
        </w:tc>
        <w:tc>
          <w:tcPr>
            <w:tcW w:w="0" w:type="auto"/>
            <w:shd w:val="clear" w:color="auto" w:fill="auto"/>
            <w:noWrap/>
            <w:vAlign w:val="center"/>
            <w:hideMark/>
          </w:tcPr>
          <w:p w14:paraId="14F30228" w14:textId="77777777" w:rsidR="00052610" w:rsidRPr="007526AD" w:rsidRDefault="00052610" w:rsidP="00052610">
            <w:pPr>
              <w:rPr>
                <w:color w:val="000000"/>
                <w:sz w:val="22"/>
                <w:szCs w:val="22"/>
                <w:lang w:val="en-US"/>
              </w:rPr>
            </w:pPr>
            <w:r w:rsidRPr="007526AD">
              <w:rPr>
                <w:color w:val="000000"/>
                <w:sz w:val="22"/>
                <w:szCs w:val="22"/>
                <w:lang w:val="en-US"/>
              </w:rPr>
              <w:t>75.5</w:t>
            </w:r>
          </w:p>
        </w:tc>
        <w:tc>
          <w:tcPr>
            <w:tcW w:w="0" w:type="auto"/>
            <w:shd w:val="clear" w:color="auto" w:fill="auto"/>
            <w:noWrap/>
            <w:vAlign w:val="center"/>
            <w:hideMark/>
          </w:tcPr>
          <w:p w14:paraId="49A668EF" w14:textId="77777777" w:rsidR="00052610" w:rsidRPr="007526AD" w:rsidRDefault="00052610" w:rsidP="00052610">
            <w:pPr>
              <w:rPr>
                <w:color w:val="000000"/>
                <w:sz w:val="22"/>
                <w:szCs w:val="22"/>
                <w:lang w:val="en-US"/>
              </w:rPr>
            </w:pPr>
            <w:r w:rsidRPr="007526AD">
              <w:rPr>
                <w:color w:val="000000"/>
                <w:sz w:val="22"/>
                <w:szCs w:val="22"/>
                <w:lang w:val="en-US"/>
              </w:rPr>
              <w:t>85.7</w:t>
            </w:r>
          </w:p>
        </w:tc>
        <w:tc>
          <w:tcPr>
            <w:tcW w:w="0" w:type="auto"/>
            <w:shd w:val="clear" w:color="auto" w:fill="auto"/>
            <w:noWrap/>
            <w:vAlign w:val="center"/>
            <w:hideMark/>
          </w:tcPr>
          <w:p w14:paraId="10147FB4" w14:textId="77777777" w:rsidR="00052610" w:rsidRPr="007526AD" w:rsidRDefault="00052610" w:rsidP="00052610">
            <w:pPr>
              <w:rPr>
                <w:color w:val="000000"/>
                <w:sz w:val="22"/>
                <w:szCs w:val="22"/>
                <w:lang w:val="en-US"/>
              </w:rPr>
            </w:pPr>
          </w:p>
        </w:tc>
      </w:tr>
      <w:tr w:rsidR="00FB1F15" w:rsidRPr="007526AD" w14:paraId="164ADC13" w14:textId="77777777" w:rsidTr="00DC2123">
        <w:trPr>
          <w:trHeight w:val="340"/>
        </w:trPr>
        <w:tc>
          <w:tcPr>
            <w:tcW w:w="0" w:type="auto"/>
            <w:shd w:val="clear" w:color="auto" w:fill="auto"/>
            <w:noWrap/>
            <w:vAlign w:val="center"/>
            <w:hideMark/>
          </w:tcPr>
          <w:p w14:paraId="613C0F53" w14:textId="77777777" w:rsidR="00052610" w:rsidRPr="007526AD" w:rsidRDefault="00052610" w:rsidP="00052610">
            <w:pPr>
              <w:rPr>
                <w:color w:val="000000"/>
                <w:sz w:val="22"/>
                <w:szCs w:val="22"/>
                <w:lang w:val="en-US"/>
              </w:rPr>
            </w:pPr>
            <w:r w:rsidRPr="007526AD">
              <w:rPr>
                <w:color w:val="000000"/>
                <w:sz w:val="22"/>
                <w:szCs w:val="22"/>
                <w:lang w:val="en-US"/>
              </w:rPr>
              <w:t>Ethnicity</w:t>
            </w:r>
          </w:p>
        </w:tc>
        <w:tc>
          <w:tcPr>
            <w:tcW w:w="0" w:type="auto"/>
            <w:shd w:val="clear" w:color="auto" w:fill="auto"/>
            <w:noWrap/>
            <w:vAlign w:val="center"/>
            <w:hideMark/>
          </w:tcPr>
          <w:p w14:paraId="5824CC47" w14:textId="77777777" w:rsidR="00052610" w:rsidRPr="007526AD" w:rsidRDefault="00052610" w:rsidP="00052610">
            <w:pPr>
              <w:rPr>
                <w:color w:val="000000"/>
                <w:sz w:val="22"/>
                <w:szCs w:val="22"/>
                <w:lang w:val="en-US"/>
              </w:rPr>
            </w:pPr>
            <w:r w:rsidRPr="007526AD">
              <w:rPr>
                <w:color w:val="000000"/>
                <w:sz w:val="22"/>
                <w:szCs w:val="22"/>
                <w:lang w:val="en-US"/>
              </w:rPr>
              <w:t>British White</w:t>
            </w:r>
          </w:p>
        </w:tc>
        <w:tc>
          <w:tcPr>
            <w:tcW w:w="0" w:type="auto"/>
            <w:shd w:val="clear" w:color="auto" w:fill="auto"/>
            <w:noWrap/>
            <w:vAlign w:val="center"/>
            <w:hideMark/>
          </w:tcPr>
          <w:p w14:paraId="16BD9391" w14:textId="77777777" w:rsidR="00052610" w:rsidRPr="007526AD" w:rsidRDefault="00052610" w:rsidP="00052610">
            <w:pPr>
              <w:rPr>
                <w:color w:val="000000"/>
                <w:sz w:val="22"/>
                <w:szCs w:val="22"/>
                <w:lang w:val="en-US"/>
              </w:rPr>
            </w:pPr>
            <w:r w:rsidRPr="007526AD">
              <w:rPr>
                <w:color w:val="000000"/>
                <w:sz w:val="22"/>
                <w:szCs w:val="22"/>
                <w:lang w:val="en-US"/>
              </w:rPr>
              <w:t>85.2</w:t>
            </w:r>
          </w:p>
        </w:tc>
        <w:tc>
          <w:tcPr>
            <w:tcW w:w="0" w:type="auto"/>
            <w:shd w:val="clear" w:color="auto" w:fill="auto"/>
            <w:noWrap/>
            <w:vAlign w:val="center"/>
            <w:hideMark/>
          </w:tcPr>
          <w:p w14:paraId="01D2D801" w14:textId="77777777" w:rsidR="00052610" w:rsidRPr="007526AD" w:rsidRDefault="00052610" w:rsidP="00052610">
            <w:pPr>
              <w:rPr>
                <w:color w:val="000000"/>
                <w:sz w:val="22"/>
                <w:szCs w:val="22"/>
                <w:lang w:val="en-US"/>
              </w:rPr>
            </w:pPr>
            <w:r w:rsidRPr="007526AD">
              <w:rPr>
                <w:color w:val="000000"/>
                <w:sz w:val="22"/>
                <w:szCs w:val="22"/>
                <w:lang w:val="en-US"/>
              </w:rPr>
              <w:t>85.4</w:t>
            </w:r>
          </w:p>
        </w:tc>
        <w:tc>
          <w:tcPr>
            <w:tcW w:w="0" w:type="auto"/>
            <w:shd w:val="clear" w:color="auto" w:fill="auto"/>
            <w:noWrap/>
            <w:vAlign w:val="center"/>
            <w:hideMark/>
          </w:tcPr>
          <w:p w14:paraId="10B545EE" w14:textId="77777777" w:rsidR="00052610" w:rsidRPr="007526AD" w:rsidRDefault="00052610" w:rsidP="00052610">
            <w:pPr>
              <w:rPr>
                <w:color w:val="000000"/>
                <w:sz w:val="22"/>
                <w:szCs w:val="22"/>
                <w:lang w:val="en-US"/>
              </w:rPr>
            </w:pPr>
            <w:r w:rsidRPr="007526AD">
              <w:rPr>
                <w:color w:val="000000"/>
                <w:sz w:val="22"/>
                <w:szCs w:val="22"/>
                <w:lang w:val="en-US"/>
              </w:rPr>
              <w:t>82.6</w:t>
            </w:r>
          </w:p>
        </w:tc>
        <w:tc>
          <w:tcPr>
            <w:tcW w:w="0" w:type="auto"/>
            <w:shd w:val="clear" w:color="auto" w:fill="auto"/>
            <w:noWrap/>
            <w:vAlign w:val="center"/>
            <w:hideMark/>
          </w:tcPr>
          <w:p w14:paraId="15486B58" w14:textId="77777777" w:rsidR="00052610" w:rsidRPr="007526AD" w:rsidRDefault="00052610" w:rsidP="00052610">
            <w:pPr>
              <w:rPr>
                <w:color w:val="000000"/>
                <w:sz w:val="22"/>
                <w:szCs w:val="22"/>
                <w:lang w:val="en-US"/>
              </w:rPr>
            </w:pPr>
            <w:r w:rsidRPr="007526AD">
              <w:rPr>
                <w:color w:val="000000"/>
                <w:sz w:val="22"/>
                <w:szCs w:val="22"/>
                <w:lang w:val="en-US"/>
              </w:rPr>
              <w:t>0.206</w:t>
            </w:r>
          </w:p>
        </w:tc>
      </w:tr>
      <w:tr w:rsidR="00FB1F15" w:rsidRPr="007526AD" w14:paraId="02045276" w14:textId="77777777" w:rsidTr="00DC2123">
        <w:trPr>
          <w:trHeight w:val="340"/>
        </w:trPr>
        <w:tc>
          <w:tcPr>
            <w:tcW w:w="0" w:type="auto"/>
            <w:shd w:val="clear" w:color="auto" w:fill="auto"/>
            <w:noWrap/>
            <w:vAlign w:val="center"/>
            <w:hideMark/>
          </w:tcPr>
          <w:p w14:paraId="50E974DB" w14:textId="77777777" w:rsidR="00052610" w:rsidRPr="007526AD" w:rsidRDefault="00052610" w:rsidP="00052610">
            <w:pPr>
              <w:rPr>
                <w:color w:val="000000"/>
                <w:sz w:val="22"/>
                <w:szCs w:val="22"/>
                <w:lang w:val="en-US"/>
              </w:rPr>
            </w:pPr>
          </w:p>
        </w:tc>
        <w:tc>
          <w:tcPr>
            <w:tcW w:w="0" w:type="auto"/>
            <w:shd w:val="clear" w:color="auto" w:fill="auto"/>
            <w:noWrap/>
            <w:vAlign w:val="center"/>
            <w:hideMark/>
          </w:tcPr>
          <w:p w14:paraId="2734D8FE" w14:textId="77777777" w:rsidR="00052610" w:rsidRPr="007526AD" w:rsidRDefault="00052610" w:rsidP="00052610">
            <w:pPr>
              <w:rPr>
                <w:color w:val="000000"/>
                <w:sz w:val="22"/>
                <w:szCs w:val="22"/>
                <w:lang w:val="en-US"/>
              </w:rPr>
            </w:pPr>
            <w:r w:rsidRPr="007526AD">
              <w:rPr>
                <w:color w:val="000000"/>
                <w:sz w:val="22"/>
                <w:szCs w:val="22"/>
                <w:lang w:val="en-US"/>
              </w:rPr>
              <w:t>Other</w:t>
            </w:r>
          </w:p>
        </w:tc>
        <w:tc>
          <w:tcPr>
            <w:tcW w:w="0" w:type="auto"/>
            <w:shd w:val="clear" w:color="auto" w:fill="auto"/>
            <w:noWrap/>
            <w:vAlign w:val="center"/>
            <w:hideMark/>
          </w:tcPr>
          <w:p w14:paraId="31753D2D" w14:textId="77777777" w:rsidR="00052610" w:rsidRPr="007526AD" w:rsidRDefault="00052610" w:rsidP="00052610">
            <w:pPr>
              <w:rPr>
                <w:color w:val="000000"/>
                <w:sz w:val="22"/>
                <w:szCs w:val="22"/>
                <w:lang w:val="en-US"/>
              </w:rPr>
            </w:pPr>
            <w:r w:rsidRPr="007526AD">
              <w:rPr>
                <w:color w:val="000000"/>
                <w:sz w:val="22"/>
                <w:szCs w:val="22"/>
                <w:lang w:val="en-US"/>
              </w:rPr>
              <w:t>14.8</w:t>
            </w:r>
          </w:p>
        </w:tc>
        <w:tc>
          <w:tcPr>
            <w:tcW w:w="0" w:type="auto"/>
            <w:shd w:val="clear" w:color="auto" w:fill="auto"/>
            <w:noWrap/>
            <w:vAlign w:val="center"/>
            <w:hideMark/>
          </w:tcPr>
          <w:p w14:paraId="79B8A3F6" w14:textId="77777777" w:rsidR="00052610" w:rsidRPr="007526AD" w:rsidRDefault="00052610" w:rsidP="00052610">
            <w:pPr>
              <w:rPr>
                <w:color w:val="000000"/>
                <w:sz w:val="22"/>
                <w:szCs w:val="22"/>
                <w:lang w:val="en-US"/>
              </w:rPr>
            </w:pPr>
            <w:r w:rsidRPr="007526AD">
              <w:rPr>
                <w:color w:val="000000"/>
                <w:sz w:val="22"/>
                <w:szCs w:val="22"/>
                <w:lang w:val="en-US"/>
              </w:rPr>
              <w:t>14.6</w:t>
            </w:r>
          </w:p>
        </w:tc>
        <w:tc>
          <w:tcPr>
            <w:tcW w:w="0" w:type="auto"/>
            <w:shd w:val="clear" w:color="auto" w:fill="auto"/>
            <w:noWrap/>
            <w:vAlign w:val="center"/>
            <w:hideMark/>
          </w:tcPr>
          <w:p w14:paraId="3B77128C" w14:textId="77777777" w:rsidR="00052610" w:rsidRPr="007526AD" w:rsidRDefault="00052610" w:rsidP="00052610">
            <w:pPr>
              <w:rPr>
                <w:color w:val="000000"/>
                <w:sz w:val="22"/>
                <w:szCs w:val="22"/>
                <w:lang w:val="en-US"/>
              </w:rPr>
            </w:pPr>
            <w:r w:rsidRPr="007526AD">
              <w:rPr>
                <w:color w:val="000000"/>
                <w:sz w:val="22"/>
                <w:szCs w:val="22"/>
                <w:lang w:val="en-US"/>
              </w:rPr>
              <w:t>17.4</w:t>
            </w:r>
          </w:p>
        </w:tc>
        <w:tc>
          <w:tcPr>
            <w:tcW w:w="0" w:type="auto"/>
            <w:shd w:val="clear" w:color="auto" w:fill="auto"/>
            <w:noWrap/>
            <w:vAlign w:val="center"/>
            <w:hideMark/>
          </w:tcPr>
          <w:p w14:paraId="620F5A33" w14:textId="77777777" w:rsidR="00052610" w:rsidRPr="007526AD" w:rsidRDefault="00052610" w:rsidP="00052610">
            <w:pPr>
              <w:rPr>
                <w:color w:val="000000"/>
                <w:sz w:val="22"/>
                <w:szCs w:val="22"/>
                <w:lang w:val="en-US"/>
              </w:rPr>
            </w:pPr>
          </w:p>
        </w:tc>
      </w:tr>
      <w:tr w:rsidR="00FB1F15" w:rsidRPr="007526AD" w14:paraId="71E0ECFB" w14:textId="77777777" w:rsidTr="00DC2123">
        <w:trPr>
          <w:trHeight w:val="340"/>
        </w:trPr>
        <w:tc>
          <w:tcPr>
            <w:tcW w:w="0" w:type="auto"/>
            <w:shd w:val="clear" w:color="auto" w:fill="auto"/>
            <w:noWrap/>
            <w:vAlign w:val="center"/>
            <w:hideMark/>
          </w:tcPr>
          <w:p w14:paraId="7ADC3CF9" w14:textId="3FA955D3" w:rsidR="00052610" w:rsidRPr="007526AD" w:rsidRDefault="00F40477" w:rsidP="00052610">
            <w:pPr>
              <w:rPr>
                <w:color w:val="000000"/>
                <w:sz w:val="22"/>
                <w:szCs w:val="22"/>
                <w:lang w:val="en-US"/>
              </w:rPr>
            </w:pPr>
            <w:r w:rsidRPr="007526AD">
              <w:rPr>
                <w:color w:val="000000"/>
                <w:sz w:val="22"/>
                <w:szCs w:val="22"/>
                <w:lang w:val="en-US"/>
              </w:rPr>
              <w:t>Insomnia</w:t>
            </w:r>
          </w:p>
        </w:tc>
        <w:tc>
          <w:tcPr>
            <w:tcW w:w="0" w:type="auto"/>
            <w:shd w:val="clear" w:color="auto" w:fill="auto"/>
            <w:noWrap/>
            <w:vAlign w:val="center"/>
            <w:hideMark/>
          </w:tcPr>
          <w:p w14:paraId="6E1C20EE" w14:textId="77777777" w:rsidR="00052610" w:rsidRPr="007526AD" w:rsidRDefault="00052610" w:rsidP="00052610">
            <w:pPr>
              <w:rPr>
                <w:color w:val="000000"/>
                <w:sz w:val="22"/>
                <w:szCs w:val="22"/>
                <w:lang w:val="en-US"/>
              </w:rPr>
            </w:pPr>
            <w:r w:rsidRPr="007526AD">
              <w:rPr>
                <w:color w:val="000000"/>
                <w:sz w:val="22"/>
                <w:szCs w:val="22"/>
                <w:lang w:val="en-US"/>
              </w:rPr>
              <w:t>No</w:t>
            </w:r>
          </w:p>
        </w:tc>
        <w:tc>
          <w:tcPr>
            <w:tcW w:w="0" w:type="auto"/>
            <w:shd w:val="clear" w:color="auto" w:fill="auto"/>
            <w:noWrap/>
            <w:vAlign w:val="center"/>
            <w:hideMark/>
          </w:tcPr>
          <w:p w14:paraId="482840C6" w14:textId="77777777" w:rsidR="00052610" w:rsidRPr="007526AD" w:rsidRDefault="00052610" w:rsidP="00052610">
            <w:pPr>
              <w:rPr>
                <w:color w:val="000000"/>
                <w:sz w:val="22"/>
                <w:szCs w:val="22"/>
                <w:lang w:val="en-US"/>
              </w:rPr>
            </w:pPr>
            <w:r w:rsidRPr="007526AD">
              <w:rPr>
                <w:color w:val="000000"/>
                <w:sz w:val="22"/>
                <w:szCs w:val="22"/>
                <w:lang w:val="en-US"/>
              </w:rPr>
              <w:t>86.3</w:t>
            </w:r>
          </w:p>
        </w:tc>
        <w:tc>
          <w:tcPr>
            <w:tcW w:w="0" w:type="auto"/>
            <w:shd w:val="clear" w:color="auto" w:fill="auto"/>
            <w:noWrap/>
            <w:vAlign w:val="center"/>
            <w:hideMark/>
          </w:tcPr>
          <w:p w14:paraId="4B49BE93" w14:textId="77777777" w:rsidR="00052610" w:rsidRPr="007526AD" w:rsidRDefault="00052610" w:rsidP="00052610">
            <w:pPr>
              <w:rPr>
                <w:color w:val="000000"/>
                <w:sz w:val="22"/>
                <w:szCs w:val="22"/>
                <w:lang w:val="en-US"/>
              </w:rPr>
            </w:pPr>
            <w:r w:rsidRPr="007526AD">
              <w:rPr>
                <w:color w:val="000000"/>
                <w:sz w:val="22"/>
                <w:szCs w:val="22"/>
                <w:lang w:val="en-US"/>
              </w:rPr>
              <w:t>87.4</w:t>
            </w:r>
          </w:p>
        </w:tc>
        <w:tc>
          <w:tcPr>
            <w:tcW w:w="0" w:type="auto"/>
            <w:shd w:val="clear" w:color="auto" w:fill="auto"/>
            <w:noWrap/>
            <w:vAlign w:val="center"/>
            <w:hideMark/>
          </w:tcPr>
          <w:p w14:paraId="6720F4A7" w14:textId="77777777" w:rsidR="00052610" w:rsidRPr="007526AD" w:rsidRDefault="00052610" w:rsidP="00052610">
            <w:pPr>
              <w:rPr>
                <w:color w:val="000000"/>
                <w:sz w:val="22"/>
                <w:szCs w:val="22"/>
                <w:lang w:val="en-US"/>
              </w:rPr>
            </w:pPr>
            <w:r w:rsidRPr="007526AD">
              <w:rPr>
                <w:color w:val="000000"/>
                <w:sz w:val="22"/>
                <w:szCs w:val="22"/>
                <w:lang w:val="en-US"/>
              </w:rPr>
              <w:t>70.0</w:t>
            </w:r>
          </w:p>
        </w:tc>
        <w:tc>
          <w:tcPr>
            <w:tcW w:w="0" w:type="auto"/>
            <w:shd w:val="clear" w:color="auto" w:fill="auto"/>
            <w:noWrap/>
            <w:vAlign w:val="center"/>
            <w:hideMark/>
          </w:tcPr>
          <w:p w14:paraId="7656900B" w14:textId="77777777" w:rsidR="00052610" w:rsidRPr="007526AD" w:rsidRDefault="00052610" w:rsidP="00052610">
            <w:pPr>
              <w:rPr>
                <w:color w:val="000000"/>
                <w:sz w:val="22"/>
                <w:szCs w:val="22"/>
                <w:lang w:val="en-US"/>
              </w:rPr>
            </w:pPr>
            <w:r w:rsidRPr="007526AD">
              <w:rPr>
                <w:color w:val="000000"/>
                <w:sz w:val="22"/>
                <w:szCs w:val="22"/>
                <w:lang w:val="en-US"/>
              </w:rPr>
              <w:t>&lt;0.001</w:t>
            </w:r>
          </w:p>
        </w:tc>
      </w:tr>
      <w:tr w:rsidR="00FB1F15" w:rsidRPr="007526AD" w14:paraId="19BC60F5" w14:textId="77777777" w:rsidTr="00DC2123">
        <w:trPr>
          <w:trHeight w:val="340"/>
        </w:trPr>
        <w:tc>
          <w:tcPr>
            <w:tcW w:w="0" w:type="auto"/>
            <w:shd w:val="clear" w:color="auto" w:fill="auto"/>
            <w:noWrap/>
            <w:vAlign w:val="center"/>
            <w:hideMark/>
          </w:tcPr>
          <w:p w14:paraId="5CF0441B" w14:textId="77777777" w:rsidR="00052610" w:rsidRPr="007526AD" w:rsidRDefault="00052610" w:rsidP="00052610">
            <w:pPr>
              <w:rPr>
                <w:color w:val="000000"/>
                <w:sz w:val="22"/>
                <w:szCs w:val="22"/>
                <w:lang w:val="en-US"/>
              </w:rPr>
            </w:pPr>
          </w:p>
        </w:tc>
        <w:tc>
          <w:tcPr>
            <w:tcW w:w="0" w:type="auto"/>
            <w:shd w:val="clear" w:color="auto" w:fill="auto"/>
            <w:noWrap/>
            <w:vAlign w:val="center"/>
            <w:hideMark/>
          </w:tcPr>
          <w:p w14:paraId="0871A172" w14:textId="77777777" w:rsidR="00052610" w:rsidRPr="007526AD" w:rsidRDefault="00052610" w:rsidP="00052610">
            <w:pPr>
              <w:rPr>
                <w:color w:val="000000"/>
                <w:sz w:val="22"/>
                <w:szCs w:val="22"/>
                <w:lang w:val="en-US"/>
              </w:rPr>
            </w:pPr>
            <w:r w:rsidRPr="007526AD">
              <w:rPr>
                <w:color w:val="000000"/>
                <w:sz w:val="22"/>
                <w:szCs w:val="22"/>
                <w:lang w:val="en-US"/>
              </w:rPr>
              <w:t>Yes</w:t>
            </w:r>
          </w:p>
        </w:tc>
        <w:tc>
          <w:tcPr>
            <w:tcW w:w="0" w:type="auto"/>
            <w:shd w:val="clear" w:color="auto" w:fill="auto"/>
            <w:noWrap/>
            <w:vAlign w:val="center"/>
            <w:hideMark/>
          </w:tcPr>
          <w:p w14:paraId="0A4B3988" w14:textId="77777777" w:rsidR="00052610" w:rsidRPr="007526AD" w:rsidRDefault="00052610" w:rsidP="00052610">
            <w:pPr>
              <w:rPr>
                <w:color w:val="000000"/>
                <w:sz w:val="22"/>
                <w:szCs w:val="22"/>
                <w:lang w:val="en-US"/>
              </w:rPr>
            </w:pPr>
            <w:r w:rsidRPr="007526AD">
              <w:rPr>
                <w:color w:val="000000"/>
                <w:sz w:val="22"/>
                <w:szCs w:val="22"/>
                <w:lang w:val="en-US"/>
              </w:rPr>
              <w:t>13.7</w:t>
            </w:r>
          </w:p>
        </w:tc>
        <w:tc>
          <w:tcPr>
            <w:tcW w:w="0" w:type="auto"/>
            <w:shd w:val="clear" w:color="auto" w:fill="auto"/>
            <w:noWrap/>
            <w:vAlign w:val="center"/>
            <w:hideMark/>
          </w:tcPr>
          <w:p w14:paraId="02EAC2D8" w14:textId="77777777" w:rsidR="00052610" w:rsidRPr="007526AD" w:rsidRDefault="00052610" w:rsidP="00052610">
            <w:pPr>
              <w:rPr>
                <w:color w:val="000000"/>
                <w:sz w:val="22"/>
                <w:szCs w:val="22"/>
                <w:lang w:val="en-US"/>
              </w:rPr>
            </w:pPr>
            <w:r w:rsidRPr="007526AD">
              <w:rPr>
                <w:color w:val="000000"/>
                <w:sz w:val="22"/>
                <w:szCs w:val="22"/>
                <w:lang w:val="en-US"/>
              </w:rPr>
              <w:t>12.6</w:t>
            </w:r>
          </w:p>
        </w:tc>
        <w:tc>
          <w:tcPr>
            <w:tcW w:w="0" w:type="auto"/>
            <w:shd w:val="clear" w:color="auto" w:fill="auto"/>
            <w:noWrap/>
            <w:vAlign w:val="center"/>
            <w:hideMark/>
          </w:tcPr>
          <w:p w14:paraId="034180EF" w14:textId="77777777" w:rsidR="00052610" w:rsidRPr="007526AD" w:rsidRDefault="00052610" w:rsidP="00052610">
            <w:pPr>
              <w:rPr>
                <w:color w:val="000000"/>
                <w:sz w:val="22"/>
                <w:szCs w:val="22"/>
                <w:lang w:val="en-US"/>
              </w:rPr>
            </w:pPr>
            <w:r w:rsidRPr="007526AD">
              <w:rPr>
                <w:color w:val="000000"/>
                <w:sz w:val="22"/>
                <w:szCs w:val="22"/>
                <w:lang w:val="en-US"/>
              </w:rPr>
              <w:t>30.0</w:t>
            </w:r>
          </w:p>
        </w:tc>
        <w:tc>
          <w:tcPr>
            <w:tcW w:w="0" w:type="auto"/>
            <w:shd w:val="clear" w:color="auto" w:fill="auto"/>
            <w:noWrap/>
            <w:vAlign w:val="center"/>
            <w:hideMark/>
          </w:tcPr>
          <w:p w14:paraId="02FC079A" w14:textId="77777777" w:rsidR="00052610" w:rsidRPr="007526AD" w:rsidRDefault="00052610" w:rsidP="00052610">
            <w:pPr>
              <w:rPr>
                <w:color w:val="000000"/>
                <w:sz w:val="22"/>
                <w:szCs w:val="22"/>
                <w:lang w:val="en-US"/>
              </w:rPr>
            </w:pPr>
          </w:p>
        </w:tc>
      </w:tr>
      <w:tr w:rsidR="00FB1F15" w:rsidRPr="007526AD" w14:paraId="5BAADD51" w14:textId="77777777" w:rsidTr="00DC2123">
        <w:trPr>
          <w:trHeight w:val="340"/>
        </w:trPr>
        <w:tc>
          <w:tcPr>
            <w:tcW w:w="0" w:type="auto"/>
            <w:shd w:val="clear" w:color="auto" w:fill="auto"/>
            <w:noWrap/>
            <w:vAlign w:val="center"/>
            <w:hideMark/>
          </w:tcPr>
          <w:p w14:paraId="6AE043D3" w14:textId="77777777" w:rsidR="00052610" w:rsidRPr="007526AD" w:rsidRDefault="00052610" w:rsidP="00052610">
            <w:pPr>
              <w:rPr>
                <w:color w:val="000000"/>
                <w:sz w:val="22"/>
                <w:szCs w:val="22"/>
                <w:lang w:val="en-US"/>
              </w:rPr>
            </w:pPr>
            <w:r w:rsidRPr="007526AD">
              <w:rPr>
                <w:color w:val="000000"/>
                <w:sz w:val="22"/>
                <w:szCs w:val="22"/>
                <w:lang w:val="en-US"/>
              </w:rPr>
              <w:t>Depression</w:t>
            </w:r>
          </w:p>
        </w:tc>
        <w:tc>
          <w:tcPr>
            <w:tcW w:w="0" w:type="auto"/>
            <w:shd w:val="clear" w:color="auto" w:fill="auto"/>
            <w:noWrap/>
            <w:vAlign w:val="center"/>
            <w:hideMark/>
          </w:tcPr>
          <w:p w14:paraId="3896EED5" w14:textId="77777777" w:rsidR="00052610" w:rsidRPr="007526AD" w:rsidRDefault="00052610" w:rsidP="00052610">
            <w:pPr>
              <w:rPr>
                <w:color w:val="000000"/>
                <w:sz w:val="22"/>
                <w:szCs w:val="22"/>
                <w:lang w:val="en-US"/>
              </w:rPr>
            </w:pPr>
            <w:r w:rsidRPr="007526AD">
              <w:rPr>
                <w:color w:val="000000"/>
                <w:sz w:val="22"/>
                <w:szCs w:val="22"/>
                <w:lang w:val="en-US"/>
              </w:rPr>
              <w:t>No</w:t>
            </w:r>
          </w:p>
        </w:tc>
        <w:tc>
          <w:tcPr>
            <w:tcW w:w="0" w:type="auto"/>
            <w:shd w:val="clear" w:color="auto" w:fill="auto"/>
            <w:noWrap/>
            <w:vAlign w:val="center"/>
            <w:hideMark/>
          </w:tcPr>
          <w:p w14:paraId="1155287D" w14:textId="77777777" w:rsidR="00052610" w:rsidRPr="007526AD" w:rsidRDefault="00052610" w:rsidP="00052610">
            <w:pPr>
              <w:rPr>
                <w:color w:val="000000"/>
                <w:sz w:val="22"/>
                <w:szCs w:val="22"/>
                <w:lang w:val="en-US"/>
              </w:rPr>
            </w:pPr>
            <w:r w:rsidRPr="007526AD">
              <w:rPr>
                <w:color w:val="000000"/>
                <w:sz w:val="22"/>
                <w:szCs w:val="22"/>
                <w:lang w:val="en-US"/>
              </w:rPr>
              <w:t>97.0</w:t>
            </w:r>
          </w:p>
        </w:tc>
        <w:tc>
          <w:tcPr>
            <w:tcW w:w="0" w:type="auto"/>
            <w:shd w:val="clear" w:color="auto" w:fill="auto"/>
            <w:noWrap/>
            <w:vAlign w:val="center"/>
            <w:hideMark/>
          </w:tcPr>
          <w:p w14:paraId="0AFF055A" w14:textId="77777777" w:rsidR="00052610" w:rsidRPr="007526AD" w:rsidRDefault="00052610" w:rsidP="00052610">
            <w:pPr>
              <w:rPr>
                <w:color w:val="000000"/>
                <w:sz w:val="22"/>
                <w:szCs w:val="22"/>
                <w:lang w:val="en-US"/>
              </w:rPr>
            </w:pPr>
            <w:r w:rsidRPr="007526AD">
              <w:rPr>
                <w:color w:val="000000"/>
                <w:sz w:val="22"/>
                <w:szCs w:val="22"/>
                <w:lang w:val="en-US"/>
              </w:rPr>
              <w:t>97.7</w:t>
            </w:r>
          </w:p>
        </w:tc>
        <w:tc>
          <w:tcPr>
            <w:tcW w:w="0" w:type="auto"/>
            <w:shd w:val="clear" w:color="auto" w:fill="auto"/>
            <w:noWrap/>
            <w:vAlign w:val="center"/>
            <w:hideMark/>
          </w:tcPr>
          <w:p w14:paraId="747CFB2D" w14:textId="77777777" w:rsidR="00052610" w:rsidRPr="007526AD" w:rsidRDefault="00052610" w:rsidP="00052610">
            <w:pPr>
              <w:rPr>
                <w:color w:val="000000"/>
                <w:sz w:val="22"/>
                <w:szCs w:val="22"/>
                <w:lang w:val="en-US"/>
              </w:rPr>
            </w:pPr>
            <w:r w:rsidRPr="007526AD">
              <w:rPr>
                <w:color w:val="000000"/>
                <w:sz w:val="22"/>
                <w:szCs w:val="22"/>
                <w:lang w:val="en-US"/>
              </w:rPr>
              <w:t>88.1</w:t>
            </w:r>
          </w:p>
        </w:tc>
        <w:tc>
          <w:tcPr>
            <w:tcW w:w="0" w:type="auto"/>
            <w:shd w:val="clear" w:color="auto" w:fill="auto"/>
            <w:noWrap/>
            <w:vAlign w:val="center"/>
            <w:hideMark/>
          </w:tcPr>
          <w:p w14:paraId="79BCD100" w14:textId="77777777" w:rsidR="00052610" w:rsidRPr="007526AD" w:rsidRDefault="00052610" w:rsidP="00052610">
            <w:pPr>
              <w:rPr>
                <w:color w:val="000000"/>
                <w:sz w:val="22"/>
                <w:szCs w:val="22"/>
                <w:lang w:val="en-US"/>
              </w:rPr>
            </w:pPr>
            <w:r w:rsidRPr="007526AD">
              <w:rPr>
                <w:color w:val="000000"/>
                <w:sz w:val="22"/>
                <w:szCs w:val="22"/>
                <w:lang w:val="en-US"/>
              </w:rPr>
              <w:t>&lt;0.001</w:t>
            </w:r>
          </w:p>
        </w:tc>
      </w:tr>
      <w:tr w:rsidR="00FB1F15" w:rsidRPr="007526AD" w14:paraId="5E423B20" w14:textId="77777777" w:rsidTr="00DC2123">
        <w:trPr>
          <w:trHeight w:val="340"/>
        </w:trPr>
        <w:tc>
          <w:tcPr>
            <w:tcW w:w="0" w:type="auto"/>
            <w:shd w:val="clear" w:color="auto" w:fill="auto"/>
            <w:noWrap/>
            <w:vAlign w:val="center"/>
            <w:hideMark/>
          </w:tcPr>
          <w:p w14:paraId="44F9510E" w14:textId="77777777" w:rsidR="00052610" w:rsidRPr="007526AD" w:rsidRDefault="00052610" w:rsidP="00052610">
            <w:pPr>
              <w:rPr>
                <w:color w:val="000000"/>
                <w:sz w:val="22"/>
                <w:szCs w:val="22"/>
                <w:lang w:val="en-US"/>
              </w:rPr>
            </w:pPr>
          </w:p>
        </w:tc>
        <w:tc>
          <w:tcPr>
            <w:tcW w:w="0" w:type="auto"/>
            <w:shd w:val="clear" w:color="auto" w:fill="auto"/>
            <w:noWrap/>
            <w:vAlign w:val="center"/>
            <w:hideMark/>
          </w:tcPr>
          <w:p w14:paraId="2BA75DC1" w14:textId="77777777" w:rsidR="00052610" w:rsidRPr="007526AD" w:rsidRDefault="00052610" w:rsidP="00052610">
            <w:pPr>
              <w:rPr>
                <w:color w:val="000000"/>
                <w:sz w:val="22"/>
                <w:szCs w:val="22"/>
                <w:lang w:val="en-US"/>
              </w:rPr>
            </w:pPr>
            <w:r w:rsidRPr="007526AD">
              <w:rPr>
                <w:color w:val="000000"/>
                <w:sz w:val="22"/>
                <w:szCs w:val="22"/>
                <w:lang w:val="en-US"/>
              </w:rPr>
              <w:t>Yes</w:t>
            </w:r>
          </w:p>
        </w:tc>
        <w:tc>
          <w:tcPr>
            <w:tcW w:w="0" w:type="auto"/>
            <w:shd w:val="clear" w:color="auto" w:fill="auto"/>
            <w:noWrap/>
            <w:vAlign w:val="center"/>
            <w:hideMark/>
          </w:tcPr>
          <w:p w14:paraId="4EC47C85" w14:textId="77777777" w:rsidR="00052610" w:rsidRPr="007526AD" w:rsidRDefault="00052610" w:rsidP="00052610">
            <w:pPr>
              <w:rPr>
                <w:color w:val="000000"/>
                <w:sz w:val="22"/>
                <w:szCs w:val="22"/>
                <w:lang w:val="en-US"/>
              </w:rPr>
            </w:pPr>
            <w:r w:rsidRPr="007526AD">
              <w:rPr>
                <w:color w:val="000000"/>
                <w:sz w:val="22"/>
                <w:szCs w:val="22"/>
                <w:lang w:val="en-US"/>
              </w:rPr>
              <w:t>3.0</w:t>
            </w:r>
          </w:p>
        </w:tc>
        <w:tc>
          <w:tcPr>
            <w:tcW w:w="0" w:type="auto"/>
            <w:shd w:val="clear" w:color="auto" w:fill="auto"/>
            <w:noWrap/>
            <w:vAlign w:val="center"/>
            <w:hideMark/>
          </w:tcPr>
          <w:p w14:paraId="62E9D820" w14:textId="77777777" w:rsidR="00052610" w:rsidRPr="007526AD" w:rsidRDefault="00052610" w:rsidP="00052610">
            <w:pPr>
              <w:rPr>
                <w:color w:val="000000"/>
                <w:sz w:val="22"/>
                <w:szCs w:val="22"/>
                <w:lang w:val="en-US"/>
              </w:rPr>
            </w:pPr>
            <w:r w:rsidRPr="007526AD">
              <w:rPr>
                <w:color w:val="000000"/>
                <w:sz w:val="22"/>
                <w:szCs w:val="22"/>
                <w:lang w:val="en-US"/>
              </w:rPr>
              <w:t>2.3</w:t>
            </w:r>
          </w:p>
        </w:tc>
        <w:tc>
          <w:tcPr>
            <w:tcW w:w="0" w:type="auto"/>
            <w:shd w:val="clear" w:color="auto" w:fill="auto"/>
            <w:noWrap/>
            <w:vAlign w:val="center"/>
            <w:hideMark/>
          </w:tcPr>
          <w:p w14:paraId="40152D59" w14:textId="77777777" w:rsidR="00052610" w:rsidRPr="007526AD" w:rsidRDefault="00052610" w:rsidP="00052610">
            <w:pPr>
              <w:rPr>
                <w:color w:val="000000"/>
                <w:sz w:val="22"/>
                <w:szCs w:val="22"/>
                <w:lang w:val="en-US"/>
              </w:rPr>
            </w:pPr>
            <w:r w:rsidRPr="007526AD">
              <w:rPr>
                <w:color w:val="000000"/>
                <w:sz w:val="22"/>
                <w:szCs w:val="22"/>
                <w:lang w:val="en-US"/>
              </w:rPr>
              <w:t>11.9</w:t>
            </w:r>
          </w:p>
        </w:tc>
        <w:tc>
          <w:tcPr>
            <w:tcW w:w="0" w:type="auto"/>
            <w:shd w:val="clear" w:color="auto" w:fill="auto"/>
            <w:noWrap/>
            <w:vAlign w:val="center"/>
            <w:hideMark/>
          </w:tcPr>
          <w:p w14:paraId="0779947D" w14:textId="77777777" w:rsidR="00052610" w:rsidRPr="007526AD" w:rsidRDefault="00052610" w:rsidP="00052610">
            <w:pPr>
              <w:rPr>
                <w:color w:val="000000"/>
                <w:sz w:val="22"/>
                <w:szCs w:val="22"/>
                <w:lang w:val="en-US"/>
              </w:rPr>
            </w:pPr>
          </w:p>
        </w:tc>
      </w:tr>
      <w:tr w:rsidR="00FB1F15" w:rsidRPr="007526AD" w14:paraId="16E754FA" w14:textId="77777777" w:rsidTr="00DC2123">
        <w:trPr>
          <w:trHeight w:val="340"/>
        </w:trPr>
        <w:tc>
          <w:tcPr>
            <w:tcW w:w="0" w:type="auto"/>
            <w:shd w:val="clear" w:color="auto" w:fill="auto"/>
            <w:noWrap/>
            <w:vAlign w:val="center"/>
            <w:hideMark/>
          </w:tcPr>
          <w:p w14:paraId="2DE331EA" w14:textId="77777777" w:rsidR="00052610" w:rsidRPr="007526AD" w:rsidRDefault="00052610" w:rsidP="00052610">
            <w:pPr>
              <w:rPr>
                <w:color w:val="000000"/>
                <w:sz w:val="22"/>
                <w:szCs w:val="22"/>
                <w:lang w:val="en-US"/>
              </w:rPr>
            </w:pPr>
            <w:r w:rsidRPr="007526AD">
              <w:rPr>
                <w:color w:val="000000"/>
                <w:sz w:val="22"/>
                <w:szCs w:val="22"/>
                <w:lang w:val="en-US"/>
              </w:rPr>
              <w:t>Anxiety</w:t>
            </w:r>
          </w:p>
        </w:tc>
        <w:tc>
          <w:tcPr>
            <w:tcW w:w="0" w:type="auto"/>
            <w:shd w:val="clear" w:color="auto" w:fill="auto"/>
            <w:noWrap/>
            <w:vAlign w:val="center"/>
            <w:hideMark/>
          </w:tcPr>
          <w:p w14:paraId="7FFE9813" w14:textId="77777777" w:rsidR="00052610" w:rsidRPr="007526AD" w:rsidRDefault="00052610" w:rsidP="00052610">
            <w:pPr>
              <w:rPr>
                <w:color w:val="000000"/>
                <w:sz w:val="22"/>
                <w:szCs w:val="22"/>
                <w:lang w:val="en-US"/>
              </w:rPr>
            </w:pPr>
            <w:r w:rsidRPr="007526AD">
              <w:rPr>
                <w:color w:val="000000"/>
                <w:sz w:val="22"/>
                <w:szCs w:val="22"/>
                <w:lang w:val="en-US"/>
              </w:rPr>
              <w:t>No</w:t>
            </w:r>
          </w:p>
        </w:tc>
        <w:tc>
          <w:tcPr>
            <w:tcW w:w="0" w:type="auto"/>
            <w:shd w:val="clear" w:color="auto" w:fill="auto"/>
            <w:noWrap/>
            <w:vAlign w:val="center"/>
            <w:hideMark/>
          </w:tcPr>
          <w:p w14:paraId="651D0856" w14:textId="77777777" w:rsidR="00052610" w:rsidRPr="007526AD" w:rsidRDefault="00052610" w:rsidP="00052610">
            <w:pPr>
              <w:rPr>
                <w:color w:val="000000"/>
                <w:sz w:val="22"/>
                <w:szCs w:val="22"/>
                <w:lang w:val="en-US"/>
              </w:rPr>
            </w:pPr>
            <w:r w:rsidRPr="007526AD">
              <w:rPr>
                <w:color w:val="000000"/>
                <w:sz w:val="22"/>
                <w:szCs w:val="22"/>
                <w:lang w:val="en-US"/>
              </w:rPr>
              <w:t>93.3</w:t>
            </w:r>
          </w:p>
        </w:tc>
        <w:tc>
          <w:tcPr>
            <w:tcW w:w="0" w:type="auto"/>
            <w:shd w:val="clear" w:color="auto" w:fill="auto"/>
            <w:noWrap/>
            <w:vAlign w:val="center"/>
            <w:hideMark/>
          </w:tcPr>
          <w:p w14:paraId="25D5B9C3" w14:textId="77777777" w:rsidR="00052610" w:rsidRPr="007526AD" w:rsidRDefault="00052610" w:rsidP="00052610">
            <w:pPr>
              <w:rPr>
                <w:color w:val="000000"/>
                <w:sz w:val="22"/>
                <w:szCs w:val="22"/>
                <w:lang w:val="en-US"/>
              </w:rPr>
            </w:pPr>
            <w:r w:rsidRPr="007526AD">
              <w:rPr>
                <w:color w:val="000000"/>
                <w:sz w:val="22"/>
                <w:szCs w:val="22"/>
                <w:lang w:val="en-US"/>
              </w:rPr>
              <w:t>94.6</w:t>
            </w:r>
          </w:p>
        </w:tc>
        <w:tc>
          <w:tcPr>
            <w:tcW w:w="0" w:type="auto"/>
            <w:shd w:val="clear" w:color="auto" w:fill="auto"/>
            <w:noWrap/>
            <w:vAlign w:val="center"/>
            <w:hideMark/>
          </w:tcPr>
          <w:p w14:paraId="1344449C" w14:textId="77777777" w:rsidR="00052610" w:rsidRPr="007526AD" w:rsidRDefault="00052610" w:rsidP="00052610">
            <w:pPr>
              <w:rPr>
                <w:color w:val="000000"/>
                <w:sz w:val="22"/>
                <w:szCs w:val="22"/>
                <w:lang w:val="en-US"/>
              </w:rPr>
            </w:pPr>
            <w:r w:rsidRPr="007526AD">
              <w:rPr>
                <w:color w:val="000000"/>
                <w:sz w:val="22"/>
                <w:szCs w:val="22"/>
                <w:lang w:val="en-US"/>
              </w:rPr>
              <w:t>74.7</w:t>
            </w:r>
          </w:p>
        </w:tc>
        <w:tc>
          <w:tcPr>
            <w:tcW w:w="0" w:type="auto"/>
            <w:shd w:val="clear" w:color="auto" w:fill="auto"/>
            <w:noWrap/>
            <w:vAlign w:val="center"/>
            <w:hideMark/>
          </w:tcPr>
          <w:p w14:paraId="3D08D530" w14:textId="77777777" w:rsidR="00052610" w:rsidRPr="007526AD" w:rsidRDefault="00052610" w:rsidP="00052610">
            <w:pPr>
              <w:rPr>
                <w:color w:val="000000"/>
                <w:sz w:val="22"/>
                <w:szCs w:val="22"/>
                <w:lang w:val="en-US"/>
              </w:rPr>
            </w:pPr>
            <w:r w:rsidRPr="007526AD">
              <w:rPr>
                <w:color w:val="000000"/>
                <w:sz w:val="22"/>
                <w:szCs w:val="22"/>
                <w:lang w:val="en-US"/>
              </w:rPr>
              <w:t>&lt;0.001</w:t>
            </w:r>
          </w:p>
        </w:tc>
      </w:tr>
      <w:tr w:rsidR="00FB1F15" w:rsidRPr="007526AD" w14:paraId="77CAE524" w14:textId="77777777" w:rsidTr="00DC2123">
        <w:trPr>
          <w:trHeight w:val="340"/>
        </w:trPr>
        <w:tc>
          <w:tcPr>
            <w:tcW w:w="0" w:type="auto"/>
            <w:shd w:val="clear" w:color="auto" w:fill="auto"/>
            <w:noWrap/>
            <w:vAlign w:val="center"/>
            <w:hideMark/>
          </w:tcPr>
          <w:p w14:paraId="43B3B9AF" w14:textId="77777777" w:rsidR="00052610" w:rsidRPr="007526AD" w:rsidRDefault="00052610" w:rsidP="00052610">
            <w:pPr>
              <w:rPr>
                <w:color w:val="000000"/>
                <w:sz w:val="22"/>
                <w:szCs w:val="22"/>
                <w:lang w:val="en-US"/>
              </w:rPr>
            </w:pPr>
          </w:p>
        </w:tc>
        <w:tc>
          <w:tcPr>
            <w:tcW w:w="0" w:type="auto"/>
            <w:shd w:val="clear" w:color="auto" w:fill="auto"/>
            <w:noWrap/>
            <w:vAlign w:val="center"/>
            <w:hideMark/>
          </w:tcPr>
          <w:p w14:paraId="60E7579F" w14:textId="77777777" w:rsidR="00052610" w:rsidRPr="007526AD" w:rsidRDefault="00052610" w:rsidP="00052610">
            <w:pPr>
              <w:rPr>
                <w:color w:val="000000"/>
                <w:sz w:val="22"/>
                <w:szCs w:val="22"/>
                <w:lang w:val="en-US"/>
              </w:rPr>
            </w:pPr>
            <w:r w:rsidRPr="007526AD">
              <w:rPr>
                <w:color w:val="000000"/>
                <w:sz w:val="22"/>
                <w:szCs w:val="22"/>
                <w:lang w:val="en-US"/>
              </w:rPr>
              <w:t>Yes</w:t>
            </w:r>
          </w:p>
        </w:tc>
        <w:tc>
          <w:tcPr>
            <w:tcW w:w="0" w:type="auto"/>
            <w:shd w:val="clear" w:color="auto" w:fill="auto"/>
            <w:noWrap/>
            <w:vAlign w:val="center"/>
            <w:hideMark/>
          </w:tcPr>
          <w:p w14:paraId="261961EE" w14:textId="77777777" w:rsidR="00052610" w:rsidRPr="007526AD" w:rsidRDefault="00052610" w:rsidP="00052610">
            <w:pPr>
              <w:rPr>
                <w:color w:val="000000"/>
                <w:sz w:val="22"/>
                <w:szCs w:val="22"/>
                <w:lang w:val="en-US"/>
              </w:rPr>
            </w:pPr>
            <w:r w:rsidRPr="007526AD">
              <w:rPr>
                <w:color w:val="000000"/>
                <w:sz w:val="22"/>
                <w:szCs w:val="22"/>
                <w:lang w:val="en-US"/>
              </w:rPr>
              <w:t>6.7</w:t>
            </w:r>
          </w:p>
        </w:tc>
        <w:tc>
          <w:tcPr>
            <w:tcW w:w="0" w:type="auto"/>
            <w:shd w:val="clear" w:color="auto" w:fill="auto"/>
            <w:noWrap/>
            <w:vAlign w:val="center"/>
            <w:hideMark/>
          </w:tcPr>
          <w:p w14:paraId="36CEA1E8" w14:textId="77777777" w:rsidR="00052610" w:rsidRPr="007526AD" w:rsidRDefault="00052610" w:rsidP="00052610">
            <w:pPr>
              <w:rPr>
                <w:color w:val="000000"/>
                <w:sz w:val="22"/>
                <w:szCs w:val="22"/>
                <w:lang w:val="en-US"/>
              </w:rPr>
            </w:pPr>
            <w:r w:rsidRPr="007526AD">
              <w:rPr>
                <w:color w:val="000000"/>
                <w:sz w:val="22"/>
                <w:szCs w:val="22"/>
                <w:lang w:val="en-US"/>
              </w:rPr>
              <w:t>5.4</w:t>
            </w:r>
          </w:p>
        </w:tc>
        <w:tc>
          <w:tcPr>
            <w:tcW w:w="0" w:type="auto"/>
            <w:shd w:val="clear" w:color="auto" w:fill="auto"/>
            <w:noWrap/>
            <w:vAlign w:val="center"/>
            <w:hideMark/>
          </w:tcPr>
          <w:p w14:paraId="30260ED5" w14:textId="77777777" w:rsidR="00052610" w:rsidRPr="007526AD" w:rsidRDefault="00052610" w:rsidP="00052610">
            <w:pPr>
              <w:rPr>
                <w:color w:val="000000"/>
                <w:sz w:val="22"/>
                <w:szCs w:val="22"/>
                <w:lang w:val="en-US"/>
              </w:rPr>
            </w:pPr>
            <w:r w:rsidRPr="007526AD">
              <w:rPr>
                <w:color w:val="000000"/>
                <w:sz w:val="22"/>
                <w:szCs w:val="22"/>
                <w:lang w:val="en-US"/>
              </w:rPr>
              <w:t>25.3</w:t>
            </w:r>
          </w:p>
        </w:tc>
        <w:tc>
          <w:tcPr>
            <w:tcW w:w="0" w:type="auto"/>
            <w:shd w:val="clear" w:color="auto" w:fill="auto"/>
            <w:noWrap/>
            <w:vAlign w:val="center"/>
            <w:hideMark/>
          </w:tcPr>
          <w:p w14:paraId="3F13DB25" w14:textId="77777777" w:rsidR="00052610" w:rsidRPr="007526AD" w:rsidRDefault="00052610" w:rsidP="00052610">
            <w:pPr>
              <w:rPr>
                <w:color w:val="000000"/>
                <w:sz w:val="22"/>
                <w:szCs w:val="22"/>
                <w:lang w:val="en-US"/>
              </w:rPr>
            </w:pPr>
          </w:p>
        </w:tc>
      </w:tr>
      <w:tr w:rsidR="00FB1F15" w:rsidRPr="007526AD" w14:paraId="4099FCEC" w14:textId="77777777" w:rsidTr="00DC2123">
        <w:trPr>
          <w:trHeight w:val="340"/>
        </w:trPr>
        <w:tc>
          <w:tcPr>
            <w:tcW w:w="0" w:type="auto"/>
            <w:shd w:val="clear" w:color="auto" w:fill="auto"/>
            <w:noWrap/>
            <w:vAlign w:val="center"/>
            <w:hideMark/>
          </w:tcPr>
          <w:p w14:paraId="3DC599F4" w14:textId="77777777" w:rsidR="00052610" w:rsidRPr="007526AD" w:rsidRDefault="00052610" w:rsidP="00052610">
            <w:pPr>
              <w:rPr>
                <w:color w:val="000000"/>
                <w:sz w:val="22"/>
                <w:szCs w:val="22"/>
                <w:lang w:val="en-US"/>
              </w:rPr>
            </w:pPr>
            <w:r w:rsidRPr="007526AD">
              <w:rPr>
                <w:color w:val="000000"/>
                <w:sz w:val="22"/>
                <w:szCs w:val="22"/>
                <w:lang w:val="en-US"/>
              </w:rPr>
              <w:t>Alcohol dependence</w:t>
            </w:r>
          </w:p>
        </w:tc>
        <w:tc>
          <w:tcPr>
            <w:tcW w:w="0" w:type="auto"/>
            <w:shd w:val="clear" w:color="auto" w:fill="auto"/>
            <w:noWrap/>
            <w:vAlign w:val="center"/>
            <w:hideMark/>
          </w:tcPr>
          <w:p w14:paraId="60AFF37D" w14:textId="77777777" w:rsidR="00052610" w:rsidRPr="007526AD" w:rsidRDefault="00052610" w:rsidP="00052610">
            <w:pPr>
              <w:rPr>
                <w:color w:val="000000"/>
                <w:sz w:val="22"/>
                <w:szCs w:val="22"/>
                <w:lang w:val="en-US"/>
              </w:rPr>
            </w:pPr>
            <w:r w:rsidRPr="007526AD">
              <w:rPr>
                <w:color w:val="000000"/>
                <w:sz w:val="22"/>
                <w:szCs w:val="22"/>
                <w:lang w:val="en-US"/>
              </w:rPr>
              <w:t>No</w:t>
            </w:r>
          </w:p>
        </w:tc>
        <w:tc>
          <w:tcPr>
            <w:tcW w:w="0" w:type="auto"/>
            <w:shd w:val="clear" w:color="auto" w:fill="auto"/>
            <w:noWrap/>
            <w:vAlign w:val="center"/>
            <w:hideMark/>
          </w:tcPr>
          <w:p w14:paraId="591CF80C" w14:textId="77777777" w:rsidR="00052610" w:rsidRPr="007526AD" w:rsidRDefault="00052610" w:rsidP="00052610">
            <w:pPr>
              <w:rPr>
                <w:color w:val="000000"/>
                <w:sz w:val="22"/>
                <w:szCs w:val="22"/>
                <w:lang w:val="en-US"/>
              </w:rPr>
            </w:pPr>
            <w:r w:rsidRPr="007526AD">
              <w:rPr>
                <w:color w:val="000000"/>
                <w:sz w:val="22"/>
                <w:szCs w:val="22"/>
                <w:lang w:val="en-US"/>
              </w:rPr>
              <w:t>94.1</w:t>
            </w:r>
          </w:p>
        </w:tc>
        <w:tc>
          <w:tcPr>
            <w:tcW w:w="0" w:type="auto"/>
            <w:shd w:val="clear" w:color="auto" w:fill="auto"/>
            <w:noWrap/>
            <w:vAlign w:val="center"/>
            <w:hideMark/>
          </w:tcPr>
          <w:p w14:paraId="4764C4F1" w14:textId="77777777" w:rsidR="00052610" w:rsidRPr="007526AD" w:rsidRDefault="00052610" w:rsidP="00052610">
            <w:pPr>
              <w:rPr>
                <w:color w:val="000000"/>
                <w:sz w:val="22"/>
                <w:szCs w:val="22"/>
                <w:lang w:val="en-US"/>
              </w:rPr>
            </w:pPr>
            <w:r w:rsidRPr="007526AD">
              <w:rPr>
                <w:color w:val="000000"/>
                <w:sz w:val="22"/>
                <w:szCs w:val="22"/>
                <w:lang w:val="en-US"/>
              </w:rPr>
              <w:t>94.7</w:t>
            </w:r>
          </w:p>
        </w:tc>
        <w:tc>
          <w:tcPr>
            <w:tcW w:w="0" w:type="auto"/>
            <w:shd w:val="clear" w:color="auto" w:fill="auto"/>
            <w:noWrap/>
            <w:vAlign w:val="center"/>
            <w:hideMark/>
          </w:tcPr>
          <w:p w14:paraId="7FE4308E" w14:textId="77777777" w:rsidR="00052610" w:rsidRPr="007526AD" w:rsidRDefault="00052610" w:rsidP="00052610">
            <w:pPr>
              <w:rPr>
                <w:color w:val="000000"/>
                <w:sz w:val="22"/>
                <w:szCs w:val="22"/>
                <w:lang w:val="en-US"/>
              </w:rPr>
            </w:pPr>
            <w:r w:rsidRPr="007526AD">
              <w:rPr>
                <w:color w:val="000000"/>
                <w:sz w:val="22"/>
                <w:szCs w:val="22"/>
                <w:lang w:val="en-US"/>
              </w:rPr>
              <w:t>85.1</w:t>
            </w:r>
          </w:p>
        </w:tc>
        <w:tc>
          <w:tcPr>
            <w:tcW w:w="0" w:type="auto"/>
            <w:shd w:val="clear" w:color="auto" w:fill="auto"/>
            <w:noWrap/>
            <w:vAlign w:val="center"/>
            <w:hideMark/>
          </w:tcPr>
          <w:p w14:paraId="7027C413" w14:textId="77777777" w:rsidR="00052610" w:rsidRPr="007526AD" w:rsidRDefault="00052610" w:rsidP="00052610">
            <w:pPr>
              <w:rPr>
                <w:color w:val="000000"/>
                <w:sz w:val="22"/>
                <w:szCs w:val="22"/>
                <w:lang w:val="en-US"/>
              </w:rPr>
            </w:pPr>
            <w:r w:rsidRPr="007526AD">
              <w:rPr>
                <w:color w:val="000000"/>
                <w:sz w:val="22"/>
                <w:szCs w:val="22"/>
                <w:lang w:val="en-US"/>
              </w:rPr>
              <w:t>&lt;0.001</w:t>
            </w:r>
          </w:p>
        </w:tc>
      </w:tr>
      <w:tr w:rsidR="00FB1F15" w:rsidRPr="007526AD" w14:paraId="443DFCFE" w14:textId="77777777" w:rsidTr="00DC2123">
        <w:trPr>
          <w:trHeight w:val="340"/>
        </w:trPr>
        <w:tc>
          <w:tcPr>
            <w:tcW w:w="0" w:type="auto"/>
            <w:shd w:val="clear" w:color="auto" w:fill="auto"/>
            <w:noWrap/>
            <w:vAlign w:val="center"/>
            <w:hideMark/>
          </w:tcPr>
          <w:p w14:paraId="6E88B27D" w14:textId="77777777" w:rsidR="00052610" w:rsidRPr="007526AD" w:rsidRDefault="00052610" w:rsidP="00052610">
            <w:pPr>
              <w:rPr>
                <w:color w:val="000000"/>
                <w:sz w:val="22"/>
                <w:szCs w:val="22"/>
                <w:lang w:val="en-US"/>
              </w:rPr>
            </w:pPr>
          </w:p>
        </w:tc>
        <w:tc>
          <w:tcPr>
            <w:tcW w:w="0" w:type="auto"/>
            <w:shd w:val="clear" w:color="auto" w:fill="auto"/>
            <w:noWrap/>
            <w:vAlign w:val="center"/>
            <w:hideMark/>
          </w:tcPr>
          <w:p w14:paraId="0D344D90" w14:textId="77777777" w:rsidR="00052610" w:rsidRPr="007526AD" w:rsidRDefault="00052610" w:rsidP="00052610">
            <w:pPr>
              <w:rPr>
                <w:color w:val="000000"/>
                <w:sz w:val="22"/>
                <w:szCs w:val="22"/>
                <w:lang w:val="en-US"/>
              </w:rPr>
            </w:pPr>
            <w:r w:rsidRPr="007526AD">
              <w:rPr>
                <w:color w:val="000000"/>
                <w:sz w:val="22"/>
                <w:szCs w:val="22"/>
                <w:lang w:val="en-US"/>
              </w:rPr>
              <w:t>Yes</w:t>
            </w:r>
          </w:p>
        </w:tc>
        <w:tc>
          <w:tcPr>
            <w:tcW w:w="0" w:type="auto"/>
            <w:shd w:val="clear" w:color="auto" w:fill="auto"/>
            <w:noWrap/>
            <w:vAlign w:val="center"/>
            <w:hideMark/>
          </w:tcPr>
          <w:p w14:paraId="2A90535F" w14:textId="77777777" w:rsidR="00052610" w:rsidRPr="007526AD" w:rsidRDefault="00052610" w:rsidP="00052610">
            <w:pPr>
              <w:rPr>
                <w:color w:val="000000"/>
                <w:sz w:val="22"/>
                <w:szCs w:val="22"/>
                <w:lang w:val="en-US"/>
              </w:rPr>
            </w:pPr>
            <w:r w:rsidRPr="007526AD">
              <w:rPr>
                <w:color w:val="000000"/>
                <w:sz w:val="22"/>
                <w:szCs w:val="22"/>
                <w:lang w:val="en-US"/>
              </w:rPr>
              <w:t>5.9</w:t>
            </w:r>
          </w:p>
        </w:tc>
        <w:tc>
          <w:tcPr>
            <w:tcW w:w="0" w:type="auto"/>
            <w:shd w:val="clear" w:color="auto" w:fill="auto"/>
            <w:noWrap/>
            <w:vAlign w:val="center"/>
            <w:hideMark/>
          </w:tcPr>
          <w:p w14:paraId="7DDB36FA" w14:textId="77777777" w:rsidR="00052610" w:rsidRPr="007526AD" w:rsidRDefault="00052610" w:rsidP="00052610">
            <w:pPr>
              <w:rPr>
                <w:color w:val="000000"/>
                <w:sz w:val="22"/>
                <w:szCs w:val="22"/>
                <w:lang w:val="en-US"/>
              </w:rPr>
            </w:pPr>
            <w:r w:rsidRPr="007526AD">
              <w:rPr>
                <w:color w:val="000000"/>
                <w:sz w:val="22"/>
                <w:szCs w:val="22"/>
                <w:lang w:val="en-US"/>
              </w:rPr>
              <w:t>5.3</w:t>
            </w:r>
          </w:p>
        </w:tc>
        <w:tc>
          <w:tcPr>
            <w:tcW w:w="0" w:type="auto"/>
            <w:shd w:val="clear" w:color="auto" w:fill="auto"/>
            <w:noWrap/>
            <w:vAlign w:val="center"/>
            <w:hideMark/>
          </w:tcPr>
          <w:p w14:paraId="5DD9225C" w14:textId="77777777" w:rsidR="00052610" w:rsidRPr="007526AD" w:rsidRDefault="00052610" w:rsidP="00052610">
            <w:pPr>
              <w:rPr>
                <w:color w:val="000000"/>
                <w:sz w:val="22"/>
                <w:szCs w:val="22"/>
                <w:lang w:val="en-US"/>
              </w:rPr>
            </w:pPr>
            <w:r w:rsidRPr="007526AD">
              <w:rPr>
                <w:color w:val="000000"/>
                <w:sz w:val="22"/>
                <w:szCs w:val="22"/>
                <w:lang w:val="en-US"/>
              </w:rPr>
              <w:t>14.9</w:t>
            </w:r>
          </w:p>
        </w:tc>
        <w:tc>
          <w:tcPr>
            <w:tcW w:w="0" w:type="auto"/>
            <w:shd w:val="clear" w:color="auto" w:fill="auto"/>
            <w:noWrap/>
            <w:vAlign w:val="center"/>
            <w:hideMark/>
          </w:tcPr>
          <w:p w14:paraId="6E0801E7" w14:textId="77777777" w:rsidR="00052610" w:rsidRPr="007526AD" w:rsidRDefault="00052610" w:rsidP="00052610">
            <w:pPr>
              <w:rPr>
                <w:color w:val="000000"/>
                <w:sz w:val="22"/>
                <w:szCs w:val="22"/>
                <w:lang w:val="en-US"/>
              </w:rPr>
            </w:pPr>
          </w:p>
        </w:tc>
      </w:tr>
      <w:tr w:rsidR="00FB1F15" w:rsidRPr="007526AD" w14:paraId="6E8C3B06" w14:textId="77777777" w:rsidTr="00DC2123">
        <w:trPr>
          <w:trHeight w:val="340"/>
        </w:trPr>
        <w:tc>
          <w:tcPr>
            <w:tcW w:w="0" w:type="auto"/>
            <w:shd w:val="clear" w:color="auto" w:fill="auto"/>
            <w:noWrap/>
            <w:vAlign w:val="center"/>
            <w:hideMark/>
          </w:tcPr>
          <w:p w14:paraId="191F82B4" w14:textId="77777777" w:rsidR="00052610" w:rsidRPr="007526AD" w:rsidRDefault="00052610" w:rsidP="00052610">
            <w:pPr>
              <w:rPr>
                <w:color w:val="000000"/>
                <w:sz w:val="22"/>
                <w:szCs w:val="22"/>
                <w:lang w:val="en-US"/>
              </w:rPr>
            </w:pPr>
            <w:r w:rsidRPr="007526AD">
              <w:rPr>
                <w:color w:val="000000"/>
                <w:sz w:val="22"/>
                <w:szCs w:val="22"/>
                <w:lang w:val="en-US"/>
              </w:rPr>
              <w:t>Lifetime smoking</w:t>
            </w:r>
          </w:p>
        </w:tc>
        <w:tc>
          <w:tcPr>
            <w:tcW w:w="0" w:type="auto"/>
            <w:shd w:val="clear" w:color="auto" w:fill="auto"/>
            <w:noWrap/>
            <w:vAlign w:val="center"/>
            <w:hideMark/>
          </w:tcPr>
          <w:p w14:paraId="68E5F27A" w14:textId="77777777" w:rsidR="00052610" w:rsidRPr="007526AD" w:rsidRDefault="00052610" w:rsidP="00052610">
            <w:pPr>
              <w:rPr>
                <w:color w:val="000000"/>
                <w:sz w:val="22"/>
                <w:szCs w:val="22"/>
                <w:lang w:val="en-US"/>
              </w:rPr>
            </w:pPr>
            <w:r w:rsidRPr="007526AD">
              <w:rPr>
                <w:color w:val="000000"/>
                <w:sz w:val="22"/>
                <w:szCs w:val="22"/>
                <w:lang w:val="en-US"/>
              </w:rPr>
              <w:t>No</w:t>
            </w:r>
          </w:p>
        </w:tc>
        <w:tc>
          <w:tcPr>
            <w:tcW w:w="0" w:type="auto"/>
            <w:shd w:val="clear" w:color="auto" w:fill="auto"/>
            <w:noWrap/>
            <w:vAlign w:val="center"/>
            <w:hideMark/>
          </w:tcPr>
          <w:p w14:paraId="58943046" w14:textId="77777777" w:rsidR="00052610" w:rsidRPr="007526AD" w:rsidRDefault="00052610" w:rsidP="00052610">
            <w:pPr>
              <w:rPr>
                <w:color w:val="000000"/>
                <w:sz w:val="22"/>
                <w:szCs w:val="22"/>
                <w:lang w:val="en-US"/>
              </w:rPr>
            </w:pPr>
            <w:r w:rsidRPr="007526AD">
              <w:rPr>
                <w:color w:val="000000"/>
                <w:sz w:val="22"/>
                <w:szCs w:val="22"/>
                <w:lang w:val="en-US"/>
              </w:rPr>
              <w:t>34.7</w:t>
            </w:r>
          </w:p>
        </w:tc>
        <w:tc>
          <w:tcPr>
            <w:tcW w:w="0" w:type="auto"/>
            <w:shd w:val="clear" w:color="auto" w:fill="auto"/>
            <w:noWrap/>
            <w:vAlign w:val="center"/>
            <w:hideMark/>
          </w:tcPr>
          <w:p w14:paraId="480CD43B" w14:textId="77777777" w:rsidR="00052610" w:rsidRPr="007526AD" w:rsidRDefault="00052610" w:rsidP="00052610">
            <w:pPr>
              <w:rPr>
                <w:color w:val="000000"/>
                <w:sz w:val="22"/>
                <w:szCs w:val="22"/>
                <w:lang w:val="en-US"/>
              </w:rPr>
            </w:pPr>
            <w:r w:rsidRPr="007526AD">
              <w:rPr>
                <w:color w:val="000000"/>
                <w:sz w:val="22"/>
                <w:szCs w:val="22"/>
                <w:lang w:val="en-US"/>
              </w:rPr>
              <w:t>34.8</w:t>
            </w:r>
          </w:p>
        </w:tc>
        <w:tc>
          <w:tcPr>
            <w:tcW w:w="0" w:type="auto"/>
            <w:shd w:val="clear" w:color="auto" w:fill="auto"/>
            <w:noWrap/>
            <w:vAlign w:val="center"/>
            <w:hideMark/>
          </w:tcPr>
          <w:p w14:paraId="2F36BD5E" w14:textId="77777777" w:rsidR="00052610" w:rsidRPr="007526AD" w:rsidRDefault="00052610" w:rsidP="00052610">
            <w:pPr>
              <w:rPr>
                <w:color w:val="000000"/>
                <w:sz w:val="22"/>
                <w:szCs w:val="22"/>
                <w:lang w:val="en-US"/>
              </w:rPr>
            </w:pPr>
            <w:r w:rsidRPr="007526AD">
              <w:rPr>
                <w:color w:val="000000"/>
                <w:sz w:val="22"/>
                <w:szCs w:val="22"/>
                <w:lang w:val="en-US"/>
              </w:rPr>
              <w:t>33.8</w:t>
            </w:r>
          </w:p>
        </w:tc>
        <w:tc>
          <w:tcPr>
            <w:tcW w:w="0" w:type="auto"/>
            <w:shd w:val="clear" w:color="auto" w:fill="auto"/>
            <w:noWrap/>
            <w:vAlign w:val="center"/>
            <w:hideMark/>
          </w:tcPr>
          <w:p w14:paraId="620B8222" w14:textId="77777777" w:rsidR="00052610" w:rsidRPr="007526AD" w:rsidRDefault="00052610" w:rsidP="00052610">
            <w:pPr>
              <w:rPr>
                <w:color w:val="000000"/>
                <w:sz w:val="22"/>
                <w:szCs w:val="22"/>
                <w:lang w:val="en-US"/>
              </w:rPr>
            </w:pPr>
            <w:r w:rsidRPr="007526AD">
              <w:rPr>
                <w:color w:val="000000"/>
                <w:sz w:val="22"/>
                <w:szCs w:val="22"/>
                <w:lang w:val="en-US"/>
              </w:rPr>
              <w:t>0.707</w:t>
            </w:r>
          </w:p>
        </w:tc>
      </w:tr>
      <w:tr w:rsidR="00FB1F15" w:rsidRPr="007526AD" w14:paraId="2CB2AB34" w14:textId="77777777" w:rsidTr="00DC2123">
        <w:trPr>
          <w:trHeight w:val="340"/>
        </w:trPr>
        <w:tc>
          <w:tcPr>
            <w:tcW w:w="0" w:type="auto"/>
            <w:shd w:val="clear" w:color="auto" w:fill="auto"/>
            <w:noWrap/>
            <w:vAlign w:val="center"/>
            <w:hideMark/>
          </w:tcPr>
          <w:p w14:paraId="14C14BDE" w14:textId="77777777" w:rsidR="00052610" w:rsidRPr="007526AD" w:rsidRDefault="00052610" w:rsidP="00052610">
            <w:pPr>
              <w:rPr>
                <w:color w:val="000000"/>
                <w:sz w:val="22"/>
                <w:szCs w:val="22"/>
                <w:lang w:val="en-US"/>
              </w:rPr>
            </w:pPr>
          </w:p>
        </w:tc>
        <w:tc>
          <w:tcPr>
            <w:tcW w:w="0" w:type="auto"/>
            <w:shd w:val="clear" w:color="auto" w:fill="auto"/>
            <w:noWrap/>
            <w:vAlign w:val="center"/>
            <w:hideMark/>
          </w:tcPr>
          <w:p w14:paraId="568852B2" w14:textId="77777777" w:rsidR="00052610" w:rsidRPr="007526AD" w:rsidRDefault="00052610" w:rsidP="00052610">
            <w:pPr>
              <w:rPr>
                <w:color w:val="000000"/>
                <w:sz w:val="22"/>
                <w:szCs w:val="22"/>
                <w:lang w:val="en-US"/>
              </w:rPr>
            </w:pPr>
            <w:r w:rsidRPr="007526AD">
              <w:rPr>
                <w:color w:val="000000"/>
                <w:sz w:val="22"/>
                <w:szCs w:val="22"/>
                <w:lang w:val="en-US"/>
              </w:rPr>
              <w:t>Yes</w:t>
            </w:r>
          </w:p>
        </w:tc>
        <w:tc>
          <w:tcPr>
            <w:tcW w:w="0" w:type="auto"/>
            <w:shd w:val="clear" w:color="auto" w:fill="auto"/>
            <w:noWrap/>
            <w:vAlign w:val="center"/>
            <w:hideMark/>
          </w:tcPr>
          <w:p w14:paraId="46D968B4" w14:textId="77777777" w:rsidR="00052610" w:rsidRPr="007526AD" w:rsidRDefault="00052610" w:rsidP="00052610">
            <w:pPr>
              <w:rPr>
                <w:color w:val="000000"/>
                <w:sz w:val="22"/>
                <w:szCs w:val="22"/>
                <w:lang w:val="en-US"/>
              </w:rPr>
            </w:pPr>
            <w:r w:rsidRPr="007526AD">
              <w:rPr>
                <w:color w:val="000000"/>
                <w:sz w:val="22"/>
                <w:szCs w:val="22"/>
                <w:lang w:val="en-US"/>
              </w:rPr>
              <w:t>65.3</w:t>
            </w:r>
          </w:p>
        </w:tc>
        <w:tc>
          <w:tcPr>
            <w:tcW w:w="0" w:type="auto"/>
            <w:shd w:val="clear" w:color="auto" w:fill="auto"/>
            <w:noWrap/>
            <w:vAlign w:val="center"/>
            <w:hideMark/>
          </w:tcPr>
          <w:p w14:paraId="1D92ACC4" w14:textId="77777777" w:rsidR="00052610" w:rsidRPr="007526AD" w:rsidRDefault="00052610" w:rsidP="00052610">
            <w:pPr>
              <w:rPr>
                <w:color w:val="000000"/>
                <w:sz w:val="22"/>
                <w:szCs w:val="22"/>
                <w:lang w:val="en-US"/>
              </w:rPr>
            </w:pPr>
            <w:r w:rsidRPr="007526AD">
              <w:rPr>
                <w:color w:val="000000"/>
                <w:sz w:val="22"/>
                <w:szCs w:val="22"/>
                <w:lang w:val="en-US"/>
              </w:rPr>
              <w:t>65.2</w:t>
            </w:r>
          </w:p>
        </w:tc>
        <w:tc>
          <w:tcPr>
            <w:tcW w:w="0" w:type="auto"/>
            <w:shd w:val="clear" w:color="auto" w:fill="auto"/>
            <w:noWrap/>
            <w:vAlign w:val="center"/>
            <w:hideMark/>
          </w:tcPr>
          <w:p w14:paraId="1EFA99D8" w14:textId="77777777" w:rsidR="00052610" w:rsidRPr="007526AD" w:rsidRDefault="00052610" w:rsidP="00052610">
            <w:pPr>
              <w:rPr>
                <w:color w:val="000000"/>
                <w:sz w:val="22"/>
                <w:szCs w:val="22"/>
                <w:lang w:val="en-US"/>
              </w:rPr>
            </w:pPr>
            <w:r w:rsidRPr="007526AD">
              <w:rPr>
                <w:color w:val="000000"/>
                <w:sz w:val="22"/>
                <w:szCs w:val="22"/>
                <w:lang w:val="en-US"/>
              </w:rPr>
              <w:t>66.2</w:t>
            </w:r>
          </w:p>
        </w:tc>
        <w:tc>
          <w:tcPr>
            <w:tcW w:w="0" w:type="auto"/>
            <w:shd w:val="clear" w:color="auto" w:fill="auto"/>
            <w:noWrap/>
            <w:vAlign w:val="center"/>
            <w:hideMark/>
          </w:tcPr>
          <w:p w14:paraId="0EECC79E" w14:textId="77777777" w:rsidR="00052610" w:rsidRPr="007526AD" w:rsidRDefault="00052610" w:rsidP="00052610">
            <w:pPr>
              <w:rPr>
                <w:color w:val="000000"/>
                <w:sz w:val="22"/>
                <w:szCs w:val="22"/>
                <w:lang w:val="en-US"/>
              </w:rPr>
            </w:pPr>
          </w:p>
        </w:tc>
      </w:tr>
      <w:tr w:rsidR="00FB1F15" w:rsidRPr="007526AD" w14:paraId="54155279" w14:textId="77777777" w:rsidTr="00DC2123">
        <w:trPr>
          <w:trHeight w:val="340"/>
        </w:trPr>
        <w:tc>
          <w:tcPr>
            <w:tcW w:w="0" w:type="auto"/>
            <w:shd w:val="clear" w:color="auto" w:fill="auto"/>
            <w:noWrap/>
            <w:vAlign w:val="center"/>
            <w:hideMark/>
          </w:tcPr>
          <w:p w14:paraId="5D5EA336" w14:textId="77777777" w:rsidR="00052610" w:rsidRPr="007526AD" w:rsidRDefault="00052610" w:rsidP="00052610">
            <w:pPr>
              <w:rPr>
                <w:color w:val="000000"/>
                <w:sz w:val="22"/>
                <w:szCs w:val="22"/>
                <w:lang w:val="en-US"/>
              </w:rPr>
            </w:pPr>
            <w:r w:rsidRPr="007526AD">
              <w:rPr>
                <w:color w:val="000000"/>
                <w:sz w:val="22"/>
                <w:szCs w:val="22"/>
                <w:lang w:val="en-US"/>
              </w:rPr>
              <w:t>Perceived stress</w:t>
            </w:r>
          </w:p>
        </w:tc>
        <w:tc>
          <w:tcPr>
            <w:tcW w:w="0" w:type="auto"/>
            <w:shd w:val="clear" w:color="auto" w:fill="auto"/>
            <w:noWrap/>
            <w:vAlign w:val="center"/>
            <w:hideMark/>
          </w:tcPr>
          <w:p w14:paraId="12A826BC" w14:textId="77777777" w:rsidR="00052610" w:rsidRPr="007526AD" w:rsidRDefault="00052610" w:rsidP="00052610">
            <w:pPr>
              <w:rPr>
                <w:color w:val="000000"/>
                <w:sz w:val="22"/>
                <w:szCs w:val="22"/>
                <w:lang w:val="en-US"/>
              </w:rPr>
            </w:pPr>
            <w:r w:rsidRPr="007526AD">
              <w:rPr>
                <w:color w:val="000000"/>
                <w:sz w:val="22"/>
                <w:szCs w:val="22"/>
                <w:lang w:val="en-US"/>
              </w:rPr>
              <w:t>Most of the time</w:t>
            </w:r>
          </w:p>
        </w:tc>
        <w:tc>
          <w:tcPr>
            <w:tcW w:w="0" w:type="auto"/>
            <w:shd w:val="clear" w:color="auto" w:fill="auto"/>
            <w:noWrap/>
            <w:vAlign w:val="center"/>
            <w:hideMark/>
          </w:tcPr>
          <w:p w14:paraId="57E2C526" w14:textId="77777777" w:rsidR="00052610" w:rsidRPr="007526AD" w:rsidRDefault="00052610" w:rsidP="00052610">
            <w:pPr>
              <w:rPr>
                <w:color w:val="000000"/>
                <w:sz w:val="22"/>
                <w:szCs w:val="22"/>
                <w:lang w:val="en-US"/>
              </w:rPr>
            </w:pPr>
            <w:r w:rsidRPr="007526AD">
              <w:rPr>
                <w:color w:val="000000"/>
                <w:sz w:val="22"/>
                <w:szCs w:val="22"/>
                <w:lang w:val="en-US"/>
              </w:rPr>
              <w:t>5.7</w:t>
            </w:r>
          </w:p>
        </w:tc>
        <w:tc>
          <w:tcPr>
            <w:tcW w:w="0" w:type="auto"/>
            <w:shd w:val="clear" w:color="auto" w:fill="auto"/>
            <w:noWrap/>
            <w:vAlign w:val="center"/>
            <w:hideMark/>
          </w:tcPr>
          <w:p w14:paraId="31B22E41" w14:textId="77777777" w:rsidR="00052610" w:rsidRPr="007526AD" w:rsidRDefault="00052610" w:rsidP="00052610">
            <w:pPr>
              <w:rPr>
                <w:color w:val="000000"/>
                <w:sz w:val="22"/>
                <w:szCs w:val="22"/>
                <w:lang w:val="en-US"/>
              </w:rPr>
            </w:pPr>
            <w:r w:rsidRPr="007526AD">
              <w:rPr>
                <w:color w:val="000000"/>
                <w:sz w:val="22"/>
                <w:szCs w:val="22"/>
                <w:lang w:val="en-US"/>
              </w:rPr>
              <w:t>5.1</w:t>
            </w:r>
          </w:p>
        </w:tc>
        <w:tc>
          <w:tcPr>
            <w:tcW w:w="0" w:type="auto"/>
            <w:shd w:val="clear" w:color="auto" w:fill="auto"/>
            <w:noWrap/>
            <w:vAlign w:val="center"/>
            <w:hideMark/>
          </w:tcPr>
          <w:p w14:paraId="1BA53939" w14:textId="77777777" w:rsidR="00052610" w:rsidRPr="007526AD" w:rsidRDefault="00052610" w:rsidP="00052610">
            <w:pPr>
              <w:rPr>
                <w:color w:val="000000"/>
                <w:sz w:val="22"/>
                <w:szCs w:val="22"/>
                <w:lang w:val="en-US"/>
              </w:rPr>
            </w:pPr>
            <w:r w:rsidRPr="007526AD">
              <w:rPr>
                <w:color w:val="000000"/>
                <w:sz w:val="22"/>
                <w:szCs w:val="22"/>
                <w:lang w:val="en-US"/>
              </w:rPr>
              <w:t>14.2</w:t>
            </w:r>
          </w:p>
        </w:tc>
        <w:tc>
          <w:tcPr>
            <w:tcW w:w="0" w:type="auto"/>
            <w:shd w:val="clear" w:color="auto" w:fill="auto"/>
            <w:noWrap/>
            <w:vAlign w:val="center"/>
            <w:hideMark/>
          </w:tcPr>
          <w:p w14:paraId="2C910FBB" w14:textId="77777777" w:rsidR="00052610" w:rsidRPr="007526AD" w:rsidRDefault="00052610" w:rsidP="00052610">
            <w:pPr>
              <w:rPr>
                <w:color w:val="000000"/>
                <w:sz w:val="22"/>
                <w:szCs w:val="22"/>
                <w:lang w:val="en-US"/>
              </w:rPr>
            </w:pPr>
            <w:r w:rsidRPr="007526AD">
              <w:rPr>
                <w:color w:val="000000"/>
                <w:sz w:val="22"/>
                <w:szCs w:val="22"/>
                <w:lang w:val="en-US"/>
              </w:rPr>
              <w:t>&lt;0.001</w:t>
            </w:r>
          </w:p>
        </w:tc>
      </w:tr>
      <w:tr w:rsidR="00FB1F15" w:rsidRPr="007526AD" w14:paraId="40FC5DF5" w14:textId="77777777" w:rsidTr="00DC2123">
        <w:trPr>
          <w:trHeight w:val="340"/>
        </w:trPr>
        <w:tc>
          <w:tcPr>
            <w:tcW w:w="0" w:type="auto"/>
            <w:shd w:val="clear" w:color="auto" w:fill="auto"/>
            <w:noWrap/>
            <w:vAlign w:val="center"/>
            <w:hideMark/>
          </w:tcPr>
          <w:p w14:paraId="5109C81E" w14:textId="77777777" w:rsidR="00052610" w:rsidRPr="007526AD" w:rsidRDefault="00052610" w:rsidP="00052610">
            <w:pPr>
              <w:rPr>
                <w:color w:val="000000"/>
                <w:sz w:val="22"/>
                <w:szCs w:val="22"/>
                <w:lang w:val="en-US"/>
              </w:rPr>
            </w:pPr>
          </w:p>
        </w:tc>
        <w:tc>
          <w:tcPr>
            <w:tcW w:w="0" w:type="auto"/>
            <w:shd w:val="clear" w:color="auto" w:fill="auto"/>
            <w:noWrap/>
            <w:vAlign w:val="center"/>
            <w:hideMark/>
          </w:tcPr>
          <w:p w14:paraId="7F4F10C5" w14:textId="77777777" w:rsidR="00052610" w:rsidRPr="007526AD" w:rsidRDefault="00052610" w:rsidP="00052610">
            <w:pPr>
              <w:rPr>
                <w:color w:val="000000"/>
                <w:sz w:val="22"/>
                <w:szCs w:val="22"/>
                <w:lang w:val="en-US"/>
              </w:rPr>
            </w:pPr>
            <w:proofErr w:type="gramStart"/>
            <w:r w:rsidRPr="007526AD">
              <w:rPr>
                <w:color w:val="000000"/>
                <w:sz w:val="22"/>
                <w:szCs w:val="22"/>
                <w:lang w:val="en-US"/>
              </w:rPr>
              <w:t>Usually</w:t>
            </w:r>
            <w:proofErr w:type="gramEnd"/>
          </w:p>
        </w:tc>
        <w:tc>
          <w:tcPr>
            <w:tcW w:w="0" w:type="auto"/>
            <w:shd w:val="clear" w:color="auto" w:fill="auto"/>
            <w:noWrap/>
            <w:vAlign w:val="center"/>
            <w:hideMark/>
          </w:tcPr>
          <w:p w14:paraId="174348A9" w14:textId="77777777" w:rsidR="00052610" w:rsidRPr="007526AD" w:rsidRDefault="00052610" w:rsidP="00052610">
            <w:pPr>
              <w:rPr>
                <w:color w:val="000000"/>
                <w:sz w:val="22"/>
                <w:szCs w:val="22"/>
                <w:lang w:val="en-US"/>
              </w:rPr>
            </w:pPr>
            <w:r w:rsidRPr="007526AD">
              <w:rPr>
                <w:color w:val="000000"/>
                <w:sz w:val="22"/>
                <w:szCs w:val="22"/>
                <w:lang w:val="en-US"/>
              </w:rPr>
              <w:t>7.0</w:t>
            </w:r>
          </w:p>
        </w:tc>
        <w:tc>
          <w:tcPr>
            <w:tcW w:w="0" w:type="auto"/>
            <w:shd w:val="clear" w:color="auto" w:fill="auto"/>
            <w:noWrap/>
            <w:vAlign w:val="center"/>
            <w:hideMark/>
          </w:tcPr>
          <w:p w14:paraId="0B472EE0" w14:textId="77777777" w:rsidR="00052610" w:rsidRPr="007526AD" w:rsidRDefault="00052610" w:rsidP="00052610">
            <w:pPr>
              <w:rPr>
                <w:color w:val="000000"/>
                <w:sz w:val="22"/>
                <w:szCs w:val="22"/>
                <w:lang w:val="en-US"/>
              </w:rPr>
            </w:pPr>
            <w:r w:rsidRPr="007526AD">
              <w:rPr>
                <w:color w:val="000000"/>
                <w:sz w:val="22"/>
                <w:szCs w:val="22"/>
                <w:lang w:val="en-US"/>
              </w:rPr>
              <w:t>6.5</w:t>
            </w:r>
          </w:p>
        </w:tc>
        <w:tc>
          <w:tcPr>
            <w:tcW w:w="0" w:type="auto"/>
            <w:shd w:val="clear" w:color="auto" w:fill="auto"/>
            <w:noWrap/>
            <w:vAlign w:val="center"/>
            <w:hideMark/>
          </w:tcPr>
          <w:p w14:paraId="44DDF2AF" w14:textId="77777777" w:rsidR="00052610" w:rsidRPr="007526AD" w:rsidRDefault="00052610" w:rsidP="00052610">
            <w:pPr>
              <w:rPr>
                <w:color w:val="000000"/>
                <w:sz w:val="22"/>
                <w:szCs w:val="22"/>
                <w:lang w:val="en-US"/>
              </w:rPr>
            </w:pPr>
            <w:r w:rsidRPr="007526AD">
              <w:rPr>
                <w:color w:val="000000"/>
                <w:sz w:val="22"/>
                <w:szCs w:val="22"/>
                <w:lang w:val="en-US"/>
              </w:rPr>
              <w:t>14.1</w:t>
            </w:r>
          </w:p>
        </w:tc>
        <w:tc>
          <w:tcPr>
            <w:tcW w:w="0" w:type="auto"/>
            <w:shd w:val="clear" w:color="auto" w:fill="auto"/>
            <w:noWrap/>
            <w:vAlign w:val="center"/>
            <w:hideMark/>
          </w:tcPr>
          <w:p w14:paraId="11B3FCF8" w14:textId="77777777" w:rsidR="00052610" w:rsidRPr="007526AD" w:rsidRDefault="00052610" w:rsidP="00052610">
            <w:pPr>
              <w:rPr>
                <w:color w:val="000000"/>
                <w:sz w:val="22"/>
                <w:szCs w:val="22"/>
                <w:lang w:val="en-US"/>
              </w:rPr>
            </w:pPr>
          </w:p>
        </w:tc>
      </w:tr>
      <w:tr w:rsidR="00FB1F15" w:rsidRPr="007526AD" w14:paraId="4BBB314D" w14:textId="77777777" w:rsidTr="00DC2123">
        <w:trPr>
          <w:trHeight w:val="340"/>
        </w:trPr>
        <w:tc>
          <w:tcPr>
            <w:tcW w:w="0" w:type="auto"/>
            <w:shd w:val="clear" w:color="auto" w:fill="auto"/>
            <w:noWrap/>
            <w:vAlign w:val="center"/>
            <w:hideMark/>
          </w:tcPr>
          <w:p w14:paraId="2CAD4BC2" w14:textId="77777777" w:rsidR="00052610" w:rsidRPr="007526AD" w:rsidRDefault="00052610" w:rsidP="00052610">
            <w:pPr>
              <w:rPr>
                <w:sz w:val="20"/>
                <w:szCs w:val="20"/>
                <w:lang w:val="en-US"/>
              </w:rPr>
            </w:pPr>
          </w:p>
        </w:tc>
        <w:tc>
          <w:tcPr>
            <w:tcW w:w="0" w:type="auto"/>
            <w:shd w:val="clear" w:color="auto" w:fill="auto"/>
            <w:noWrap/>
            <w:vAlign w:val="center"/>
            <w:hideMark/>
          </w:tcPr>
          <w:p w14:paraId="0F401D75" w14:textId="77777777" w:rsidR="00052610" w:rsidRPr="007526AD" w:rsidRDefault="00052610" w:rsidP="00052610">
            <w:pPr>
              <w:rPr>
                <w:color w:val="000000"/>
                <w:sz w:val="22"/>
                <w:szCs w:val="22"/>
                <w:lang w:val="en-US"/>
              </w:rPr>
            </w:pPr>
            <w:r w:rsidRPr="007526AD">
              <w:rPr>
                <w:color w:val="000000"/>
                <w:sz w:val="22"/>
                <w:szCs w:val="22"/>
                <w:lang w:val="en-US"/>
              </w:rPr>
              <w:t>Occasionally</w:t>
            </w:r>
          </w:p>
        </w:tc>
        <w:tc>
          <w:tcPr>
            <w:tcW w:w="0" w:type="auto"/>
            <w:shd w:val="clear" w:color="auto" w:fill="auto"/>
            <w:noWrap/>
            <w:vAlign w:val="center"/>
            <w:hideMark/>
          </w:tcPr>
          <w:p w14:paraId="29B6CC06" w14:textId="77777777" w:rsidR="00052610" w:rsidRPr="007526AD" w:rsidRDefault="00052610" w:rsidP="00052610">
            <w:pPr>
              <w:rPr>
                <w:color w:val="000000"/>
                <w:sz w:val="22"/>
                <w:szCs w:val="22"/>
                <w:lang w:val="en-US"/>
              </w:rPr>
            </w:pPr>
            <w:r w:rsidRPr="007526AD">
              <w:rPr>
                <w:color w:val="000000"/>
                <w:sz w:val="22"/>
                <w:szCs w:val="22"/>
                <w:lang w:val="en-US"/>
              </w:rPr>
              <w:t>47.9</w:t>
            </w:r>
          </w:p>
        </w:tc>
        <w:tc>
          <w:tcPr>
            <w:tcW w:w="0" w:type="auto"/>
            <w:shd w:val="clear" w:color="auto" w:fill="auto"/>
            <w:noWrap/>
            <w:vAlign w:val="center"/>
            <w:hideMark/>
          </w:tcPr>
          <w:p w14:paraId="64BDD6B2" w14:textId="77777777" w:rsidR="00052610" w:rsidRPr="007526AD" w:rsidRDefault="00052610" w:rsidP="00052610">
            <w:pPr>
              <w:rPr>
                <w:color w:val="000000"/>
                <w:sz w:val="22"/>
                <w:szCs w:val="22"/>
                <w:lang w:val="en-US"/>
              </w:rPr>
            </w:pPr>
            <w:r w:rsidRPr="007526AD">
              <w:rPr>
                <w:color w:val="000000"/>
                <w:sz w:val="22"/>
                <w:szCs w:val="22"/>
                <w:lang w:val="en-US"/>
              </w:rPr>
              <w:t>47.5</w:t>
            </w:r>
          </w:p>
        </w:tc>
        <w:tc>
          <w:tcPr>
            <w:tcW w:w="0" w:type="auto"/>
            <w:shd w:val="clear" w:color="auto" w:fill="auto"/>
            <w:noWrap/>
            <w:vAlign w:val="center"/>
            <w:hideMark/>
          </w:tcPr>
          <w:p w14:paraId="61E266AB" w14:textId="77777777" w:rsidR="00052610" w:rsidRPr="007526AD" w:rsidRDefault="00052610" w:rsidP="00052610">
            <w:pPr>
              <w:rPr>
                <w:color w:val="000000"/>
                <w:sz w:val="22"/>
                <w:szCs w:val="22"/>
                <w:lang w:val="en-US"/>
              </w:rPr>
            </w:pPr>
            <w:r w:rsidRPr="007526AD">
              <w:rPr>
                <w:color w:val="000000"/>
                <w:sz w:val="22"/>
                <w:szCs w:val="22"/>
                <w:lang w:val="en-US"/>
              </w:rPr>
              <w:t>54.0</w:t>
            </w:r>
          </w:p>
        </w:tc>
        <w:tc>
          <w:tcPr>
            <w:tcW w:w="0" w:type="auto"/>
            <w:shd w:val="clear" w:color="auto" w:fill="auto"/>
            <w:noWrap/>
            <w:vAlign w:val="center"/>
            <w:hideMark/>
          </w:tcPr>
          <w:p w14:paraId="45899F90" w14:textId="77777777" w:rsidR="00052610" w:rsidRPr="007526AD" w:rsidRDefault="00052610" w:rsidP="00052610">
            <w:pPr>
              <w:rPr>
                <w:color w:val="000000"/>
                <w:sz w:val="22"/>
                <w:szCs w:val="22"/>
                <w:lang w:val="en-US"/>
              </w:rPr>
            </w:pPr>
          </w:p>
        </w:tc>
      </w:tr>
      <w:tr w:rsidR="00FB1F15" w:rsidRPr="007526AD" w14:paraId="2B5C0258" w14:textId="77777777" w:rsidTr="00DC2123">
        <w:trPr>
          <w:trHeight w:val="340"/>
        </w:trPr>
        <w:tc>
          <w:tcPr>
            <w:tcW w:w="0" w:type="auto"/>
            <w:shd w:val="clear" w:color="auto" w:fill="auto"/>
            <w:noWrap/>
            <w:vAlign w:val="center"/>
            <w:hideMark/>
          </w:tcPr>
          <w:p w14:paraId="675F3694" w14:textId="77777777" w:rsidR="00052610" w:rsidRPr="007526AD" w:rsidRDefault="00052610" w:rsidP="00052610">
            <w:pPr>
              <w:rPr>
                <w:sz w:val="20"/>
                <w:szCs w:val="20"/>
                <w:lang w:val="en-US"/>
              </w:rPr>
            </w:pPr>
          </w:p>
        </w:tc>
        <w:tc>
          <w:tcPr>
            <w:tcW w:w="0" w:type="auto"/>
            <w:shd w:val="clear" w:color="auto" w:fill="auto"/>
            <w:noWrap/>
            <w:vAlign w:val="center"/>
            <w:hideMark/>
          </w:tcPr>
          <w:p w14:paraId="4ABDC347" w14:textId="77777777" w:rsidR="00052610" w:rsidRPr="007526AD" w:rsidRDefault="00052610" w:rsidP="00052610">
            <w:pPr>
              <w:rPr>
                <w:color w:val="000000"/>
                <w:sz w:val="22"/>
                <w:szCs w:val="22"/>
                <w:lang w:val="en-US"/>
              </w:rPr>
            </w:pPr>
            <w:r w:rsidRPr="007526AD">
              <w:rPr>
                <w:color w:val="000000"/>
                <w:sz w:val="22"/>
                <w:szCs w:val="22"/>
                <w:lang w:val="en-US"/>
              </w:rPr>
              <w:t>Not at all</w:t>
            </w:r>
          </w:p>
        </w:tc>
        <w:tc>
          <w:tcPr>
            <w:tcW w:w="0" w:type="auto"/>
            <w:shd w:val="clear" w:color="auto" w:fill="auto"/>
            <w:noWrap/>
            <w:vAlign w:val="center"/>
            <w:hideMark/>
          </w:tcPr>
          <w:p w14:paraId="6CF949C4" w14:textId="77777777" w:rsidR="00052610" w:rsidRPr="007526AD" w:rsidRDefault="00052610" w:rsidP="00052610">
            <w:pPr>
              <w:rPr>
                <w:color w:val="000000"/>
                <w:sz w:val="22"/>
                <w:szCs w:val="22"/>
                <w:lang w:val="en-US"/>
              </w:rPr>
            </w:pPr>
            <w:r w:rsidRPr="007526AD">
              <w:rPr>
                <w:color w:val="000000"/>
                <w:sz w:val="22"/>
                <w:szCs w:val="22"/>
                <w:lang w:val="en-US"/>
              </w:rPr>
              <w:t>39.4</w:t>
            </w:r>
          </w:p>
        </w:tc>
        <w:tc>
          <w:tcPr>
            <w:tcW w:w="0" w:type="auto"/>
            <w:shd w:val="clear" w:color="auto" w:fill="auto"/>
            <w:noWrap/>
            <w:vAlign w:val="center"/>
            <w:hideMark/>
          </w:tcPr>
          <w:p w14:paraId="328FCF47" w14:textId="77777777" w:rsidR="00052610" w:rsidRPr="007526AD" w:rsidRDefault="00052610" w:rsidP="00052610">
            <w:pPr>
              <w:rPr>
                <w:color w:val="000000"/>
                <w:sz w:val="22"/>
                <w:szCs w:val="22"/>
                <w:lang w:val="en-US"/>
              </w:rPr>
            </w:pPr>
            <w:r w:rsidRPr="007526AD">
              <w:rPr>
                <w:color w:val="000000"/>
                <w:sz w:val="22"/>
                <w:szCs w:val="22"/>
                <w:lang w:val="en-US"/>
              </w:rPr>
              <w:t>40.8</w:t>
            </w:r>
          </w:p>
        </w:tc>
        <w:tc>
          <w:tcPr>
            <w:tcW w:w="0" w:type="auto"/>
            <w:shd w:val="clear" w:color="auto" w:fill="auto"/>
            <w:noWrap/>
            <w:vAlign w:val="center"/>
            <w:hideMark/>
          </w:tcPr>
          <w:p w14:paraId="520F9FFF" w14:textId="77777777" w:rsidR="00052610" w:rsidRPr="007526AD" w:rsidRDefault="00052610" w:rsidP="00052610">
            <w:pPr>
              <w:rPr>
                <w:color w:val="000000"/>
                <w:sz w:val="22"/>
                <w:szCs w:val="22"/>
                <w:lang w:val="en-US"/>
              </w:rPr>
            </w:pPr>
            <w:r w:rsidRPr="007526AD">
              <w:rPr>
                <w:color w:val="000000"/>
                <w:sz w:val="22"/>
                <w:szCs w:val="22"/>
                <w:lang w:val="en-US"/>
              </w:rPr>
              <w:t>17.7</w:t>
            </w:r>
          </w:p>
        </w:tc>
        <w:tc>
          <w:tcPr>
            <w:tcW w:w="0" w:type="auto"/>
            <w:shd w:val="clear" w:color="auto" w:fill="auto"/>
            <w:noWrap/>
            <w:vAlign w:val="center"/>
            <w:hideMark/>
          </w:tcPr>
          <w:p w14:paraId="3C79E53C" w14:textId="77777777" w:rsidR="00052610" w:rsidRPr="007526AD" w:rsidRDefault="00052610" w:rsidP="00052610">
            <w:pPr>
              <w:rPr>
                <w:color w:val="000000"/>
                <w:sz w:val="22"/>
                <w:szCs w:val="22"/>
                <w:lang w:val="en-US"/>
              </w:rPr>
            </w:pPr>
          </w:p>
        </w:tc>
      </w:tr>
      <w:tr w:rsidR="00FB1F15" w:rsidRPr="007526AD" w14:paraId="1A82723D" w14:textId="77777777" w:rsidTr="00DC2123">
        <w:trPr>
          <w:trHeight w:val="340"/>
        </w:trPr>
        <w:tc>
          <w:tcPr>
            <w:tcW w:w="0" w:type="auto"/>
            <w:shd w:val="clear" w:color="auto" w:fill="auto"/>
            <w:noWrap/>
            <w:vAlign w:val="center"/>
            <w:hideMark/>
          </w:tcPr>
          <w:p w14:paraId="03D2B1C1" w14:textId="77777777" w:rsidR="00052610" w:rsidRPr="007526AD" w:rsidRDefault="00052610" w:rsidP="00052610">
            <w:pPr>
              <w:rPr>
                <w:color w:val="000000"/>
                <w:sz w:val="22"/>
                <w:szCs w:val="22"/>
                <w:lang w:val="en-US"/>
              </w:rPr>
            </w:pPr>
            <w:r w:rsidRPr="007526AD">
              <w:rPr>
                <w:color w:val="000000"/>
                <w:sz w:val="22"/>
                <w:szCs w:val="22"/>
                <w:lang w:val="en-US"/>
              </w:rPr>
              <w:t>Obesity</w:t>
            </w:r>
          </w:p>
        </w:tc>
        <w:tc>
          <w:tcPr>
            <w:tcW w:w="0" w:type="auto"/>
            <w:shd w:val="clear" w:color="auto" w:fill="auto"/>
            <w:noWrap/>
            <w:vAlign w:val="center"/>
            <w:hideMark/>
          </w:tcPr>
          <w:p w14:paraId="44F9ED0A" w14:textId="77777777" w:rsidR="00052610" w:rsidRPr="007526AD" w:rsidRDefault="00052610" w:rsidP="00052610">
            <w:pPr>
              <w:rPr>
                <w:color w:val="000000"/>
                <w:sz w:val="22"/>
                <w:szCs w:val="22"/>
                <w:lang w:val="en-US"/>
              </w:rPr>
            </w:pPr>
            <w:r w:rsidRPr="007526AD">
              <w:rPr>
                <w:color w:val="000000"/>
                <w:sz w:val="22"/>
                <w:szCs w:val="22"/>
                <w:lang w:val="en-US"/>
              </w:rPr>
              <w:t>No</w:t>
            </w:r>
          </w:p>
        </w:tc>
        <w:tc>
          <w:tcPr>
            <w:tcW w:w="0" w:type="auto"/>
            <w:shd w:val="clear" w:color="auto" w:fill="auto"/>
            <w:noWrap/>
            <w:vAlign w:val="center"/>
            <w:hideMark/>
          </w:tcPr>
          <w:p w14:paraId="43076DC0" w14:textId="77777777" w:rsidR="00052610" w:rsidRPr="007526AD" w:rsidRDefault="00052610" w:rsidP="00052610">
            <w:pPr>
              <w:rPr>
                <w:color w:val="000000"/>
                <w:sz w:val="22"/>
                <w:szCs w:val="22"/>
                <w:lang w:val="en-US"/>
              </w:rPr>
            </w:pPr>
            <w:r w:rsidRPr="007526AD">
              <w:rPr>
                <w:color w:val="000000"/>
                <w:sz w:val="22"/>
                <w:szCs w:val="22"/>
                <w:lang w:val="en-US"/>
              </w:rPr>
              <w:t>82.3</w:t>
            </w:r>
          </w:p>
        </w:tc>
        <w:tc>
          <w:tcPr>
            <w:tcW w:w="0" w:type="auto"/>
            <w:shd w:val="clear" w:color="auto" w:fill="auto"/>
            <w:noWrap/>
            <w:vAlign w:val="center"/>
            <w:hideMark/>
          </w:tcPr>
          <w:p w14:paraId="0F0A45C8" w14:textId="77777777" w:rsidR="00052610" w:rsidRPr="007526AD" w:rsidRDefault="00052610" w:rsidP="00052610">
            <w:pPr>
              <w:rPr>
                <w:color w:val="000000"/>
                <w:sz w:val="22"/>
                <w:szCs w:val="22"/>
                <w:lang w:val="en-US"/>
              </w:rPr>
            </w:pPr>
            <w:r w:rsidRPr="007526AD">
              <w:rPr>
                <w:color w:val="000000"/>
                <w:sz w:val="22"/>
                <w:szCs w:val="22"/>
                <w:lang w:val="en-US"/>
              </w:rPr>
              <w:t>83.1</w:t>
            </w:r>
          </w:p>
        </w:tc>
        <w:tc>
          <w:tcPr>
            <w:tcW w:w="0" w:type="auto"/>
            <w:shd w:val="clear" w:color="auto" w:fill="auto"/>
            <w:noWrap/>
            <w:vAlign w:val="center"/>
            <w:hideMark/>
          </w:tcPr>
          <w:p w14:paraId="1823B3C5" w14:textId="77777777" w:rsidR="00052610" w:rsidRPr="007526AD" w:rsidRDefault="00052610" w:rsidP="00052610">
            <w:pPr>
              <w:rPr>
                <w:color w:val="000000"/>
                <w:sz w:val="22"/>
                <w:szCs w:val="22"/>
                <w:lang w:val="en-US"/>
              </w:rPr>
            </w:pPr>
            <w:r w:rsidRPr="007526AD">
              <w:rPr>
                <w:color w:val="000000"/>
                <w:sz w:val="22"/>
                <w:szCs w:val="22"/>
                <w:lang w:val="en-US"/>
              </w:rPr>
              <w:t>70.2</w:t>
            </w:r>
          </w:p>
        </w:tc>
        <w:tc>
          <w:tcPr>
            <w:tcW w:w="0" w:type="auto"/>
            <w:shd w:val="clear" w:color="auto" w:fill="auto"/>
            <w:noWrap/>
            <w:vAlign w:val="center"/>
            <w:hideMark/>
          </w:tcPr>
          <w:p w14:paraId="2CB44331" w14:textId="77777777" w:rsidR="00052610" w:rsidRPr="007526AD" w:rsidRDefault="00052610" w:rsidP="00052610">
            <w:pPr>
              <w:rPr>
                <w:color w:val="000000"/>
                <w:sz w:val="22"/>
                <w:szCs w:val="22"/>
                <w:lang w:val="en-US"/>
              </w:rPr>
            </w:pPr>
            <w:r w:rsidRPr="007526AD">
              <w:rPr>
                <w:color w:val="000000"/>
                <w:sz w:val="22"/>
                <w:szCs w:val="22"/>
                <w:lang w:val="en-US"/>
              </w:rPr>
              <w:t>&lt;0.001</w:t>
            </w:r>
          </w:p>
        </w:tc>
      </w:tr>
      <w:tr w:rsidR="00FB1F15" w:rsidRPr="007526AD" w14:paraId="398106DA" w14:textId="77777777" w:rsidTr="00DC2123">
        <w:trPr>
          <w:trHeight w:val="340"/>
        </w:trPr>
        <w:tc>
          <w:tcPr>
            <w:tcW w:w="0" w:type="auto"/>
            <w:shd w:val="clear" w:color="auto" w:fill="auto"/>
            <w:noWrap/>
            <w:vAlign w:val="center"/>
            <w:hideMark/>
          </w:tcPr>
          <w:p w14:paraId="196553EC" w14:textId="77777777" w:rsidR="00052610" w:rsidRPr="007526AD" w:rsidRDefault="00052610" w:rsidP="00052610">
            <w:pPr>
              <w:rPr>
                <w:color w:val="000000"/>
                <w:sz w:val="22"/>
                <w:szCs w:val="22"/>
                <w:lang w:val="en-US"/>
              </w:rPr>
            </w:pPr>
          </w:p>
        </w:tc>
        <w:tc>
          <w:tcPr>
            <w:tcW w:w="0" w:type="auto"/>
            <w:shd w:val="clear" w:color="auto" w:fill="auto"/>
            <w:noWrap/>
            <w:vAlign w:val="center"/>
            <w:hideMark/>
          </w:tcPr>
          <w:p w14:paraId="5F513C54" w14:textId="77777777" w:rsidR="00052610" w:rsidRPr="007526AD" w:rsidRDefault="00052610" w:rsidP="00052610">
            <w:pPr>
              <w:rPr>
                <w:color w:val="000000"/>
                <w:sz w:val="22"/>
                <w:szCs w:val="22"/>
                <w:lang w:val="en-US"/>
              </w:rPr>
            </w:pPr>
            <w:r w:rsidRPr="007526AD">
              <w:rPr>
                <w:color w:val="000000"/>
                <w:sz w:val="22"/>
                <w:szCs w:val="22"/>
                <w:lang w:val="en-US"/>
              </w:rPr>
              <w:t>Yes</w:t>
            </w:r>
          </w:p>
        </w:tc>
        <w:tc>
          <w:tcPr>
            <w:tcW w:w="0" w:type="auto"/>
            <w:shd w:val="clear" w:color="auto" w:fill="auto"/>
            <w:noWrap/>
            <w:vAlign w:val="center"/>
            <w:hideMark/>
          </w:tcPr>
          <w:p w14:paraId="4A845A2D" w14:textId="77777777" w:rsidR="00052610" w:rsidRPr="007526AD" w:rsidRDefault="00052610" w:rsidP="00052610">
            <w:pPr>
              <w:rPr>
                <w:color w:val="000000"/>
                <w:sz w:val="22"/>
                <w:szCs w:val="22"/>
                <w:lang w:val="en-US"/>
              </w:rPr>
            </w:pPr>
            <w:r w:rsidRPr="007526AD">
              <w:rPr>
                <w:color w:val="000000"/>
                <w:sz w:val="22"/>
                <w:szCs w:val="22"/>
                <w:lang w:val="en-US"/>
              </w:rPr>
              <w:t>17.7</w:t>
            </w:r>
          </w:p>
        </w:tc>
        <w:tc>
          <w:tcPr>
            <w:tcW w:w="0" w:type="auto"/>
            <w:shd w:val="clear" w:color="auto" w:fill="auto"/>
            <w:noWrap/>
            <w:vAlign w:val="center"/>
            <w:hideMark/>
          </w:tcPr>
          <w:p w14:paraId="52844D42" w14:textId="77777777" w:rsidR="00052610" w:rsidRPr="007526AD" w:rsidRDefault="00052610" w:rsidP="00052610">
            <w:pPr>
              <w:rPr>
                <w:color w:val="000000"/>
                <w:sz w:val="22"/>
                <w:szCs w:val="22"/>
                <w:lang w:val="en-US"/>
              </w:rPr>
            </w:pPr>
            <w:r w:rsidRPr="007526AD">
              <w:rPr>
                <w:color w:val="000000"/>
                <w:sz w:val="22"/>
                <w:szCs w:val="22"/>
                <w:lang w:val="en-US"/>
              </w:rPr>
              <w:t>16.9</w:t>
            </w:r>
          </w:p>
        </w:tc>
        <w:tc>
          <w:tcPr>
            <w:tcW w:w="0" w:type="auto"/>
            <w:shd w:val="clear" w:color="auto" w:fill="auto"/>
            <w:noWrap/>
            <w:vAlign w:val="center"/>
            <w:hideMark/>
          </w:tcPr>
          <w:p w14:paraId="3894BFCF" w14:textId="77777777" w:rsidR="00052610" w:rsidRPr="007526AD" w:rsidRDefault="00052610" w:rsidP="00052610">
            <w:pPr>
              <w:rPr>
                <w:color w:val="000000"/>
                <w:sz w:val="22"/>
                <w:szCs w:val="22"/>
                <w:lang w:val="en-US"/>
              </w:rPr>
            </w:pPr>
            <w:r w:rsidRPr="007526AD">
              <w:rPr>
                <w:color w:val="000000"/>
                <w:sz w:val="22"/>
                <w:szCs w:val="22"/>
                <w:lang w:val="en-US"/>
              </w:rPr>
              <w:t>29.8</w:t>
            </w:r>
          </w:p>
        </w:tc>
        <w:tc>
          <w:tcPr>
            <w:tcW w:w="0" w:type="auto"/>
            <w:shd w:val="clear" w:color="auto" w:fill="auto"/>
            <w:noWrap/>
            <w:vAlign w:val="center"/>
            <w:hideMark/>
          </w:tcPr>
          <w:p w14:paraId="3D8F3214" w14:textId="77777777" w:rsidR="00052610" w:rsidRPr="007526AD" w:rsidRDefault="00052610" w:rsidP="00052610">
            <w:pPr>
              <w:rPr>
                <w:color w:val="000000"/>
                <w:sz w:val="22"/>
                <w:szCs w:val="22"/>
                <w:lang w:val="en-US"/>
              </w:rPr>
            </w:pPr>
          </w:p>
        </w:tc>
      </w:tr>
      <w:tr w:rsidR="00FB1F15" w:rsidRPr="007526AD" w14:paraId="6B0A89D9" w14:textId="77777777" w:rsidTr="00DC2123">
        <w:trPr>
          <w:trHeight w:val="340"/>
        </w:trPr>
        <w:tc>
          <w:tcPr>
            <w:tcW w:w="0" w:type="auto"/>
            <w:shd w:val="clear" w:color="auto" w:fill="auto"/>
            <w:noWrap/>
            <w:vAlign w:val="center"/>
            <w:hideMark/>
          </w:tcPr>
          <w:p w14:paraId="25F0AE04" w14:textId="77777777" w:rsidR="00052610" w:rsidRPr="007526AD" w:rsidRDefault="00052610" w:rsidP="00052610">
            <w:pPr>
              <w:rPr>
                <w:color w:val="000000"/>
                <w:sz w:val="22"/>
                <w:szCs w:val="22"/>
                <w:lang w:val="en-US"/>
              </w:rPr>
            </w:pPr>
            <w:r w:rsidRPr="007526AD">
              <w:rPr>
                <w:color w:val="000000"/>
                <w:sz w:val="22"/>
                <w:szCs w:val="22"/>
                <w:lang w:val="en-US"/>
              </w:rPr>
              <w:t>Underweight</w:t>
            </w:r>
          </w:p>
        </w:tc>
        <w:tc>
          <w:tcPr>
            <w:tcW w:w="0" w:type="auto"/>
            <w:shd w:val="clear" w:color="auto" w:fill="auto"/>
            <w:noWrap/>
            <w:vAlign w:val="center"/>
            <w:hideMark/>
          </w:tcPr>
          <w:p w14:paraId="1D509A9C" w14:textId="77777777" w:rsidR="00052610" w:rsidRPr="007526AD" w:rsidRDefault="00052610" w:rsidP="00052610">
            <w:pPr>
              <w:rPr>
                <w:color w:val="000000"/>
                <w:sz w:val="22"/>
                <w:szCs w:val="22"/>
                <w:lang w:val="en-US"/>
              </w:rPr>
            </w:pPr>
            <w:r w:rsidRPr="007526AD">
              <w:rPr>
                <w:color w:val="000000"/>
                <w:sz w:val="22"/>
                <w:szCs w:val="22"/>
                <w:lang w:val="en-US"/>
              </w:rPr>
              <w:t>No</w:t>
            </w:r>
          </w:p>
        </w:tc>
        <w:tc>
          <w:tcPr>
            <w:tcW w:w="0" w:type="auto"/>
            <w:shd w:val="clear" w:color="auto" w:fill="auto"/>
            <w:noWrap/>
            <w:vAlign w:val="center"/>
            <w:hideMark/>
          </w:tcPr>
          <w:p w14:paraId="38480D44" w14:textId="77777777" w:rsidR="00052610" w:rsidRPr="007526AD" w:rsidRDefault="00052610" w:rsidP="00052610">
            <w:pPr>
              <w:rPr>
                <w:color w:val="000000"/>
                <w:sz w:val="22"/>
                <w:szCs w:val="22"/>
                <w:lang w:val="en-US"/>
              </w:rPr>
            </w:pPr>
            <w:r w:rsidRPr="007526AD">
              <w:rPr>
                <w:color w:val="000000"/>
                <w:sz w:val="22"/>
                <w:szCs w:val="22"/>
                <w:lang w:val="en-US"/>
              </w:rPr>
              <w:t>97.5</w:t>
            </w:r>
          </w:p>
        </w:tc>
        <w:tc>
          <w:tcPr>
            <w:tcW w:w="0" w:type="auto"/>
            <w:shd w:val="clear" w:color="auto" w:fill="auto"/>
            <w:noWrap/>
            <w:vAlign w:val="center"/>
            <w:hideMark/>
          </w:tcPr>
          <w:p w14:paraId="3F31C531" w14:textId="77777777" w:rsidR="00052610" w:rsidRPr="007526AD" w:rsidRDefault="00052610" w:rsidP="00052610">
            <w:pPr>
              <w:rPr>
                <w:color w:val="000000"/>
                <w:sz w:val="22"/>
                <w:szCs w:val="22"/>
                <w:lang w:val="en-US"/>
              </w:rPr>
            </w:pPr>
            <w:r w:rsidRPr="007526AD">
              <w:rPr>
                <w:color w:val="000000"/>
                <w:sz w:val="22"/>
                <w:szCs w:val="22"/>
                <w:lang w:val="en-US"/>
              </w:rPr>
              <w:t>97.6</w:t>
            </w:r>
          </w:p>
        </w:tc>
        <w:tc>
          <w:tcPr>
            <w:tcW w:w="0" w:type="auto"/>
            <w:shd w:val="clear" w:color="auto" w:fill="auto"/>
            <w:noWrap/>
            <w:vAlign w:val="center"/>
            <w:hideMark/>
          </w:tcPr>
          <w:p w14:paraId="7366BA52" w14:textId="77777777" w:rsidR="00052610" w:rsidRPr="007526AD" w:rsidRDefault="00052610" w:rsidP="00052610">
            <w:pPr>
              <w:rPr>
                <w:color w:val="000000"/>
                <w:sz w:val="22"/>
                <w:szCs w:val="22"/>
                <w:lang w:val="en-US"/>
              </w:rPr>
            </w:pPr>
            <w:r w:rsidRPr="007526AD">
              <w:rPr>
                <w:color w:val="000000"/>
                <w:sz w:val="22"/>
                <w:szCs w:val="22"/>
                <w:lang w:val="en-US"/>
              </w:rPr>
              <w:t>97.1</w:t>
            </w:r>
          </w:p>
        </w:tc>
        <w:tc>
          <w:tcPr>
            <w:tcW w:w="0" w:type="auto"/>
            <w:shd w:val="clear" w:color="auto" w:fill="auto"/>
            <w:noWrap/>
            <w:vAlign w:val="center"/>
            <w:hideMark/>
          </w:tcPr>
          <w:p w14:paraId="4706CD9B" w14:textId="77777777" w:rsidR="00052610" w:rsidRPr="007526AD" w:rsidRDefault="00052610" w:rsidP="00052610">
            <w:pPr>
              <w:rPr>
                <w:color w:val="000000"/>
                <w:sz w:val="22"/>
                <w:szCs w:val="22"/>
                <w:lang w:val="en-US"/>
              </w:rPr>
            </w:pPr>
            <w:r w:rsidRPr="007526AD">
              <w:rPr>
                <w:color w:val="000000"/>
                <w:sz w:val="22"/>
                <w:szCs w:val="22"/>
                <w:lang w:val="en-US"/>
              </w:rPr>
              <w:t>0.585</w:t>
            </w:r>
          </w:p>
        </w:tc>
      </w:tr>
      <w:tr w:rsidR="00FB1F15" w:rsidRPr="007526AD" w14:paraId="367748B8" w14:textId="77777777" w:rsidTr="00DC2123">
        <w:trPr>
          <w:trHeight w:val="340"/>
        </w:trPr>
        <w:tc>
          <w:tcPr>
            <w:tcW w:w="0" w:type="auto"/>
            <w:shd w:val="clear" w:color="auto" w:fill="auto"/>
            <w:noWrap/>
            <w:vAlign w:val="center"/>
            <w:hideMark/>
          </w:tcPr>
          <w:p w14:paraId="0E57422C" w14:textId="77777777" w:rsidR="00052610" w:rsidRPr="007526AD" w:rsidRDefault="00052610" w:rsidP="00052610">
            <w:pPr>
              <w:rPr>
                <w:color w:val="000000"/>
                <w:sz w:val="22"/>
                <w:szCs w:val="22"/>
                <w:lang w:val="en-US"/>
              </w:rPr>
            </w:pPr>
            <w:r w:rsidRPr="007526AD">
              <w:rPr>
                <w:color w:val="000000"/>
                <w:sz w:val="22"/>
                <w:szCs w:val="22"/>
                <w:lang w:val="en-US"/>
              </w:rPr>
              <w:t> </w:t>
            </w:r>
          </w:p>
        </w:tc>
        <w:tc>
          <w:tcPr>
            <w:tcW w:w="0" w:type="auto"/>
            <w:shd w:val="clear" w:color="auto" w:fill="auto"/>
            <w:noWrap/>
            <w:vAlign w:val="center"/>
            <w:hideMark/>
          </w:tcPr>
          <w:p w14:paraId="44923AAC" w14:textId="77777777" w:rsidR="00052610" w:rsidRPr="007526AD" w:rsidRDefault="00052610" w:rsidP="00052610">
            <w:pPr>
              <w:rPr>
                <w:color w:val="000000"/>
                <w:sz w:val="22"/>
                <w:szCs w:val="22"/>
                <w:lang w:val="en-US"/>
              </w:rPr>
            </w:pPr>
            <w:r w:rsidRPr="007526AD">
              <w:rPr>
                <w:color w:val="000000"/>
                <w:sz w:val="22"/>
                <w:szCs w:val="22"/>
                <w:lang w:val="en-US"/>
              </w:rPr>
              <w:t>Yes</w:t>
            </w:r>
          </w:p>
        </w:tc>
        <w:tc>
          <w:tcPr>
            <w:tcW w:w="0" w:type="auto"/>
            <w:shd w:val="clear" w:color="auto" w:fill="auto"/>
            <w:noWrap/>
            <w:vAlign w:val="center"/>
            <w:hideMark/>
          </w:tcPr>
          <w:p w14:paraId="38E1A42A" w14:textId="77777777" w:rsidR="00052610" w:rsidRPr="007526AD" w:rsidRDefault="00052610" w:rsidP="00052610">
            <w:pPr>
              <w:rPr>
                <w:color w:val="000000"/>
                <w:sz w:val="22"/>
                <w:szCs w:val="22"/>
                <w:lang w:val="en-US"/>
              </w:rPr>
            </w:pPr>
            <w:r w:rsidRPr="007526AD">
              <w:rPr>
                <w:color w:val="000000"/>
                <w:sz w:val="22"/>
                <w:szCs w:val="22"/>
                <w:lang w:val="en-US"/>
              </w:rPr>
              <w:t>2.5</w:t>
            </w:r>
          </w:p>
        </w:tc>
        <w:tc>
          <w:tcPr>
            <w:tcW w:w="0" w:type="auto"/>
            <w:shd w:val="clear" w:color="auto" w:fill="auto"/>
            <w:noWrap/>
            <w:vAlign w:val="center"/>
            <w:hideMark/>
          </w:tcPr>
          <w:p w14:paraId="4363A444" w14:textId="77777777" w:rsidR="00052610" w:rsidRPr="007526AD" w:rsidRDefault="00052610" w:rsidP="00052610">
            <w:pPr>
              <w:rPr>
                <w:color w:val="000000"/>
                <w:sz w:val="22"/>
                <w:szCs w:val="22"/>
                <w:lang w:val="en-US"/>
              </w:rPr>
            </w:pPr>
            <w:r w:rsidRPr="007526AD">
              <w:rPr>
                <w:color w:val="000000"/>
                <w:sz w:val="22"/>
                <w:szCs w:val="22"/>
                <w:lang w:val="en-US"/>
              </w:rPr>
              <w:t>2.4</w:t>
            </w:r>
          </w:p>
        </w:tc>
        <w:tc>
          <w:tcPr>
            <w:tcW w:w="0" w:type="auto"/>
            <w:shd w:val="clear" w:color="auto" w:fill="auto"/>
            <w:noWrap/>
            <w:vAlign w:val="center"/>
            <w:hideMark/>
          </w:tcPr>
          <w:p w14:paraId="60A1A9B4" w14:textId="77777777" w:rsidR="00052610" w:rsidRPr="007526AD" w:rsidRDefault="00052610" w:rsidP="00052610">
            <w:pPr>
              <w:rPr>
                <w:color w:val="000000"/>
                <w:sz w:val="22"/>
                <w:szCs w:val="22"/>
                <w:lang w:val="en-US"/>
              </w:rPr>
            </w:pPr>
            <w:r w:rsidRPr="007526AD">
              <w:rPr>
                <w:color w:val="000000"/>
                <w:sz w:val="22"/>
                <w:szCs w:val="22"/>
                <w:lang w:val="en-US"/>
              </w:rPr>
              <w:t>2.9</w:t>
            </w:r>
          </w:p>
        </w:tc>
        <w:tc>
          <w:tcPr>
            <w:tcW w:w="0" w:type="auto"/>
            <w:shd w:val="clear" w:color="auto" w:fill="auto"/>
            <w:noWrap/>
            <w:vAlign w:val="center"/>
            <w:hideMark/>
          </w:tcPr>
          <w:p w14:paraId="34F858E6" w14:textId="77777777" w:rsidR="00052610" w:rsidRPr="007526AD" w:rsidRDefault="00052610" w:rsidP="00052610">
            <w:pPr>
              <w:rPr>
                <w:color w:val="000000"/>
                <w:sz w:val="22"/>
                <w:szCs w:val="22"/>
                <w:lang w:val="en-US"/>
              </w:rPr>
            </w:pPr>
            <w:r w:rsidRPr="007526AD">
              <w:rPr>
                <w:color w:val="000000"/>
                <w:sz w:val="22"/>
                <w:szCs w:val="22"/>
                <w:lang w:val="en-US"/>
              </w:rPr>
              <w:t> </w:t>
            </w:r>
          </w:p>
        </w:tc>
      </w:tr>
    </w:tbl>
    <w:p w14:paraId="0627B82B" w14:textId="65E07D5E" w:rsidR="006E6834" w:rsidRPr="007526AD" w:rsidRDefault="00DC2123" w:rsidP="00052610">
      <w:pPr>
        <w:rPr>
          <w:sz w:val="20"/>
          <w:szCs w:val="20"/>
          <w:lang w:val="en-US"/>
        </w:rPr>
      </w:pPr>
      <w:r>
        <w:rPr>
          <w:sz w:val="20"/>
          <w:szCs w:val="20"/>
          <w:lang w:val="en-US"/>
        </w:rPr>
        <w:t>Abbreviation</w:t>
      </w:r>
      <w:r w:rsidR="006D20D5" w:rsidRPr="007526AD">
        <w:rPr>
          <w:sz w:val="20"/>
          <w:szCs w:val="20"/>
          <w:lang w:val="en-US"/>
        </w:rPr>
        <w:t xml:space="preserve">: SD Standard deviation </w:t>
      </w:r>
    </w:p>
    <w:p w14:paraId="0315D561" w14:textId="47615947" w:rsidR="006D20D5" w:rsidRPr="007526AD" w:rsidRDefault="006D20D5" w:rsidP="00052610">
      <w:pPr>
        <w:rPr>
          <w:sz w:val="20"/>
          <w:szCs w:val="20"/>
          <w:lang w:val="en-US"/>
        </w:rPr>
      </w:pPr>
      <w:r w:rsidRPr="007526AD">
        <w:rPr>
          <w:sz w:val="20"/>
          <w:szCs w:val="20"/>
          <w:lang w:val="en-US"/>
        </w:rPr>
        <w:t>Data are % unless otherwise stated.</w:t>
      </w:r>
    </w:p>
    <w:p w14:paraId="7B33CD41" w14:textId="77777777" w:rsidR="006D20D5" w:rsidRPr="007526AD" w:rsidRDefault="006D20D5" w:rsidP="006D20D5">
      <w:pPr>
        <w:rPr>
          <w:lang w:val="en-US"/>
        </w:rPr>
      </w:pPr>
      <w:r w:rsidRPr="007526AD">
        <w:rPr>
          <w:sz w:val="20"/>
          <w:szCs w:val="20"/>
          <w:lang w:val="en-US"/>
        </w:rPr>
        <w:t xml:space="preserve">Possible eating disorder referred to SCOFF </w:t>
      </w:r>
      <w:proofErr w:type="gramStart"/>
      <w:r w:rsidRPr="007526AD">
        <w:rPr>
          <w:sz w:val="20"/>
          <w:szCs w:val="20"/>
          <w:lang w:val="en-US"/>
        </w:rPr>
        <w:t>screen-positive</w:t>
      </w:r>
      <w:proofErr w:type="gramEnd"/>
      <w:r w:rsidRPr="007526AD">
        <w:rPr>
          <w:sz w:val="20"/>
          <w:szCs w:val="20"/>
          <w:lang w:val="en-US"/>
        </w:rPr>
        <w:t>.</w:t>
      </w:r>
      <w:r w:rsidRPr="007526AD">
        <w:rPr>
          <w:lang w:val="en-US"/>
        </w:rPr>
        <w:t xml:space="preserve"> </w:t>
      </w:r>
    </w:p>
    <w:p w14:paraId="3CE3FFE2" w14:textId="6F615E88" w:rsidR="006D20D5" w:rsidRPr="007526AD" w:rsidRDefault="006D20D5" w:rsidP="00052610">
      <w:pPr>
        <w:rPr>
          <w:sz w:val="20"/>
          <w:szCs w:val="20"/>
          <w:lang w:val="en-US"/>
        </w:rPr>
      </w:pPr>
      <w:r w:rsidRPr="007526AD">
        <w:rPr>
          <w:sz w:val="20"/>
          <w:szCs w:val="20"/>
          <w:lang w:val="en-US"/>
        </w:rPr>
        <w:t xml:space="preserve">P-value was calculated by Chi-squared tests except for age (Student’s </w:t>
      </w:r>
      <w:r w:rsidRPr="007526AD">
        <w:rPr>
          <w:i/>
          <w:iCs/>
          <w:sz w:val="20"/>
          <w:szCs w:val="20"/>
          <w:lang w:val="en-US"/>
        </w:rPr>
        <w:t>t</w:t>
      </w:r>
      <w:r w:rsidRPr="007526AD">
        <w:rPr>
          <w:sz w:val="20"/>
          <w:szCs w:val="20"/>
          <w:lang w:val="en-US"/>
        </w:rPr>
        <w:t xml:space="preserve">-test). </w:t>
      </w:r>
    </w:p>
    <w:p w14:paraId="377C45E9" w14:textId="77777777" w:rsidR="00052610" w:rsidRPr="007526AD" w:rsidRDefault="00052610" w:rsidP="00052610">
      <w:pPr>
        <w:rPr>
          <w:sz w:val="20"/>
          <w:szCs w:val="20"/>
          <w:lang w:val="en-US"/>
        </w:rPr>
      </w:pPr>
    </w:p>
    <w:p w14:paraId="0E8736C2" w14:textId="3CD0F60E" w:rsidR="00052610" w:rsidRPr="007526AD" w:rsidRDefault="00052610" w:rsidP="00C63A11">
      <w:pPr>
        <w:spacing w:line="480" w:lineRule="auto"/>
        <w:rPr>
          <w:lang w:val="en-US"/>
        </w:rPr>
        <w:sectPr w:rsidR="00052610" w:rsidRPr="007526AD" w:rsidSect="00052610">
          <w:pgSz w:w="12240" w:h="15840"/>
          <w:pgMar w:top="1440" w:right="1440" w:bottom="1440" w:left="1440" w:header="708" w:footer="708" w:gutter="0"/>
          <w:cols w:space="708"/>
          <w:docGrid w:linePitch="360"/>
        </w:sectPr>
      </w:pPr>
    </w:p>
    <w:tbl>
      <w:tblPr>
        <w:tblW w:w="7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8"/>
        <w:gridCol w:w="976"/>
        <w:gridCol w:w="1456"/>
      </w:tblGrid>
      <w:tr w:rsidR="006E6834" w:rsidRPr="007526AD" w14:paraId="11F545D7" w14:textId="77777777" w:rsidTr="00DC2123">
        <w:trPr>
          <w:trHeight w:val="660"/>
        </w:trPr>
        <w:tc>
          <w:tcPr>
            <w:tcW w:w="7360" w:type="dxa"/>
            <w:gridSpan w:val="3"/>
            <w:shd w:val="clear" w:color="auto" w:fill="auto"/>
            <w:vAlign w:val="center"/>
            <w:hideMark/>
          </w:tcPr>
          <w:p w14:paraId="64CFC63F" w14:textId="10E553CE" w:rsidR="006E6834" w:rsidRPr="007526AD" w:rsidRDefault="006E6834" w:rsidP="006E6834">
            <w:pPr>
              <w:rPr>
                <w:color w:val="000000"/>
                <w:lang w:val="en-US"/>
              </w:rPr>
            </w:pPr>
            <w:r w:rsidRPr="007526AD">
              <w:rPr>
                <w:b/>
                <w:bCs/>
                <w:color w:val="000000"/>
                <w:lang w:val="en-US"/>
              </w:rPr>
              <w:lastRenderedPageBreak/>
              <w:t xml:space="preserve">Table 2 </w:t>
            </w:r>
            <w:r w:rsidRPr="007526AD">
              <w:rPr>
                <w:color w:val="000000"/>
                <w:lang w:val="en-US"/>
              </w:rPr>
              <w:t xml:space="preserve">Association between </w:t>
            </w:r>
            <w:r w:rsidR="003B43DF">
              <w:rPr>
                <w:color w:val="000000"/>
                <w:lang w:val="en-US"/>
              </w:rPr>
              <w:t xml:space="preserve">possible eating disorder </w:t>
            </w:r>
            <w:r w:rsidRPr="007526AD">
              <w:rPr>
                <w:color w:val="000000"/>
                <w:lang w:val="en-US"/>
              </w:rPr>
              <w:t xml:space="preserve">and individual physical </w:t>
            </w:r>
            <w:r w:rsidR="00C34BE9" w:rsidRPr="007526AD">
              <w:rPr>
                <w:color w:val="000000"/>
                <w:lang w:val="en-US"/>
              </w:rPr>
              <w:t xml:space="preserve">condition </w:t>
            </w:r>
            <w:r w:rsidR="009C5548" w:rsidRPr="007526AD">
              <w:rPr>
                <w:color w:val="000000"/>
                <w:lang w:val="en-US"/>
              </w:rPr>
              <w:t xml:space="preserve">(outcome) </w:t>
            </w:r>
            <w:r w:rsidRPr="007526AD">
              <w:rPr>
                <w:color w:val="000000"/>
                <w:lang w:val="en-US"/>
              </w:rPr>
              <w:t xml:space="preserve">estimated by multivariable logistic regression </w:t>
            </w:r>
          </w:p>
        </w:tc>
      </w:tr>
      <w:tr w:rsidR="006E6834" w:rsidRPr="007526AD" w14:paraId="5F8DAE1F" w14:textId="77777777" w:rsidTr="00DC2123">
        <w:trPr>
          <w:trHeight w:val="340"/>
        </w:trPr>
        <w:tc>
          <w:tcPr>
            <w:tcW w:w="4928" w:type="dxa"/>
            <w:shd w:val="clear" w:color="auto" w:fill="auto"/>
            <w:noWrap/>
            <w:vAlign w:val="center"/>
            <w:hideMark/>
          </w:tcPr>
          <w:p w14:paraId="0985129D" w14:textId="2CE9F47A" w:rsidR="006E6834" w:rsidRPr="007526AD" w:rsidRDefault="006E6834" w:rsidP="006E6834">
            <w:pPr>
              <w:rPr>
                <w:color w:val="000000"/>
                <w:sz w:val="22"/>
                <w:szCs w:val="22"/>
                <w:lang w:val="en-US"/>
              </w:rPr>
            </w:pPr>
            <w:r w:rsidRPr="007526AD">
              <w:rPr>
                <w:color w:val="000000"/>
                <w:sz w:val="22"/>
                <w:szCs w:val="22"/>
                <w:lang w:val="en-US"/>
              </w:rPr>
              <w:t xml:space="preserve">Physical </w:t>
            </w:r>
            <w:r w:rsidR="00C34BE9" w:rsidRPr="007526AD">
              <w:rPr>
                <w:color w:val="000000"/>
                <w:sz w:val="22"/>
                <w:szCs w:val="22"/>
                <w:lang w:val="en-US"/>
              </w:rPr>
              <w:t>condition</w:t>
            </w:r>
          </w:p>
        </w:tc>
        <w:tc>
          <w:tcPr>
            <w:tcW w:w="976" w:type="dxa"/>
            <w:shd w:val="clear" w:color="auto" w:fill="auto"/>
            <w:noWrap/>
            <w:vAlign w:val="center"/>
            <w:hideMark/>
          </w:tcPr>
          <w:p w14:paraId="5127CBC7" w14:textId="77777777" w:rsidR="006E6834" w:rsidRPr="007526AD" w:rsidRDefault="006E6834" w:rsidP="006E6834">
            <w:pPr>
              <w:rPr>
                <w:color w:val="000000"/>
                <w:sz w:val="22"/>
                <w:szCs w:val="22"/>
                <w:lang w:val="en-US"/>
              </w:rPr>
            </w:pPr>
            <w:r w:rsidRPr="007526AD">
              <w:rPr>
                <w:color w:val="000000"/>
                <w:sz w:val="22"/>
                <w:szCs w:val="22"/>
                <w:lang w:val="en-US"/>
              </w:rPr>
              <w:t>OR</w:t>
            </w:r>
          </w:p>
        </w:tc>
        <w:tc>
          <w:tcPr>
            <w:tcW w:w="1456" w:type="dxa"/>
            <w:shd w:val="clear" w:color="auto" w:fill="auto"/>
            <w:noWrap/>
            <w:vAlign w:val="center"/>
            <w:hideMark/>
          </w:tcPr>
          <w:p w14:paraId="7EC17AB7" w14:textId="77777777" w:rsidR="006E6834" w:rsidRPr="007526AD" w:rsidRDefault="006E6834" w:rsidP="006E6834">
            <w:pPr>
              <w:rPr>
                <w:color w:val="000000"/>
                <w:sz w:val="22"/>
                <w:szCs w:val="22"/>
                <w:lang w:val="en-US"/>
              </w:rPr>
            </w:pPr>
            <w:r w:rsidRPr="007526AD">
              <w:rPr>
                <w:color w:val="000000"/>
                <w:sz w:val="22"/>
                <w:szCs w:val="22"/>
                <w:lang w:val="en-US"/>
              </w:rPr>
              <w:t>[95%CI]</w:t>
            </w:r>
          </w:p>
        </w:tc>
      </w:tr>
      <w:tr w:rsidR="006E6834" w:rsidRPr="007526AD" w14:paraId="0DE41881" w14:textId="77777777" w:rsidTr="00DC2123">
        <w:trPr>
          <w:trHeight w:val="340"/>
        </w:trPr>
        <w:tc>
          <w:tcPr>
            <w:tcW w:w="4928" w:type="dxa"/>
            <w:shd w:val="clear" w:color="auto" w:fill="auto"/>
            <w:noWrap/>
            <w:vAlign w:val="center"/>
            <w:hideMark/>
          </w:tcPr>
          <w:p w14:paraId="595DCDFA" w14:textId="77777777" w:rsidR="006E6834" w:rsidRPr="007526AD" w:rsidRDefault="006E6834" w:rsidP="006E6834">
            <w:pPr>
              <w:rPr>
                <w:color w:val="000000"/>
                <w:sz w:val="22"/>
                <w:szCs w:val="22"/>
                <w:lang w:val="en-US"/>
              </w:rPr>
            </w:pPr>
            <w:r w:rsidRPr="007526AD">
              <w:rPr>
                <w:color w:val="000000"/>
                <w:sz w:val="22"/>
                <w:szCs w:val="22"/>
                <w:lang w:val="en-US"/>
              </w:rPr>
              <w:t>Allergy</w:t>
            </w:r>
          </w:p>
        </w:tc>
        <w:tc>
          <w:tcPr>
            <w:tcW w:w="976" w:type="dxa"/>
            <w:shd w:val="clear" w:color="auto" w:fill="auto"/>
            <w:noWrap/>
            <w:vAlign w:val="center"/>
            <w:hideMark/>
          </w:tcPr>
          <w:p w14:paraId="7EB3CD2D" w14:textId="77777777" w:rsidR="006E6834" w:rsidRPr="007526AD" w:rsidRDefault="006E6834" w:rsidP="006E6834">
            <w:pPr>
              <w:rPr>
                <w:color w:val="000000"/>
                <w:sz w:val="22"/>
                <w:szCs w:val="22"/>
                <w:lang w:val="en-US"/>
              </w:rPr>
            </w:pPr>
            <w:r w:rsidRPr="007526AD">
              <w:rPr>
                <w:color w:val="000000"/>
                <w:sz w:val="22"/>
                <w:szCs w:val="22"/>
                <w:lang w:val="en-US"/>
              </w:rPr>
              <w:t>1.47*</w:t>
            </w:r>
          </w:p>
        </w:tc>
        <w:tc>
          <w:tcPr>
            <w:tcW w:w="1456" w:type="dxa"/>
            <w:shd w:val="clear" w:color="auto" w:fill="auto"/>
            <w:noWrap/>
            <w:vAlign w:val="center"/>
            <w:hideMark/>
          </w:tcPr>
          <w:p w14:paraId="52D343FD" w14:textId="77777777" w:rsidR="006E6834" w:rsidRPr="007526AD" w:rsidRDefault="006E6834" w:rsidP="006E6834">
            <w:pPr>
              <w:rPr>
                <w:color w:val="000000"/>
                <w:sz w:val="22"/>
                <w:szCs w:val="22"/>
                <w:lang w:val="en-US"/>
              </w:rPr>
            </w:pPr>
            <w:r w:rsidRPr="007526AD">
              <w:rPr>
                <w:color w:val="000000"/>
                <w:sz w:val="22"/>
                <w:szCs w:val="22"/>
                <w:lang w:val="en-US"/>
              </w:rPr>
              <w:t>[1.08,2.02]</w:t>
            </w:r>
          </w:p>
        </w:tc>
      </w:tr>
      <w:tr w:rsidR="006E6834" w:rsidRPr="007526AD" w14:paraId="2F783F75" w14:textId="77777777" w:rsidTr="00DC2123">
        <w:trPr>
          <w:trHeight w:val="320"/>
        </w:trPr>
        <w:tc>
          <w:tcPr>
            <w:tcW w:w="4928" w:type="dxa"/>
            <w:shd w:val="clear" w:color="auto" w:fill="auto"/>
            <w:noWrap/>
            <w:vAlign w:val="center"/>
            <w:hideMark/>
          </w:tcPr>
          <w:p w14:paraId="028CCD4E" w14:textId="77777777" w:rsidR="006E6834" w:rsidRPr="007526AD" w:rsidRDefault="006E6834" w:rsidP="006E6834">
            <w:pPr>
              <w:rPr>
                <w:color w:val="000000"/>
                <w:sz w:val="22"/>
                <w:szCs w:val="22"/>
                <w:lang w:val="en-US"/>
              </w:rPr>
            </w:pPr>
            <w:r w:rsidRPr="007526AD">
              <w:rPr>
                <w:color w:val="000000"/>
                <w:sz w:val="22"/>
                <w:szCs w:val="22"/>
                <w:lang w:val="en-US"/>
              </w:rPr>
              <w:t>Arthritis</w:t>
            </w:r>
          </w:p>
        </w:tc>
        <w:tc>
          <w:tcPr>
            <w:tcW w:w="976" w:type="dxa"/>
            <w:shd w:val="clear" w:color="auto" w:fill="auto"/>
            <w:noWrap/>
            <w:vAlign w:val="center"/>
            <w:hideMark/>
          </w:tcPr>
          <w:p w14:paraId="6EACE4E7" w14:textId="77777777" w:rsidR="006E6834" w:rsidRPr="007526AD" w:rsidRDefault="006E6834" w:rsidP="006E6834">
            <w:pPr>
              <w:rPr>
                <w:color w:val="000000"/>
                <w:sz w:val="22"/>
                <w:szCs w:val="22"/>
                <w:lang w:val="en-US"/>
              </w:rPr>
            </w:pPr>
            <w:r w:rsidRPr="007526AD">
              <w:rPr>
                <w:color w:val="000000"/>
                <w:sz w:val="22"/>
                <w:szCs w:val="22"/>
                <w:lang w:val="en-US"/>
              </w:rPr>
              <w:t>1.60**</w:t>
            </w:r>
          </w:p>
        </w:tc>
        <w:tc>
          <w:tcPr>
            <w:tcW w:w="1456" w:type="dxa"/>
            <w:shd w:val="clear" w:color="auto" w:fill="auto"/>
            <w:noWrap/>
            <w:vAlign w:val="center"/>
            <w:hideMark/>
          </w:tcPr>
          <w:p w14:paraId="79D65B44" w14:textId="77777777" w:rsidR="006E6834" w:rsidRPr="007526AD" w:rsidRDefault="006E6834" w:rsidP="006E6834">
            <w:pPr>
              <w:rPr>
                <w:color w:val="000000"/>
                <w:sz w:val="22"/>
                <w:szCs w:val="22"/>
                <w:lang w:val="en-US"/>
              </w:rPr>
            </w:pPr>
            <w:r w:rsidRPr="007526AD">
              <w:rPr>
                <w:color w:val="000000"/>
                <w:sz w:val="22"/>
                <w:szCs w:val="22"/>
                <w:lang w:val="en-US"/>
              </w:rPr>
              <w:t>[1.19,2.14]</w:t>
            </w:r>
          </w:p>
        </w:tc>
      </w:tr>
      <w:tr w:rsidR="006E6834" w:rsidRPr="007526AD" w14:paraId="4FBE1718" w14:textId="77777777" w:rsidTr="00DC2123">
        <w:trPr>
          <w:trHeight w:val="320"/>
        </w:trPr>
        <w:tc>
          <w:tcPr>
            <w:tcW w:w="4928" w:type="dxa"/>
            <w:shd w:val="clear" w:color="auto" w:fill="auto"/>
            <w:noWrap/>
            <w:vAlign w:val="center"/>
            <w:hideMark/>
          </w:tcPr>
          <w:p w14:paraId="332739CE" w14:textId="77777777" w:rsidR="006E6834" w:rsidRPr="007526AD" w:rsidRDefault="006E6834" w:rsidP="006E6834">
            <w:pPr>
              <w:rPr>
                <w:color w:val="000000"/>
                <w:sz w:val="22"/>
                <w:szCs w:val="22"/>
                <w:lang w:val="en-US"/>
              </w:rPr>
            </w:pPr>
            <w:r w:rsidRPr="007526AD">
              <w:rPr>
                <w:color w:val="000000"/>
                <w:sz w:val="22"/>
                <w:szCs w:val="22"/>
                <w:lang w:val="en-US"/>
              </w:rPr>
              <w:t>Asthma</w:t>
            </w:r>
          </w:p>
        </w:tc>
        <w:tc>
          <w:tcPr>
            <w:tcW w:w="976" w:type="dxa"/>
            <w:shd w:val="clear" w:color="auto" w:fill="auto"/>
            <w:noWrap/>
            <w:vAlign w:val="center"/>
            <w:hideMark/>
          </w:tcPr>
          <w:p w14:paraId="02E16690" w14:textId="77777777" w:rsidR="006E6834" w:rsidRPr="007526AD" w:rsidRDefault="006E6834" w:rsidP="006E6834">
            <w:pPr>
              <w:rPr>
                <w:color w:val="000000"/>
                <w:sz w:val="22"/>
                <w:szCs w:val="22"/>
                <w:lang w:val="en-US"/>
              </w:rPr>
            </w:pPr>
            <w:r w:rsidRPr="007526AD">
              <w:rPr>
                <w:color w:val="000000"/>
                <w:sz w:val="22"/>
                <w:szCs w:val="22"/>
                <w:lang w:val="en-US"/>
              </w:rPr>
              <w:t>1.63**</w:t>
            </w:r>
          </w:p>
        </w:tc>
        <w:tc>
          <w:tcPr>
            <w:tcW w:w="1456" w:type="dxa"/>
            <w:shd w:val="clear" w:color="auto" w:fill="auto"/>
            <w:noWrap/>
            <w:vAlign w:val="center"/>
            <w:hideMark/>
          </w:tcPr>
          <w:p w14:paraId="1C2843CF" w14:textId="77777777" w:rsidR="006E6834" w:rsidRPr="007526AD" w:rsidRDefault="006E6834" w:rsidP="006E6834">
            <w:pPr>
              <w:rPr>
                <w:color w:val="000000"/>
                <w:sz w:val="22"/>
                <w:szCs w:val="22"/>
                <w:lang w:val="en-US"/>
              </w:rPr>
            </w:pPr>
            <w:r w:rsidRPr="007526AD">
              <w:rPr>
                <w:color w:val="000000"/>
                <w:sz w:val="22"/>
                <w:szCs w:val="22"/>
                <w:lang w:val="en-US"/>
              </w:rPr>
              <w:t>[1.18,2.23]</w:t>
            </w:r>
          </w:p>
        </w:tc>
      </w:tr>
      <w:tr w:rsidR="006E6834" w:rsidRPr="007526AD" w14:paraId="3BA52DDE" w14:textId="77777777" w:rsidTr="00DC2123">
        <w:trPr>
          <w:trHeight w:val="320"/>
        </w:trPr>
        <w:tc>
          <w:tcPr>
            <w:tcW w:w="4928" w:type="dxa"/>
            <w:shd w:val="clear" w:color="auto" w:fill="auto"/>
            <w:noWrap/>
            <w:vAlign w:val="center"/>
            <w:hideMark/>
          </w:tcPr>
          <w:p w14:paraId="4A88DBB8" w14:textId="77777777" w:rsidR="006E6834" w:rsidRPr="007526AD" w:rsidRDefault="006E6834" w:rsidP="006E6834">
            <w:pPr>
              <w:rPr>
                <w:color w:val="000000"/>
                <w:sz w:val="22"/>
                <w:szCs w:val="22"/>
                <w:lang w:val="en-US"/>
              </w:rPr>
            </w:pPr>
            <w:r w:rsidRPr="007526AD">
              <w:rPr>
                <w:color w:val="000000"/>
                <w:sz w:val="22"/>
                <w:szCs w:val="22"/>
                <w:lang w:val="en-US"/>
              </w:rPr>
              <w:t>Bladder problems/incontinence</w:t>
            </w:r>
          </w:p>
        </w:tc>
        <w:tc>
          <w:tcPr>
            <w:tcW w:w="976" w:type="dxa"/>
            <w:shd w:val="clear" w:color="auto" w:fill="auto"/>
            <w:noWrap/>
            <w:vAlign w:val="center"/>
            <w:hideMark/>
          </w:tcPr>
          <w:p w14:paraId="7F62002D" w14:textId="77777777" w:rsidR="006E6834" w:rsidRPr="007526AD" w:rsidRDefault="006E6834" w:rsidP="006E6834">
            <w:pPr>
              <w:rPr>
                <w:color w:val="000000"/>
                <w:sz w:val="22"/>
                <w:szCs w:val="22"/>
                <w:lang w:val="en-US"/>
              </w:rPr>
            </w:pPr>
            <w:r w:rsidRPr="007526AD">
              <w:rPr>
                <w:color w:val="000000"/>
                <w:sz w:val="22"/>
                <w:szCs w:val="22"/>
                <w:lang w:val="en-US"/>
              </w:rPr>
              <w:t>2.18**</w:t>
            </w:r>
          </w:p>
        </w:tc>
        <w:tc>
          <w:tcPr>
            <w:tcW w:w="1456" w:type="dxa"/>
            <w:shd w:val="clear" w:color="auto" w:fill="auto"/>
            <w:noWrap/>
            <w:vAlign w:val="center"/>
            <w:hideMark/>
          </w:tcPr>
          <w:p w14:paraId="6DADB27C" w14:textId="77777777" w:rsidR="006E6834" w:rsidRPr="007526AD" w:rsidRDefault="006E6834" w:rsidP="006E6834">
            <w:pPr>
              <w:rPr>
                <w:color w:val="000000"/>
                <w:sz w:val="22"/>
                <w:szCs w:val="22"/>
                <w:lang w:val="en-US"/>
              </w:rPr>
            </w:pPr>
            <w:r w:rsidRPr="007526AD">
              <w:rPr>
                <w:color w:val="000000"/>
                <w:sz w:val="22"/>
                <w:szCs w:val="22"/>
                <w:lang w:val="en-US"/>
              </w:rPr>
              <w:t>[1.26,3.77]</w:t>
            </w:r>
          </w:p>
        </w:tc>
      </w:tr>
      <w:tr w:rsidR="006E6834" w:rsidRPr="007526AD" w14:paraId="5838D48B" w14:textId="77777777" w:rsidTr="00DC2123">
        <w:trPr>
          <w:trHeight w:val="320"/>
        </w:trPr>
        <w:tc>
          <w:tcPr>
            <w:tcW w:w="4928" w:type="dxa"/>
            <w:shd w:val="clear" w:color="auto" w:fill="auto"/>
            <w:noWrap/>
            <w:vAlign w:val="center"/>
            <w:hideMark/>
          </w:tcPr>
          <w:p w14:paraId="4ADD6A00" w14:textId="0930A1C4" w:rsidR="006E6834" w:rsidRPr="007526AD" w:rsidRDefault="006E6834" w:rsidP="006E6834">
            <w:pPr>
              <w:rPr>
                <w:color w:val="000000"/>
                <w:sz w:val="22"/>
                <w:szCs w:val="22"/>
                <w:lang w:val="en-US"/>
              </w:rPr>
            </w:pPr>
            <w:r w:rsidRPr="007526AD">
              <w:rPr>
                <w:color w:val="000000"/>
                <w:sz w:val="22"/>
                <w:szCs w:val="22"/>
                <w:lang w:val="en-US"/>
              </w:rPr>
              <w:t>Bone, back, joint or muscle pr</w:t>
            </w:r>
            <w:r w:rsidR="007526AD">
              <w:rPr>
                <w:color w:val="000000"/>
                <w:sz w:val="22"/>
                <w:szCs w:val="22"/>
                <w:lang w:val="en-US"/>
              </w:rPr>
              <w:t>oblems</w:t>
            </w:r>
          </w:p>
        </w:tc>
        <w:tc>
          <w:tcPr>
            <w:tcW w:w="976" w:type="dxa"/>
            <w:shd w:val="clear" w:color="auto" w:fill="auto"/>
            <w:noWrap/>
            <w:vAlign w:val="center"/>
            <w:hideMark/>
          </w:tcPr>
          <w:p w14:paraId="2B385F5D" w14:textId="77777777" w:rsidR="006E6834" w:rsidRPr="007526AD" w:rsidRDefault="006E6834" w:rsidP="006E6834">
            <w:pPr>
              <w:rPr>
                <w:color w:val="000000"/>
                <w:sz w:val="22"/>
                <w:szCs w:val="22"/>
                <w:lang w:val="en-US"/>
              </w:rPr>
            </w:pPr>
            <w:r w:rsidRPr="007526AD">
              <w:rPr>
                <w:color w:val="000000"/>
                <w:sz w:val="22"/>
                <w:szCs w:val="22"/>
                <w:lang w:val="en-US"/>
              </w:rPr>
              <w:t>1.38**</w:t>
            </w:r>
          </w:p>
        </w:tc>
        <w:tc>
          <w:tcPr>
            <w:tcW w:w="1456" w:type="dxa"/>
            <w:shd w:val="clear" w:color="auto" w:fill="auto"/>
            <w:noWrap/>
            <w:vAlign w:val="center"/>
            <w:hideMark/>
          </w:tcPr>
          <w:p w14:paraId="2CAF32B3" w14:textId="77777777" w:rsidR="006E6834" w:rsidRPr="007526AD" w:rsidRDefault="006E6834" w:rsidP="006E6834">
            <w:pPr>
              <w:rPr>
                <w:color w:val="000000"/>
                <w:sz w:val="22"/>
                <w:szCs w:val="22"/>
                <w:lang w:val="en-US"/>
              </w:rPr>
            </w:pPr>
            <w:r w:rsidRPr="007526AD">
              <w:rPr>
                <w:color w:val="000000"/>
                <w:sz w:val="22"/>
                <w:szCs w:val="22"/>
                <w:lang w:val="en-US"/>
              </w:rPr>
              <w:t>[1.09,1.74]</w:t>
            </w:r>
          </w:p>
        </w:tc>
      </w:tr>
      <w:tr w:rsidR="006E6834" w:rsidRPr="007526AD" w14:paraId="5274F780" w14:textId="77777777" w:rsidTr="00DC2123">
        <w:trPr>
          <w:trHeight w:val="320"/>
        </w:trPr>
        <w:tc>
          <w:tcPr>
            <w:tcW w:w="4928" w:type="dxa"/>
            <w:shd w:val="clear" w:color="auto" w:fill="auto"/>
            <w:noWrap/>
            <w:vAlign w:val="center"/>
            <w:hideMark/>
          </w:tcPr>
          <w:p w14:paraId="173EB855" w14:textId="77777777" w:rsidR="006E6834" w:rsidRPr="007526AD" w:rsidRDefault="006E6834" w:rsidP="006E6834">
            <w:pPr>
              <w:rPr>
                <w:color w:val="000000"/>
                <w:sz w:val="22"/>
                <w:szCs w:val="22"/>
                <w:lang w:val="en-US"/>
              </w:rPr>
            </w:pPr>
            <w:r w:rsidRPr="007526AD">
              <w:rPr>
                <w:color w:val="000000"/>
                <w:sz w:val="22"/>
                <w:szCs w:val="22"/>
                <w:lang w:val="en-US"/>
              </w:rPr>
              <w:t>Bowel/colon problems</w:t>
            </w:r>
          </w:p>
        </w:tc>
        <w:tc>
          <w:tcPr>
            <w:tcW w:w="976" w:type="dxa"/>
            <w:shd w:val="clear" w:color="auto" w:fill="auto"/>
            <w:noWrap/>
            <w:vAlign w:val="center"/>
            <w:hideMark/>
          </w:tcPr>
          <w:p w14:paraId="5C325491" w14:textId="77777777" w:rsidR="006E6834" w:rsidRPr="007526AD" w:rsidRDefault="006E6834" w:rsidP="006E6834">
            <w:pPr>
              <w:rPr>
                <w:color w:val="000000"/>
                <w:sz w:val="22"/>
                <w:szCs w:val="22"/>
                <w:lang w:val="en-US"/>
              </w:rPr>
            </w:pPr>
            <w:r w:rsidRPr="007526AD">
              <w:rPr>
                <w:color w:val="000000"/>
                <w:sz w:val="22"/>
                <w:szCs w:val="22"/>
                <w:lang w:val="en-US"/>
              </w:rPr>
              <w:t>2.19***</w:t>
            </w:r>
          </w:p>
        </w:tc>
        <w:tc>
          <w:tcPr>
            <w:tcW w:w="1456" w:type="dxa"/>
            <w:shd w:val="clear" w:color="auto" w:fill="auto"/>
            <w:noWrap/>
            <w:vAlign w:val="center"/>
            <w:hideMark/>
          </w:tcPr>
          <w:p w14:paraId="11E327A7" w14:textId="77777777" w:rsidR="006E6834" w:rsidRPr="007526AD" w:rsidRDefault="006E6834" w:rsidP="006E6834">
            <w:pPr>
              <w:rPr>
                <w:color w:val="000000"/>
                <w:sz w:val="22"/>
                <w:szCs w:val="22"/>
                <w:lang w:val="en-US"/>
              </w:rPr>
            </w:pPr>
            <w:r w:rsidRPr="007526AD">
              <w:rPr>
                <w:color w:val="000000"/>
                <w:sz w:val="22"/>
                <w:szCs w:val="22"/>
                <w:lang w:val="en-US"/>
              </w:rPr>
              <w:t>[1.44,3.34]</w:t>
            </w:r>
          </w:p>
        </w:tc>
      </w:tr>
      <w:tr w:rsidR="006E6834" w:rsidRPr="007526AD" w14:paraId="0109220E" w14:textId="77777777" w:rsidTr="00DC2123">
        <w:trPr>
          <w:trHeight w:val="320"/>
        </w:trPr>
        <w:tc>
          <w:tcPr>
            <w:tcW w:w="4928" w:type="dxa"/>
            <w:shd w:val="clear" w:color="auto" w:fill="auto"/>
            <w:noWrap/>
            <w:vAlign w:val="center"/>
            <w:hideMark/>
          </w:tcPr>
          <w:p w14:paraId="6C47CE6D" w14:textId="77777777" w:rsidR="006E6834" w:rsidRPr="007526AD" w:rsidRDefault="006E6834" w:rsidP="006E6834">
            <w:pPr>
              <w:rPr>
                <w:color w:val="000000"/>
                <w:sz w:val="22"/>
                <w:szCs w:val="22"/>
                <w:lang w:val="en-US"/>
              </w:rPr>
            </w:pPr>
            <w:r w:rsidRPr="007526AD">
              <w:rPr>
                <w:color w:val="000000"/>
                <w:sz w:val="22"/>
                <w:szCs w:val="22"/>
                <w:lang w:val="en-US"/>
              </w:rPr>
              <w:t>Bronchitis/emphysema</w:t>
            </w:r>
          </w:p>
        </w:tc>
        <w:tc>
          <w:tcPr>
            <w:tcW w:w="976" w:type="dxa"/>
            <w:shd w:val="clear" w:color="auto" w:fill="auto"/>
            <w:noWrap/>
            <w:vAlign w:val="center"/>
            <w:hideMark/>
          </w:tcPr>
          <w:p w14:paraId="19C71F24" w14:textId="77777777" w:rsidR="006E6834" w:rsidRPr="007526AD" w:rsidRDefault="006E6834" w:rsidP="006E6834">
            <w:pPr>
              <w:rPr>
                <w:color w:val="000000"/>
                <w:sz w:val="22"/>
                <w:szCs w:val="22"/>
                <w:lang w:val="en-US"/>
              </w:rPr>
            </w:pPr>
            <w:r w:rsidRPr="007526AD">
              <w:rPr>
                <w:color w:val="000000"/>
                <w:sz w:val="22"/>
                <w:szCs w:val="22"/>
                <w:lang w:val="en-US"/>
              </w:rPr>
              <w:t>1.81</w:t>
            </w:r>
          </w:p>
        </w:tc>
        <w:tc>
          <w:tcPr>
            <w:tcW w:w="1456" w:type="dxa"/>
            <w:shd w:val="clear" w:color="auto" w:fill="auto"/>
            <w:noWrap/>
            <w:vAlign w:val="center"/>
            <w:hideMark/>
          </w:tcPr>
          <w:p w14:paraId="07025F27" w14:textId="77777777" w:rsidR="006E6834" w:rsidRPr="007526AD" w:rsidRDefault="006E6834" w:rsidP="006E6834">
            <w:pPr>
              <w:rPr>
                <w:color w:val="000000"/>
                <w:sz w:val="22"/>
                <w:szCs w:val="22"/>
                <w:lang w:val="en-US"/>
              </w:rPr>
            </w:pPr>
            <w:r w:rsidRPr="007526AD">
              <w:rPr>
                <w:color w:val="000000"/>
                <w:sz w:val="22"/>
                <w:szCs w:val="22"/>
                <w:lang w:val="en-US"/>
              </w:rPr>
              <w:t>[0.98,3.34]</w:t>
            </w:r>
          </w:p>
        </w:tc>
      </w:tr>
      <w:tr w:rsidR="006E6834" w:rsidRPr="007526AD" w14:paraId="732F572F" w14:textId="77777777" w:rsidTr="00DC2123">
        <w:trPr>
          <w:trHeight w:val="320"/>
        </w:trPr>
        <w:tc>
          <w:tcPr>
            <w:tcW w:w="4928" w:type="dxa"/>
            <w:shd w:val="clear" w:color="auto" w:fill="auto"/>
            <w:noWrap/>
            <w:vAlign w:val="center"/>
            <w:hideMark/>
          </w:tcPr>
          <w:p w14:paraId="566C201E" w14:textId="77777777" w:rsidR="006E6834" w:rsidRPr="007526AD" w:rsidRDefault="006E6834" w:rsidP="006E6834">
            <w:pPr>
              <w:rPr>
                <w:color w:val="000000"/>
                <w:sz w:val="22"/>
                <w:szCs w:val="22"/>
                <w:lang w:val="en-US"/>
              </w:rPr>
            </w:pPr>
            <w:r w:rsidRPr="007526AD">
              <w:rPr>
                <w:color w:val="000000"/>
                <w:sz w:val="22"/>
                <w:szCs w:val="22"/>
                <w:lang w:val="en-US"/>
              </w:rPr>
              <w:t>Cancer</w:t>
            </w:r>
          </w:p>
        </w:tc>
        <w:tc>
          <w:tcPr>
            <w:tcW w:w="976" w:type="dxa"/>
            <w:shd w:val="clear" w:color="auto" w:fill="auto"/>
            <w:noWrap/>
            <w:vAlign w:val="center"/>
            <w:hideMark/>
          </w:tcPr>
          <w:p w14:paraId="0D18FF1C" w14:textId="77777777" w:rsidR="006E6834" w:rsidRPr="007526AD" w:rsidRDefault="006E6834" w:rsidP="006E6834">
            <w:pPr>
              <w:rPr>
                <w:color w:val="000000"/>
                <w:sz w:val="22"/>
                <w:szCs w:val="22"/>
                <w:lang w:val="en-US"/>
              </w:rPr>
            </w:pPr>
            <w:r w:rsidRPr="007526AD">
              <w:rPr>
                <w:color w:val="000000"/>
                <w:sz w:val="22"/>
                <w:szCs w:val="22"/>
                <w:lang w:val="en-US"/>
              </w:rPr>
              <w:t>3.70**</w:t>
            </w:r>
          </w:p>
        </w:tc>
        <w:tc>
          <w:tcPr>
            <w:tcW w:w="1456" w:type="dxa"/>
            <w:shd w:val="clear" w:color="auto" w:fill="auto"/>
            <w:noWrap/>
            <w:vAlign w:val="center"/>
            <w:hideMark/>
          </w:tcPr>
          <w:p w14:paraId="12FF9CCE" w14:textId="77777777" w:rsidR="006E6834" w:rsidRPr="007526AD" w:rsidRDefault="006E6834" w:rsidP="006E6834">
            <w:pPr>
              <w:rPr>
                <w:color w:val="000000"/>
                <w:sz w:val="22"/>
                <w:szCs w:val="22"/>
                <w:lang w:val="en-US"/>
              </w:rPr>
            </w:pPr>
            <w:r w:rsidRPr="007526AD">
              <w:rPr>
                <w:color w:val="000000"/>
                <w:sz w:val="22"/>
                <w:szCs w:val="22"/>
                <w:lang w:val="en-US"/>
              </w:rPr>
              <w:t>[1.56,8.76]</w:t>
            </w:r>
          </w:p>
        </w:tc>
      </w:tr>
      <w:tr w:rsidR="006E6834" w:rsidRPr="007526AD" w14:paraId="131F602C" w14:textId="77777777" w:rsidTr="00DC2123">
        <w:trPr>
          <w:trHeight w:val="320"/>
        </w:trPr>
        <w:tc>
          <w:tcPr>
            <w:tcW w:w="4928" w:type="dxa"/>
            <w:shd w:val="clear" w:color="auto" w:fill="auto"/>
            <w:noWrap/>
            <w:vAlign w:val="center"/>
            <w:hideMark/>
          </w:tcPr>
          <w:p w14:paraId="7A30A9CC" w14:textId="77777777" w:rsidR="006E6834" w:rsidRPr="007526AD" w:rsidRDefault="006E6834" w:rsidP="006E6834">
            <w:pPr>
              <w:rPr>
                <w:color w:val="000000"/>
                <w:sz w:val="22"/>
                <w:szCs w:val="22"/>
                <w:lang w:val="en-US"/>
              </w:rPr>
            </w:pPr>
            <w:r w:rsidRPr="007526AD">
              <w:rPr>
                <w:color w:val="000000"/>
                <w:sz w:val="22"/>
                <w:szCs w:val="22"/>
                <w:lang w:val="en-US"/>
              </w:rPr>
              <w:t>Cataracts/eyesight problems</w:t>
            </w:r>
          </w:p>
        </w:tc>
        <w:tc>
          <w:tcPr>
            <w:tcW w:w="976" w:type="dxa"/>
            <w:shd w:val="clear" w:color="auto" w:fill="auto"/>
            <w:noWrap/>
            <w:vAlign w:val="center"/>
            <w:hideMark/>
          </w:tcPr>
          <w:p w14:paraId="37EEDD8A" w14:textId="77777777" w:rsidR="006E6834" w:rsidRPr="007526AD" w:rsidRDefault="006E6834" w:rsidP="006E6834">
            <w:pPr>
              <w:rPr>
                <w:color w:val="000000"/>
                <w:sz w:val="22"/>
                <w:szCs w:val="22"/>
                <w:lang w:val="en-US"/>
              </w:rPr>
            </w:pPr>
            <w:r w:rsidRPr="007526AD">
              <w:rPr>
                <w:color w:val="000000"/>
                <w:sz w:val="22"/>
                <w:szCs w:val="22"/>
                <w:lang w:val="en-US"/>
              </w:rPr>
              <w:t>1.52**</w:t>
            </w:r>
          </w:p>
        </w:tc>
        <w:tc>
          <w:tcPr>
            <w:tcW w:w="1456" w:type="dxa"/>
            <w:shd w:val="clear" w:color="auto" w:fill="auto"/>
            <w:noWrap/>
            <w:vAlign w:val="center"/>
            <w:hideMark/>
          </w:tcPr>
          <w:p w14:paraId="61B5B64C" w14:textId="77777777" w:rsidR="006E6834" w:rsidRPr="007526AD" w:rsidRDefault="006E6834" w:rsidP="006E6834">
            <w:pPr>
              <w:rPr>
                <w:color w:val="000000"/>
                <w:sz w:val="22"/>
                <w:szCs w:val="22"/>
                <w:lang w:val="en-US"/>
              </w:rPr>
            </w:pPr>
            <w:r w:rsidRPr="007526AD">
              <w:rPr>
                <w:color w:val="000000"/>
                <w:sz w:val="22"/>
                <w:szCs w:val="22"/>
                <w:lang w:val="en-US"/>
              </w:rPr>
              <w:t>[1.13,2.06]</w:t>
            </w:r>
          </w:p>
        </w:tc>
      </w:tr>
      <w:tr w:rsidR="006E6834" w:rsidRPr="007526AD" w14:paraId="6C2E3CD4" w14:textId="77777777" w:rsidTr="00DC2123">
        <w:trPr>
          <w:trHeight w:val="320"/>
        </w:trPr>
        <w:tc>
          <w:tcPr>
            <w:tcW w:w="4928" w:type="dxa"/>
            <w:shd w:val="clear" w:color="auto" w:fill="auto"/>
            <w:noWrap/>
            <w:vAlign w:val="center"/>
            <w:hideMark/>
          </w:tcPr>
          <w:p w14:paraId="35B9344D" w14:textId="77777777" w:rsidR="006E6834" w:rsidRPr="007526AD" w:rsidRDefault="006E6834" w:rsidP="006E6834">
            <w:pPr>
              <w:rPr>
                <w:color w:val="000000"/>
                <w:sz w:val="22"/>
                <w:szCs w:val="22"/>
                <w:lang w:val="en-US"/>
              </w:rPr>
            </w:pPr>
            <w:r w:rsidRPr="007526AD">
              <w:rPr>
                <w:color w:val="000000"/>
                <w:sz w:val="22"/>
                <w:szCs w:val="22"/>
                <w:lang w:val="en-US"/>
              </w:rPr>
              <w:t>Diabetes</w:t>
            </w:r>
          </w:p>
        </w:tc>
        <w:tc>
          <w:tcPr>
            <w:tcW w:w="976" w:type="dxa"/>
            <w:shd w:val="clear" w:color="auto" w:fill="auto"/>
            <w:noWrap/>
            <w:vAlign w:val="center"/>
            <w:hideMark/>
          </w:tcPr>
          <w:p w14:paraId="1D185048" w14:textId="77777777" w:rsidR="006E6834" w:rsidRPr="007526AD" w:rsidRDefault="006E6834" w:rsidP="006E6834">
            <w:pPr>
              <w:rPr>
                <w:color w:val="000000"/>
                <w:sz w:val="22"/>
                <w:szCs w:val="22"/>
                <w:lang w:val="en-US"/>
              </w:rPr>
            </w:pPr>
            <w:r w:rsidRPr="007526AD">
              <w:rPr>
                <w:color w:val="000000"/>
                <w:sz w:val="22"/>
                <w:szCs w:val="22"/>
                <w:lang w:val="en-US"/>
              </w:rPr>
              <w:t>1.61</w:t>
            </w:r>
          </w:p>
        </w:tc>
        <w:tc>
          <w:tcPr>
            <w:tcW w:w="1456" w:type="dxa"/>
            <w:shd w:val="clear" w:color="auto" w:fill="auto"/>
            <w:noWrap/>
            <w:vAlign w:val="center"/>
            <w:hideMark/>
          </w:tcPr>
          <w:p w14:paraId="48CC999F" w14:textId="77777777" w:rsidR="006E6834" w:rsidRPr="007526AD" w:rsidRDefault="006E6834" w:rsidP="006E6834">
            <w:pPr>
              <w:rPr>
                <w:color w:val="000000"/>
                <w:sz w:val="22"/>
                <w:szCs w:val="22"/>
                <w:lang w:val="en-US"/>
              </w:rPr>
            </w:pPr>
            <w:r w:rsidRPr="007526AD">
              <w:rPr>
                <w:color w:val="000000"/>
                <w:sz w:val="22"/>
                <w:szCs w:val="22"/>
                <w:lang w:val="en-US"/>
              </w:rPr>
              <w:t>[0.93,2.78]</w:t>
            </w:r>
          </w:p>
        </w:tc>
      </w:tr>
      <w:tr w:rsidR="006E6834" w:rsidRPr="007526AD" w14:paraId="0F0A46E8" w14:textId="77777777" w:rsidTr="00DC2123">
        <w:trPr>
          <w:trHeight w:val="320"/>
        </w:trPr>
        <w:tc>
          <w:tcPr>
            <w:tcW w:w="4928" w:type="dxa"/>
            <w:shd w:val="clear" w:color="auto" w:fill="auto"/>
            <w:noWrap/>
            <w:vAlign w:val="center"/>
            <w:hideMark/>
          </w:tcPr>
          <w:p w14:paraId="44E08993" w14:textId="77777777" w:rsidR="006E6834" w:rsidRPr="007526AD" w:rsidRDefault="006E6834" w:rsidP="006E6834">
            <w:pPr>
              <w:rPr>
                <w:color w:val="000000"/>
                <w:sz w:val="22"/>
                <w:szCs w:val="22"/>
                <w:lang w:val="en-US"/>
              </w:rPr>
            </w:pPr>
            <w:r w:rsidRPr="007526AD">
              <w:rPr>
                <w:color w:val="000000"/>
                <w:sz w:val="22"/>
                <w:szCs w:val="22"/>
                <w:lang w:val="en-US"/>
              </w:rPr>
              <w:t>Ear/hearing problems</w:t>
            </w:r>
          </w:p>
        </w:tc>
        <w:tc>
          <w:tcPr>
            <w:tcW w:w="976" w:type="dxa"/>
            <w:shd w:val="clear" w:color="auto" w:fill="auto"/>
            <w:noWrap/>
            <w:vAlign w:val="center"/>
            <w:hideMark/>
          </w:tcPr>
          <w:p w14:paraId="750AB047" w14:textId="77777777" w:rsidR="006E6834" w:rsidRPr="007526AD" w:rsidRDefault="006E6834" w:rsidP="006E6834">
            <w:pPr>
              <w:rPr>
                <w:color w:val="000000"/>
                <w:sz w:val="22"/>
                <w:szCs w:val="22"/>
                <w:lang w:val="en-US"/>
              </w:rPr>
            </w:pPr>
            <w:r w:rsidRPr="007526AD">
              <w:rPr>
                <w:color w:val="000000"/>
                <w:sz w:val="22"/>
                <w:szCs w:val="22"/>
                <w:lang w:val="en-US"/>
              </w:rPr>
              <w:t>1.40</w:t>
            </w:r>
          </w:p>
        </w:tc>
        <w:tc>
          <w:tcPr>
            <w:tcW w:w="1456" w:type="dxa"/>
            <w:shd w:val="clear" w:color="auto" w:fill="auto"/>
            <w:noWrap/>
            <w:vAlign w:val="center"/>
            <w:hideMark/>
          </w:tcPr>
          <w:p w14:paraId="361998DE" w14:textId="77777777" w:rsidR="006E6834" w:rsidRPr="007526AD" w:rsidRDefault="006E6834" w:rsidP="006E6834">
            <w:pPr>
              <w:rPr>
                <w:color w:val="000000"/>
                <w:sz w:val="22"/>
                <w:szCs w:val="22"/>
                <w:lang w:val="en-US"/>
              </w:rPr>
            </w:pPr>
            <w:r w:rsidRPr="007526AD">
              <w:rPr>
                <w:color w:val="000000"/>
                <w:sz w:val="22"/>
                <w:szCs w:val="22"/>
                <w:lang w:val="en-US"/>
              </w:rPr>
              <w:t>[0.87,2.26]</w:t>
            </w:r>
          </w:p>
        </w:tc>
      </w:tr>
      <w:tr w:rsidR="006E6834" w:rsidRPr="007526AD" w14:paraId="740238FF" w14:textId="77777777" w:rsidTr="00DC2123">
        <w:trPr>
          <w:trHeight w:val="320"/>
        </w:trPr>
        <w:tc>
          <w:tcPr>
            <w:tcW w:w="4928" w:type="dxa"/>
            <w:shd w:val="clear" w:color="auto" w:fill="auto"/>
            <w:noWrap/>
            <w:vAlign w:val="center"/>
            <w:hideMark/>
          </w:tcPr>
          <w:p w14:paraId="184EE5FC" w14:textId="77777777" w:rsidR="006E6834" w:rsidRPr="007526AD" w:rsidRDefault="006E6834" w:rsidP="006E6834">
            <w:pPr>
              <w:rPr>
                <w:color w:val="000000"/>
                <w:sz w:val="22"/>
                <w:szCs w:val="22"/>
                <w:lang w:val="en-US"/>
              </w:rPr>
            </w:pPr>
            <w:r w:rsidRPr="007526AD">
              <w:rPr>
                <w:color w:val="000000"/>
                <w:sz w:val="22"/>
                <w:szCs w:val="22"/>
                <w:lang w:val="en-US"/>
              </w:rPr>
              <w:t>Epilepsy/fits</w:t>
            </w:r>
          </w:p>
        </w:tc>
        <w:tc>
          <w:tcPr>
            <w:tcW w:w="976" w:type="dxa"/>
            <w:shd w:val="clear" w:color="auto" w:fill="auto"/>
            <w:noWrap/>
            <w:vAlign w:val="center"/>
            <w:hideMark/>
          </w:tcPr>
          <w:p w14:paraId="25D9B4C3" w14:textId="77777777" w:rsidR="006E6834" w:rsidRPr="007526AD" w:rsidRDefault="006E6834" w:rsidP="006E6834">
            <w:pPr>
              <w:rPr>
                <w:color w:val="000000"/>
                <w:sz w:val="22"/>
                <w:szCs w:val="22"/>
                <w:lang w:val="en-US"/>
              </w:rPr>
            </w:pPr>
            <w:r w:rsidRPr="007526AD">
              <w:rPr>
                <w:color w:val="000000"/>
                <w:sz w:val="22"/>
                <w:szCs w:val="22"/>
                <w:lang w:val="en-US"/>
              </w:rPr>
              <w:t>2.36</w:t>
            </w:r>
          </w:p>
        </w:tc>
        <w:tc>
          <w:tcPr>
            <w:tcW w:w="1456" w:type="dxa"/>
            <w:shd w:val="clear" w:color="auto" w:fill="auto"/>
            <w:noWrap/>
            <w:vAlign w:val="center"/>
            <w:hideMark/>
          </w:tcPr>
          <w:p w14:paraId="2BF869DE" w14:textId="77777777" w:rsidR="006E6834" w:rsidRPr="007526AD" w:rsidRDefault="006E6834" w:rsidP="006E6834">
            <w:pPr>
              <w:rPr>
                <w:color w:val="000000"/>
                <w:sz w:val="22"/>
                <w:szCs w:val="22"/>
                <w:lang w:val="en-US"/>
              </w:rPr>
            </w:pPr>
            <w:r w:rsidRPr="007526AD">
              <w:rPr>
                <w:color w:val="000000"/>
                <w:sz w:val="22"/>
                <w:szCs w:val="22"/>
                <w:lang w:val="en-US"/>
              </w:rPr>
              <w:t>[0.97,5.69]</w:t>
            </w:r>
          </w:p>
        </w:tc>
      </w:tr>
      <w:tr w:rsidR="006E6834" w:rsidRPr="007526AD" w14:paraId="620BBEDE" w14:textId="77777777" w:rsidTr="00DC2123">
        <w:trPr>
          <w:trHeight w:val="320"/>
        </w:trPr>
        <w:tc>
          <w:tcPr>
            <w:tcW w:w="4928" w:type="dxa"/>
            <w:shd w:val="clear" w:color="auto" w:fill="auto"/>
            <w:noWrap/>
            <w:vAlign w:val="center"/>
            <w:hideMark/>
          </w:tcPr>
          <w:p w14:paraId="14517631" w14:textId="77777777" w:rsidR="006E6834" w:rsidRPr="007526AD" w:rsidRDefault="006E6834" w:rsidP="006E6834">
            <w:pPr>
              <w:rPr>
                <w:color w:val="000000"/>
                <w:sz w:val="22"/>
                <w:szCs w:val="22"/>
                <w:lang w:val="en-US"/>
              </w:rPr>
            </w:pPr>
            <w:r w:rsidRPr="007526AD">
              <w:rPr>
                <w:color w:val="000000"/>
                <w:sz w:val="22"/>
                <w:szCs w:val="22"/>
                <w:lang w:val="en-US"/>
              </w:rPr>
              <w:t>Heart attack/angina</w:t>
            </w:r>
          </w:p>
        </w:tc>
        <w:tc>
          <w:tcPr>
            <w:tcW w:w="976" w:type="dxa"/>
            <w:shd w:val="clear" w:color="auto" w:fill="auto"/>
            <w:noWrap/>
            <w:vAlign w:val="center"/>
            <w:hideMark/>
          </w:tcPr>
          <w:p w14:paraId="142FEA7A" w14:textId="77777777" w:rsidR="006E6834" w:rsidRPr="007526AD" w:rsidRDefault="006E6834" w:rsidP="006E6834">
            <w:pPr>
              <w:rPr>
                <w:color w:val="000000"/>
                <w:sz w:val="22"/>
                <w:szCs w:val="22"/>
                <w:lang w:val="en-US"/>
              </w:rPr>
            </w:pPr>
            <w:r w:rsidRPr="007526AD">
              <w:rPr>
                <w:color w:val="000000"/>
                <w:sz w:val="22"/>
                <w:szCs w:val="22"/>
                <w:lang w:val="en-US"/>
              </w:rPr>
              <w:t>1.60</w:t>
            </w:r>
          </w:p>
        </w:tc>
        <w:tc>
          <w:tcPr>
            <w:tcW w:w="1456" w:type="dxa"/>
            <w:shd w:val="clear" w:color="auto" w:fill="auto"/>
            <w:noWrap/>
            <w:vAlign w:val="center"/>
            <w:hideMark/>
          </w:tcPr>
          <w:p w14:paraId="0D431866" w14:textId="77777777" w:rsidR="006E6834" w:rsidRPr="007526AD" w:rsidRDefault="006E6834" w:rsidP="006E6834">
            <w:pPr>
              <w:rPr>
                <w:color w:val="000000"/>
                <w:sz w:val="22"/>
                <w:szCs w:val="22"/>
                <w:lang w:val="en-US"/>
              </w:rPr>
            </w:pPr>
            <w:r w:rsidRPr="007526AD">
              <w:rPr>
                <w:color w:val="000000"/>
                <w:sz w:val="22"/>
                <w:szCs w:val="22"/>
                <w:lang w:val="en-US"/>
              </w:rPr>
              <w:t>[0.73,3.52]</w:t>
            </w:r>
          </w:p>
        </w:tc>
      </w:tr>
      <w:tr w:rsidR="006E6834" w:rsidRPr="007526AD" w14:paraId="093C6286" w14:textId="77777777" w:rsidTr="00DC2123">
        <w:trPr>
          <w:trHeight w:val="320"/>
        </w:trPr>
        <w:tc>
          <w:tcPr>
            <w:tcW w:w="4928" w:type="dxa"/>
            <w:shd w:val="clear" w:color="auto" w:fill="auto"/>
            <w:noWrap/>
            <w:vAlign w:val="center"/>
            <w:hideMark/>
          </w:tcPr>
          <w:p w14:paraId="77A6453A" w14:textId="77777777" w:rsidR="006E6834" w:rsidRPr="007526AD" w:rsidRDefault="006E6834" w:rsidP="006E6834">
            <w:pPr>
              <w:rPr>
                <w:color w:val="000000"/>
                <w:sz w:val="22"/>
                <w:szCs w:val="22"/>
                <w:lang w:val="en-US"/>
              </w:rPr>
            </w:pPr>
            <w:r w:rsidRPr="007526AD">
              <w:rPr>
                <w:color w:val="000000"/>
                <w:sz w:val="22"/>
                <w:szCs w:val="22"/>
                <w:lang w:val="en-US"/>
              </w:rPr>
              <w:t>High blood pressure</w:t>
            </w:r>
          </w:p>
        </w:tc>
        <w:tc>
          <w:tcPr>
            <w:tcW w:w="976" w:type="dxa"/>
            <w:shd w:val="clear" w:color="auto" w:fill="auto"/>
            <w:noWrap/>
            <w:vAlign w:val="center"/>
            <w:hideMark/>
          </w:tcPr>
          <w:p w14:paraId="40BAC891" w14:textId="77777777" w:rsidR="006E6834" w:rsidRPr="007526AD" w:rsidRDefault="006E6834" w:rsidP="006E6834">
            <w:pPr>
              <w:rPr>
                <w:color w:val="000000"/>
                <w:sz w:val="22"/>
                <w:szCs w:val="22"/>
                <w:lang w:val="en-US"/>
              </w:rPr>
            </w:pPr>
            <w:r w:rsidRPr="007526AD">
              <w:rPr>
                <w:color w:val="000000"/>
                <w:sz w:val="22"/>
                <w:szCs w:val="22"/>
                <w:lang w:val="en-US"/>
              </w:rPr>
              <w:t>1.29</w:t>
            </w:r>
          </w:p>
        </w:tc>
        <w:tc>
          <w:tcPr>
            <w:tcW w:w="1456" w:type="dxa"/>
            <w:shd w:val="clear" w:color="auto" w:fill="auto"/>
            <w:noWrap/>
            <w:vAlign w:val="center"/>
            <w:hideMark/>
          </w:tcPr>
          <w:p w14:paraId="58AD3E50" w14:textId="77777777" w:rsidR="006E6834" w:rsidRPr="007526AD" w:rsidRDefault="006E6834" w:rsidP="006E6834">
            <w:pPr>
              <w:rPr>
                <w:color w:val="000000"/>
                <w:sz w:val="22"/>
                <w:szCs w:val="22"/>
                <w:lang w:val="en-US"/>
              </w:rPr>
            </w:pPr>
            <w:r w:rsidRPr="007526AD">
              <w:rPr>
                <w:color w:val="000000"/>
                <w:sz w:val="22"/>
                <w:szCs w:val="22"/>
                <w:lang w:val="en-US"/>
              </w:rPr>
              <w:t>[0.92,1.80]</w:t>
            </w:r>
          </w:p>
        </w:tc>
      </w:tr>
      <w:tr w:rsidR="006E6834" w:rsidRPr="007526AD" w14:paraId="1D7C30F7" w14:textId="77777777" w:rsidTr="00DC2123">
        <w:trPr>
          <w:trHeight w:val="320"/>
        </w:trPr>
        <w:tc>
          <w:tcPr>
            <w:tcW w:w="4928" w:type="dxa"/>
            <w:shd w:val="clear" w:color="auto" w:fill="auto"/>
            <w:noWrap/>
            <w:vAlign w:val="center"/>
            <w:hideMark/>
          </w:tcPr>
          <w:p w14:paraId="6C9C71E3" w14:textId="77777777" w:rsidR="006E6834" w:rsidRPr="007526AD" w:rsidRDefault="006E6834" w:rsidP="006E6834">
            <w:pPr>
              <w:rPr>
                <w:color w:val="000000"/>
                <w:sz w:val="22"/>
                <w:szCs w:val="22"/>
                <w:lang w:val="en-US"/>
              </w:rPr>
            </w:pPr>
            <w:r w:rsidRPr="007526AD">
              <w:rPr>
                <w:color w:val="000000"/>
                <w:sz w:val="22"/>
                <w:szCs w:val="22"/>
                <w:lang w:val="en-US"/>
              </w:rPr>
              <w:t>Infectious disease</w:t>
            </w:r>
          </w:p>
        </w:tc>
        <w:tc>
          <w:tcPr>
            <w:tcW w:w="976" w:type="dxa"/>
            <w:shd w:val="clear" w:color="auto" w:fill="auto"/>
            <w:noWrap/>
            <w:vAlign w:val="center"/>
            <w:hideMark/>
          </w:tcPr>
          <w:p w14:paraId="48CA0F0B" w14:textId="77777777" w:rsidR="006E6834" w:rsidRPr="007526AD" w:rsidRDefault="006E6834" w:rsidP="006E6834">
            <w:pPr>
              <w:rPr>
                <w:color w:val="000000"/>
                <w:sz w:val="22"/>
                <w:szCs w:val="22"/>
                <w:lang w:val="en-US"/>
              </w:rPr>
            </w:pPr>
            <w:r w:rsidRPr="007526AD">
              <w:rPr>
                <w:color w:val="000000"/>
                <w:sz w:val="22"/>
                <w:szCs w:val="22"/>
                <w:lang w:val="en-US"/>
              </w:rPr>
              <w:t>6.77***</w:t>
            </w:r>
          </w:p>
        </w:tc>
        <w:tc>
          <w:tcPr>
            <w:tcW w:w="1456" w:type="dxa"/>
            <w:shd w:val="clear" w:color="auto" w:fill="auto"/>
            <w:noWrap/>
            <w:vAlign w:val="center"/>
            <w:hideMark/>
          </w:tcPr>
          <w:p w14:paraId="0AB00353" w14:textId="77777777" w:rsidR="006E6834" w:rsidRPr="007526AD" w:rsidRDefault="006E6834" w:rsidP="006E6834">
            <w:pPr>
              <w:rPr>
                <w:color w:val="000000"/>
                <w:sz w:val="22"/>
                <w:szCs w:val="22"/>
                <w:lang w:val="en-US"/>
              </w:rPr>
            </w:pPr>
            <w:r w:rsidRPr="007526AD">
              <w:rPr>
                <w:color w:val="000000"/>
                <w:sz w:val="22"/>
                <w:szCs w:val="22"/>
                <w:lang w:val="en-US"/>
              </w:rPr>
              <w:t>[3.04,15.06]</w:t>
            </w:r>
          </w:p>
        </w:tc>
      </w:tr>
      <w:tr w:rsidR="006E6834" w:rsidRPr="007526AD" w14:paraId="13EA6C8B" w14:textId="77777777" w:rsidTr="00DC2123">
        <w:trPr>
          <w:trHeight w:val="320"/>
        </w:trPr>
        <w:tc>
          <w:tcPr>
            <w:tcW w:w="4928" w:type="dxa"/>
            <w:shd w:val="clear" w:color="auto" w:fill="auto"/>
            <w:noWrap/>
            <w:vAlign w:val="center"/>
            <w:hideMark/>
          </w:tcPr>
          <w:p w14:paraId="406F34D8" w14:textId="77777777" w:rsidR="006E6834" w:rsidRPr="007526AD" w:rsidRDefault="006E6834" w:rsidP="006E6834">
            <w:pPr>
              <w:rPr>
                <w:color w:val="000000"/>
                <w:sz w:val="22"/>
                <w:szCs w:val="22"/>
                <w:lang w:val="en-US"/>
              </w:rPr>
            </w:pPr>
            <w:r w:rsidRPr="007526AD">
              <w:rPr>
                <w:color w:val="000000"/>
                <w:sz w:val="22"/>
                <w:szCs w:val="22"/>
                <w:lang w:val="en-US"/>
              </w:rPr>
              <w:t>Liver problems</w:t>
            </w:r>
          </w:p>
        </w:tc>
        <w:tc>
          <w:tcPr>
            <w:tcW w:w="976" w:type="dxa"/>
            <w:shd w:val="clear" w:color="auto" w:fill="auto"/>
            <w:noWrap/>
            <w:vAlign w:val="center"/>
            <w:hideMark/>
          </w:tcPr>
          <w:p w14:paraId="054B1664" w14:textId="77777777" w:rsidR="006E6834" w:rsidRPr="007526AD" w:rsidRDefault="006E6834" w:rsidP="006E6834">
            <w:pPr>
              <w:rPr>
                <w:color w:val="000000"/>
                <w:sz w:val="22"/>
                <w:szCs w:val="22"/>
                <w:lang w:val="en-US"/>
              </w:rPr>
            </w:pPr>
            <w:r w:rsidRPr="007526AD">
              <w:rPr>
                <w:color w:val="000000"/>
                <w:sz w:val="22"/>
                <w:szCs w:val="22"/>
                <w:lang w:val="en-US"/>
              </w:rPr>
              <w:t>2.40*</w:t>
            </w:r>
          </w:p>
        </w:tc>
        <w:tc>
          <w:tcPr>
            <w:tcW w:w="1456" w:type="dxa"/>
            <w:shd w:val="clear" w:color="auto" w:fill="auto"/>
            <w:noWrap/>
            <w:vAlign w:val="center"/>
            <w:hideMark/>
          </w:tcPr>
          <w:p w14:paraId="2CA6BE97" w14:textId="77777777" w:rsidR="006E6834" w:rsidRPr="007526AD" w:rsidRDefault="006E6834" w:rsidP="006E6834">
            <w:pPr>
              <w:rPr>
                <w:color w:val="000000"/>
                <w:sz w:val="22"/>
                <w:szCs w:val="22"/>
                <w:lang w:val="en-US"/>
              </w:rPr>
            </w:pPr>
            <w:r w:rsidRPr="007526AD">
              <w:rPr>
                <w:color w:val="000000"/>
                <w:sz w:val="22"/>
                <w:szCs w:val="22"/>
                <w:lang w:val="en-US"/>
              </w:rPr>
              <w:t>[1.07,5.39]</w:t>
            </w:r>
          </w:p>
        </w:tc>
      </w:tr>
      <w:tr w:rsidR="006E6834" w:rsidRPr="007526AD" w14:paraId="64CCAFC2" w14:textId="77777777" w:rsidTr="00DC2123">
        <w:trPr>
          <w:trHeight w:val="320"/>
        </w:trPr>
        <w:tc>
          <w:tcPr>
            <w:tcW w:w="4928" w:type="dxa"/>
            <w:shd w:val="clear" w:color="auto" w:fill="auto"/>
            <w:noWrap/>
            <w:vAlign w:val="center"/>
            <w:hideMark/>
          </w:tcPr>
          <w:p w14:paraId="2352C120" w14:textId="77777777" w:rsidR="006E6834" w:rsidRPr="007526AD" w:rsidRDefault="006E6834" w:rsidP="006E6834">
            <w:pPr>
              <w:rPr>
                <w:color w:val="000000"/>
                <w:sz w:val="22"/>
                <w:szCs w:val="22"/>
                <w:lang w:val="en-US"/>
              </w:rPr>
            </w:pPr>
            <w:r w:rsidRPr="007526AD">
              <w:rPr>
                <w:color w:val="000000"/>
                <w:sz w:val="22"/>
                <w:szCs w:val="22"/>
                <w:lang w:val="en-US"/>
              </w:rPr>
              <w:t>Migraine or frequent headaches</w:t>
            </w:r>
          </w:p>
        </w:tc>
        <w:tc>
          <w:tcPr>
            <w:tcW w:w="976" w:type="dxa"/>
            <w:shd w:val="clear" w:color="auto" w:fill="auto"/>
            <w:noWrap/>
            <w:vAlign w:val="center"/>
            <w:hideMark/>
          </w:tcPr>
          <w:p w14:paraId="38C7BE0B" w14:textId="77777777" w:rsidR="006E6834" w:rsidRPr="007526AD" w:rsidRDefault="006E6834" w:rsidP="006E6834">
            <w:pPr>
              <w:rPr>
                <w:color w:val="000000"/>
                <w:sz w:val="22"/>
                <w:szCs w:val="22"/>
                <w:lang w:val="en-US"/>
              </w:rPr>
            </w:pPr>
            <w:r w:rsidRPr="007526AD">
              <w:rPr>
                <w:color w:val="000000"/>
                <w:sz w:val="22"/>
                <w:szCs w:val="22"/>
                <w:lang w:val="en-US"/>
              </w:rPr>
              <w:t>1.84***</w:t>
            </w:r>
          </w:p>
        </w:tc>
        <w:tc>
          <w:tcPr>
            <w:tcW w:w="1456" w:type="dxa"/>
            <w:shd w:val="clear" w:color="auto" w:fill="auto"/>
            <w:noWrap/>
            <w:vAlign w:val="center"/>
            <w:hideMark/>
          </w:tcPr>
          <w:p w14:paraId="61D28888" w14:textId="77777777" w:rsidR="006E6834" w:rsidRPr="007526AD" w:rsidRDefault="006E6834" w:rsidP="006E6834">
            <w:pPr>
              <w:rPr>
                <w:color w:val="000000"/>
                <w:sz w:val="22"/>
                <w:szCs w:val="22"/>
                <w:lang w:val="en-US"/>
              </w:rPr>
            </w:pPr>
            <w:r w:rsidRPr="007526AD">
              <w:rPr>
                <w:color w:val="000000"/>
                <w:sz w:val="22"/>
                <w:szCs w:val="22"/>
                <w:lang w:val="en-US"/>
              </w:rPr>
              <w:t>[1.33,2.54]</w:t>
            </w:r>
          </w:p>
        </w:tc>
      </w:tr>
      <w:tr w:rsidR="006E6834" w:rsidRPr="007526AD" w14:paraId="03606CC2" w14:textId="77777777" w:rsidTr="00DC2123">
        <w:trPr>
          <w:trHeight w:val="320"/>
        </w:trPr>
        <w:tc>
          <w:tcPr>
            <w:tcW w:w="4928" w:type="dxa"/>
            <w:shd w:val="clear" w:color="auto" w:fill="auto"/>
            <w:noWrap/>
            <w:vAlign w:val="center"/>
            <w:hideMark/>
          </w:tcPr>
          <w:p w14:paraId="1B7F83F7" w14:textId="77777777" w:rsidR="006E6834" w:rsidRPr="007526AD" w:rsidRDefault="006E6834" w:rsidP="006E6834">
            <w:pPr>
              <w:rPr>
                <w:color w:val="000000"/>
                <w:sz w:val="22"/>
                <w:szCs w:val="22"/>
                <w:lang w:val="en-US"/>
              </w:rPr>
            </w:pPr>
            <w:r w:rsidRPr="007526AD">
              <w:rPr>
                <w:color w:val="000000"/>
                <w:sz w:val="22"/>
                <w:szCs w:val="22"/>
                <w:lang w:val="en-US"/>
              </w:rPr>
              <w:t>Skin problems</w:t>
            </w:r>
          </w:p>
        </w:tc>
        <w:tc>
          <w:tcPr>
            <w:tcW w:w="976" w:type="dxa"/>
            <w:shd w:val="clear" w:color="auto" w:fill="auto"/>
            <w:noWrap/>
            <w:vAlign w:val="center"/>
            <w:hideMark/>
          </w:tcPr>
          <w:p w14:paraId="05F65015" w14:textId="77777777" w:rsidR="006E6834" w:rsidRPr="007526AD" w:rsidRDefault="006E6834" w:rsidP="006E6834">
            <w:pPr>
              <w:rPr>
                <w:color w:val="000000"/>
                <w:sz w:val="22"/>
                <w:szCs w:val="22"/>
                <w:lang w:val="en-US"/>
              </w:rPr>
            </w:pPr>
            <w:r w:rsidRPr="007526AD">
              <w:rPr>
                <w:color w:val="000000"/>
                <w:sz w:val="22"/>
                <w:szCs w:val="22"/>
                <w:lang w:val="en-US"/>
              </w:rPr>
              <w:t>1.52**</w:t>
            </w:r>
          </w:p>
        </w:tc>
        <w:tc>
          <w:tcPr>
            <w:tcW w:w="1456" w:type="dxa"/>
            <w:shd w:val="clear" w:color="auto" w:fill="auto"/>
            <w:noWrap/>
            <w:vAlign w:val="center"/>
            <w:hideMark/>
          </w:tcPr>
          <w:p w14:paraId="556AF5B1" w14:textId="77777777" w:rsidR="006E6834" w:rsidRPr="007526AD" w:rsidRDefault="006E6834" w:rsidP="006E6834">
            <w:pPr>
              <w:rPr>
                <w:color w:val="000000"/>
                <w:sz w:val="22"/>
                <w:szCs w:val="22"/>
                <w:lang w:val="en-US"/>
              </w:rPr>
            </w:pPr>
            <w:r w:rsidRPr="007526AD">
              <w:rPr>
                <w:color w:val="000000"/>
                <w:sz w:val="22"/>
                <w:szCs w:val="22"/>
                <w:lang w:val="en-US"/>
              </w:rPr>
              <w:t>[1.13,2.04]</w:t>
            </w:r>
          </w:p>
        </w:tc>
      </w:tr>
      <w:tr w:rsidR="006E6834" w:rsidRPr="007526AD" w14:paraId="42FB7F48" w14:textId="77777777" w:rsidTr="00DC2123">
        <w:trPr>
          <w:trHeight w:val="320"/>
        </w:trPr>
        <w:tc>
          <w:tcPr>
            <w:tcW w:w="4928" w:type="dxa"/>
            <w:shd w:val="clear" w:color="auto" w:fill="auto"/>
            <w:noWrap/>
            <w:vAlign w:val="center"/>
            <w:hideMark/>
          </w:tcPr>
          <w:p w14:paraId="2538FFB5" w14:textId="77777777" w:rsidR="006E6834" w:rsidRPr="007526AD" w:rsidRDefault="006E6834" w:rsidP="006E6834">
            <w:pPr>
              <w:rPr>
                <w:color w:val="000000"/>
                <w:sz w:val="22"/>
                <w:szCs w:val="22"/>
                <w:lang w:val="en-US"/>
              </w:rPr>
            </w:pPr>
            <w:r w:rsidRPr="007526AD">
              <w:rPr>
                <w:color w:val="000000"/>
                <w:sz w:val="22"/>
                <w:szCs w:val="22"/>
                <w:lang w:val="en-US"/>
              </w:rPr>
              <w:t>Stomach ulcer or other digestive problems</w:t>
            </w:r>
          </w:p>
        </w:tc>
        <w:tc>
          <w:tcPr>
            <w:tcW w:w="976" w:type="dxa"/>
            <w:shd w:val="clear" w:color="auto" w:fill="auto"/>
            <w:noWrap/>
            <w:vAlign w:val="center"/>
            <w:hideMark/>
          </w:tcPr>
          <w:p w14:paraId="16B68332" w14:textId="77777777" w:rsidR="006E6834" w:rsidRPr="007526AD" w:rsidRDefault="006E6834" w:rsidP="006E6834">
            <w:pPr>
              <w:rPr>
                <w:color w:val="000000"/>
                <w:sz w:val="22"/>
                <w:szCs w:val="22"/>
                <w:lang w:val="en-US"/>
              </w:rPr>
            </w:pPr>
            <w:r w:rsidRPr="007526AD">
              <w:rPr>
                <w:color w:val="000000"/>
                <w:sz w:val="22"/>
                <w:szCs w:val="22"/>
                <w:lang w:val="en-US"/>
              </w:rPr>
              <w:t>2.14***</w:t>
            </w:r>
          </w:p>
        </w:tc>
        <w:tc>
          <w:tcPr>
            <w:tcW w:w="1456" w:type="dxa"/>
            <w:shd w:val="clear" w:color="auto" w:fill="auto"/>
            <w:noWrap/>
            <w:vAlign w:val="center"/>
            <w:hideMark/>
          </w:tcPr>
          <w:p w14:paraId="72D3D0BB" w14:textId="77777777" w:rsidR="006E6834" w:rsidRPr="007526AD" w:rsidRDefault="006E6834" w:rsidP="006E6834">
            <w:pPr>
              <w:rPr>
                <w:color w:val="000000"/>
                <w:sz w:val="22"/>
                <w:szCs w:val="22"/>
                <w:lang w:val="en-US"/>
              </w:rPr>
            </w:pPr>
            <w:r w:rsidRPr="007526AD">
              <w:rPr>
                <w:color w:val="000000"/>
                <w:sz w:val="22"/>
                <w:szCs w:val="22"/>
                <w:lang w:val="en-US"/>
              </w:rPr>
              <w:t>[1.46,3.14]</w:t>
            </w:r>
          </w:p>
        </w:tc>
      </w:tr>
      <w:tr w:rsidR="006E6834" w:rsidRPr="007526AD" w14:paraId="47F9FF35" w14:textId="77777777" w:rsidTr="00DC2123">
        <w:trPr>
          <w:trHeight w:val="320"/>
        </w:trPr>
        <w:tc>
          <w:tcPr>
            <w:tcW w:w="4928" w:type="dxa"/>
            <w:shd w:val="clear" w:color="auto" w:fill="auto"/>
            <w:noWrap/>
            <w:vAlign w:val="center"/>
            <w:hideMark/>
          </w:tcPr>
          <w:p w14:paraId="454ED5FB" w14:textId="77777777" w:rsidR="006E6834" w:rsidRPr="007526AD" w:rsidRDefault="006E6834" w:rsidP="006E6834">
            <w:pPr>
              <w:rPr>
                <w:color w:val="000000"/>
                <w:sz w:val="22"/>
                <w:szCs w:val="22"/>
                <w:lang w:val="en-US"/>
              </w:rPr>
            </w:pPr>
            <w:r w:rsidRPr="007526AD">
              <w:rPr>
                <w:color w:val="000000"/>
                <w:sz w:val="22"/>
                <w:szCs w:val="22"/>
                <w:lang w:val="en-US"/>
              </w:rPr>
              <w:t>Stroke</w:t>
            </w:r>
          </w:p>
        </w:tc>
        <w:tc>
          <w:tcPr>
            <w:tcW w:w="976" w:type="dxa"/>
            <w:shd w:val="clear" w:color="auto" w:fill="auto"/>
            <w:noWrap/>
            <w:vAlign w:val="center"/>
            <w:hideMark/>
          </w:tcPr>
          <w:p w14:paraId="7C73DC71" w14:textId="77777777" w:rsidR="006E6834" w:rsidRPr="007526AD" w:rsidRDefault="006E6834" w:rsidP="006E6834">
            <w:pPr>
              <w:rPr>
                <w:color w:val="000000"/>
                <w:sz w:val="22"/>
                <w:szCs w:val="22"/>
                <w:lang w:val="en-US"/>
              </w:rPr>
            </w:pPr>
            <w:r w:rsidRPr="007526AD">
              <w:rPr>
                <w:color w:val="000000"/>
                <w:sz w:val="22"/>
                <w:szCs w:val="22"/>
                <w:lang w:val="en-US"/>
              </w:rPr>
              <w:t>2.81</w:t>
            </w:r>
          </w:p>
        </w:tc>
        <w:tc>
          <w:tcPr>
            <w:tcW w:w="1456" w:type="dxa"/>
            <w:shd w:val="clear" w:color="auto" w:fill="auto"/>
            <w:noWrap/>
            <w:vAlign w:val="center"/>
            <w:hideMark/>
          </w:tcPr>
          <w:p w14:paraId="03DCC83A" w14:textId="77777777" w:rsidR="006E6834" w:rsidRPr="007526AD" w:rsidRDefault="006E6834" w:rsidP="006E6834">
            <w:pPr>
              <w:rPr>
                <w:color w:val="000000"/>
                <w:sz w:val="22"/>
                <w:szCs w:val="22"/>
                <w:lang w:val="en-US"/>
              </w:rPr>
            </w:pPr>
            <w:r w:rsidRPr="007526AD">
              <w:rPr>
                <w:color w:val="000000"/>
                <w:sz w:val="22"/>
                <w:szCs w:val="22"/>
                <w:lang w:val="en-US"/>
              </w:rPr>
              <w:t>[0.52,15.08]</w:t>
            </w:r>
          </w:p>
        </w:tc>
      </w:tr>
    </w:tbl>
    <w:p w14:paraId="681FC170" w14:textId="7C8E9287" w:rsidR="006E6834" w:rsidRPr="007526AD" w:rsidRDefault="006E6834" w:rsidP="006E6834">
      <w:pPr>
        <w:rPr>
          <w:sz w:val="20"/>
          <w:szCs w:val="20"/>
          <w:lang w:val="en-US"/>
        </w:rPr>
      </w:pPr>
      <w:r w:rsidRPr="007526AD">
        <w:rPr>
          <w:sz w:val="20"/>
          <w:szCs w:val="20"/>
          <w:lang w:val="en-US"/>
        </w:rPr>
        <w:t>Abbreviation: OR Odds ratio</w:t>
      </w:r>
      <w:r w:rsidR="00993F06" w:rsidRPr="007526AD">
        <w:rPr>
          <w:sz w:val="20"/>
          <w:szCs w:val="20"/>
          <w:lang w:val="en-US"/>
        </w:rPr>
        <w:t>; CI Confidence interval</w:t>
      </w:r>
    </w:p>
    <w:p w14:paraId="0498306B" w14:textId="5D9932AF" w:rsidR="00993F06" w:rsidRPr="007526AD" w:rsidRDefault="0014680A" w:rsidP="006E6834">
      <w:pPr>
        <w:rPr>
          <w:sz w:val="20"/>
          <w:szCs w:val="20"/>
          <w:lang w:val="en-US"/>
        </w:rPr>
      </w:pPr>
      <w:r w:rsidRPr="007526AD">
        <w:rPr>
          <w:sz w:val="20"/>
          <w:szCs w:val="20"/>
          <w:lang w:val="en-US"/>
        </w:rPr>
        <w:t>Models are adjusted for</w:t>
      </w:r>
      <w:r w:rsidR="00A04F5C" w:rsidRPr="007526AD">
        <w:rPr>
          <w:sz w:val="20"/>
          <w:szCs w:val="20"/>
          <w:lang w:val="en-US"/>
        </w:rPr>
        <w:t xml:space="preserve"> age, sex, education, and ethnicity. </w:t>
      </w:r>
    </w:p>
    <w:p w14:paraId="74F58883" w14:textId="77777777" w:rsidR="00D554B9" w:rsidRPr="007526AD" w:rsidRDefault="00B4365E" w:rsidP="006E6834">
      <w:pPr>
        <w:rPr>
          <w:lang w:val="en-US"/>
        </w:rPr>
      </w:pPr>
      <w:r w:rsidRPr="007526AD">
        <w:rPr>
          <w:sz w:val="20"/>
          <w:szCs w:val="20"/>
          <w:lang w:val="en-US"/>
        </w:rPr>
        <w:t xml:space="preserve">Possible eating disorder referred to SCOFF </w:t>
      </w:r>
      <w:proofErr w:type="gramStart"/>
      <w:r w:rsidRPr="007526AD">
        <w:rPr>
          <w:sz w:val="20"/>
          <w:szCs w:val="20"/>
          <w:lang w:val="en-US"/>
        </w:rPr>
        <w:t>screen-positive</w:t>
      </w:r>
      <w:proofErr w:type="gramEnd"/>
      <w:r w:rsidRPr="007526AD">
        <w:rPr>
          <w:sz w:val="20"/>
          <w:szCs w:val="20"/>
          <w:lang w:val="en-US"/>
        </w:rPr>
        <w:t>.</w:t>
      </w:r>
      <w:r w:rsidR="00D554B9" w:rsidRPr="007526AD">
        <w:rPr>
          <w:lang w:val="en-US"/>
        </w:rPr>
        <w:t xml:space="preserve"> </w:t>
      </w:r>
    </w:p>
    <w:p w14:paraId="25A8ADF6" w14:textId="2A3123A9" w:rsidR="0014680A" w:rsidRPr="007526AD" w:rsidRDefault="00D554B9" w:rsidP="006E6834">
      <w:pPr>
        <w:rPr>
          <w:sz w:val="20"/>
          <w:szCs w:val="20"/>
          <w:lang w:val="en-US"/>
        </w:rPr>
      </w:pPr>
      <w:r w:rsidRPr="007526AD">
        <w:rPr>
          <w:sz w:val="20"/>
          <w:szCs w:val="20"/>
          <w:lang w:val="en-US"/>
        </w:rPr>
        <w:t>* p&lt;0.05, ** p&lt;0.01, *** p&lt;0.001</w:t>
      </w:r>
    </w:p>
    <w:p w14:paraId="3A31CA29" w14:textId="2325507A" w:rsidR="002074DE" w:rsidRPr="007526AD" w:rsidRDefault="002074DE" w:rsidP="006E6834">
      <w:pPr>
        <w:rPr>
          <w:sz w:val="20"/>
          <w:szCs w:val="20"/>
          <w:lang w:val="en-US"/>
        </w:rPr>
      </w:pPr>
    </w:p>
    <w:p w14:paraId="652C8A35" w14:textId="77777777" w:rsidR="002074DE" w:rsidRPr="007526AD" w:rsidRDefault="002074DE" w:rsidP="006E6834">
      <w:pPr>
        <w:rPr>
          <w:sz w:val="20"/>
          <w:szCs w:val="20"/>
          <w:lang w:val="en-US"/>
        </w:rPr>
        <w:sectPr w:rsidR="002074DE" w:rsidRPr="007526AD">
          <w:pgSz w:w="12240" w:h="15840"/>
          <w:pgMar w:top="1440" w:right="1440" w:bottom="1440" w:left="1440" w:header="708" w:footer="708" w:gutter="0"/>
          <w:cols w:space="708"/>
          <w:docGrid w:linePitch="360"/>
        </w:sectPr>
      </w:pPr>
    </w:p>
    <w:tbl>
      <w:tblPr>
        <w:tblW w:w="5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16"/>
        <w:gridCol w:w="1029"/>
        <w:gridCol w:w="1375"/>
      </w:tblGrid>
      <w:tr w:rsidR="0042542C" w14:paraId="3502789A" w14:textId="77777777" w:rsidTr="00DC2123">
        <w:trPr>
          <w:trHeight w:val="1276"/>
        </w:trPr>
        <w:tc>
          <w:tcPr>
            <w:tcW w:w="5120" w:type="dxa"/>
            <w:gridSpan w:val="3"/>
            <w:shd w:val="clear" w:color="auto" w:fill="auto"/>
            <w:vAlign w:val="center"/>
            <w:hideMark/>
          </w:tcPr>
          <w:p w14:paraId="42118405" w14:textId="01D8A2BD" w:rsidR="0042542C" w:rsidRDefault="0042542C" w:rsidP="00016CE5">
            <w:pPr>
              <w:rPr>
                <w:b/>
                <w:bCs/>
                <w:color w:val="000000"/>
              </w:rPr>
            </w:pPr>
            <w:r>
              <w:rPr>
                <w:b/>
                <w:bCs/>
                <w:color w:val="000000"/>
                <w:lang w:val="en-US"/>
              </w:rPr>
              <w:lastRenderedPageBreak/>
              <w:t xml:space="preserve">Table 3 </w:t>
            </w:r>
            <w:r>
              <w:rPr>
                <w:color w:val="000000"/>
                <w:lang w:val="en-US"/>
              </w:rPr>
              <w:t xml:space="preserve">Association between individual eating </w:t>
            </w:r>
            <w:r w:rsidR="00621EEF">
              <w:rPr>
                <w:color w:val="000000"/>
                <w:lang w:val="en-US"/>
              </w:rPr>
              <w:t xml:space="preserve">disorder </w:t>
            </w:r>
            <w:r>
              <w:rPr>
                <w:color w:val="000000"/>
                <w:lang w:val="en-US"/>
              </w:rPr>
              <w:t xml:space="preserve">symptoms or </w:t>
            </w:r>
            <w:r w:rsidR="008D2B0F">
              <w:rPr>
                <w:color w:val="000000"/>
                <w:lang w:val="en-US"/>
              </w:rPr>
              <w:t xml:space="preserve">possible eating disorder </w:t>
            </w:r>
            <w:r>
              <w:rPr>
                <w:color w:val="000000"/>
                <w:lang w:val="en-US"/>
              </w:rPr>
              <w:t>and physical multimorbidity (outcome) estimated by multivariable logistic regression</w:t>
            </w:r>
          </w:p>
        </w:tc>
      </w:tr>
      <w:tr w:rsidR="0042542C" w:rsidRPr="0042542C" w14:paraId="70DC262A" w14:textId="77777777" w:rsidTr="00DC2123">
        <w:trPr>
          <w:trHeight w:val="340"/>
        </w:trPr>
        <w:tc>
          <w:tcPr>
            <w:tcW w:w="2716" w:type="dxa"/>
            <w:shd w:val="clear" w:color="auto" w:fill="auto"/>
            <w:noWrap/>
            <w:vAlign w:val="center"/>
            <w:hideMark/>
          </w:tcPr>
          <w:p w14:paraId="3AD97C0B" w14:textId="77777777" w:rsidR="0042542C" w:rsidRPr="0042542C" w:rsidRDefault="0042542C" w:rsidP="00016CE5">
            <w:pPr>
              <w:rPr>
                <w:color w:val="000000"/>
                <w:sz w:val="22"/>
                <w:szCs w:val="22"/>
              </w:rPr>
            </w:pPr>
            <w:r w:rsidRPr="0042542C">
              <w:rPr>
                <w:color w:val="000000"/>
                <w:sz w:val="22"/>
                <w:szCs w:val="22"/>
                <w:lang w:val="en-US"/>
              </w:rPr>
              <w:t> </w:t>
            </w:r>
          </w:p>
        </w:tc>
        <w:tc>
          <w:tcPr>
            <w:tcW w:w="1029" w:type="dxa"/>
            <w:shd w:val="clear" w:color="auto" w:fill="auto"/>
            <w:noWrap/>
            <w:vAlign w:val="center"/>
            <w:hideMark/>
          </w:tcPr>
          <w:p w14:paraId="44789281" w14:textId="77777777" w:rsidR="0042542C" w:rsidRPr="0042542C" w:rsidRDefault="0042542C" w:rsidP="00016CE5">
            <w:pPr>
              <w:rPr>
                <w:color w:val="000000"/>
                <w:sz w:val="22"/>
                <w:szCs w:val="22"/>
              </w:rPr>
            </w:pPr>
            <w:r w:rsidRPr="0042542C">
              <w:rPr>
                <w:color w:val="000000"/>
                <w:sz w:val="22"/>
                <w:szCs w:val="22"/>
                <w:lang w:val="en-US"/>
              </w:rPr>
              <w:t>OR</w:t>
            </w:r>
          </w:p>
        </w:tc>
        <w:tc>
          <w:tcPr>
            <w:tcW w:w="1375" w:type="dxa"/>
            <w:shd w:val="clear" w:color="auto" w:fill="auto"/>
            <w:noWrap/>
            <w:vAlign w:val="center"/>
            <w:hideMark/>
          </w:tcPr>
          <w:p w14:paraId="609936E7" w14:textId="77777777" w:rsidR="0042542C" w:rsidRPr="0042542C" w:rsidRDefault="0042542C" w:rsidP="00016CE5">
            <w:pPr>
              <w:rPr>
                <w:color w:val="000000"/>
                <w:sz w:val="22"/>
                <w:szCs w:val="22"/>
              </w:rPr>
            </w:pPr>
            <w:r w:rsidRPr="0042542C">
              <w:rPr>
                <w:color w:val="000000"/>
                <w:sz w:val="22"/>
                <w:szCs w:val="22"/>
                <w:lang w:val="en-US"/>
              </w:rPr>
              <w:t>95%CI</w:t>
            </w:r>
          </w:p>
        </w:tc>
      </w:tr>
      <w:tr w:rsidR="0042542C" w:rsidRPr="0042542C" w14:paraId="33E1C7C8" w14:textId="77777777" w:rsidTr="00DC2123">
        <w:trPr>
          <w:trHeight w:val="340"/>
        </w:trPr>
        <w:tc>
          <w:tcPr>
            <w:tcW w:w="2716" w:type="dxa"/>
            <w:shd w:val="clear" w:color="auto" w:fill="auto"/>
            <w:noWrap/>
            <w:vAlign w:val="center"/>
            <w:hideMark/>
          </w:tcPr>
          <w:p w14:paraId="48B108D3" w14:textId="77777777" w:rsidR="0042542C" w:rsidRPr="0042542C" w:rsidRDefault="0042542C" w:rsidP="00016CE5">
            <w:pPr>
              <w:rPr>
                <w:color w:val="000000"/>
                <w:sz w:val="22"/>
                <w:szCs w:val="22"/>
              </w:rPr>
            </w:pPr>
            <w:r w:rsidRPr="0042542C">
              <w:rPr>
                <w:color w:val="000000"/>
                <w:sz w:val="22"/>
                <w:szCs w:val="22"/>
                <w:lang w:val="en-US"/>
              </w:rPr>
              <w:t>Weight loss</w:t>
            </w:r>
          </w:p>
        </w:tc>
        <w:tc>
          <w:tcPr>
            <w:tcW w:w="1029" w:type="dxa"/>
            <w:shd w:val="clear" w:color="auto" w:fill="auto"/>
            <w:noWrap/>
            <w:vAlign w:val="center"/>
            <w:hideMark/>
          </w:tcPr>
          <w:p w14:paraId="4AAC7253" w14:textId="77777777" w:rsidR="0042542C" w:rsidRPr="0042542C" w:rsidRDefault="0042542C" w:rsidP="00016CE5">
            <w:pPr>
              <w:rPr>
                <w:color w:val="000000"/>
                <w:sz w:val="22"/>
                <w:szCs w:val="22"/>
              </w:rPr>
            </w:pPr>
            <w:r w:rsidRPr="0042542C">
              <w:rPr>
                <w:color w:val="000000"/>
                <w:sz w:val="22"/>
                <w:szCs w:val="22"/>
              </w:rPr>
              <w:t>1.64***</w:t>
            </w:r>
          </w:p>
        </w:tc>
        <w:tc>
          <w:tcPr>
            <w:tcW w:w="1375" w:type="dxa"/>
            <w:shd w:val="clear" w:color="auto" w:fill="auto"/>
            <w:noWrap/>
            <w:vAlign w:val="center"/>
            <w:hideMark/>
          </w:tcPr>
          <w:p w14:paraId="54AAB4AA" w14:textId="77777777" w:rsidR="0042542C" w:rsidRPr="0042542C" w:rsidRDefault="0042542C" w:rsidP="00016CE5">
            <w:pPr>
              <w:rPr>
                <w:color w:val="000000"/>
                <w:sz w:val="22"/>
                <w:szCs w:val="22"/>
              </w:rPr>
            </w:pPr>
            <w:r w:rsidRPr="0042542C">
              <w:rPr>
                <w:color w:val="000000"/>
                <w:sz w:val="22"/>
                <w:szCs w:val="22"/>
              </w:rPr>
              <w:t>[1.37,1.97]</w:t>
            </w:r>
          </w:p>
        </w:tc>
      </w:tr>
      <w:tr w:rsidR="0042542C" w:rsidRPr="0042542C" w14:paraId="7BD2592E" w14:textId="77777777" w:rsidTr="00DC2123">
        <w:trPr>
          <w:trHeight w:val="320"/>
        </w:trPr>
        <w:tc>
          <w:tcPr>
            <w:tcW w:w="2716" w:type="dxa"/>
            <w:shd w:val="clear" w:color="auto" w:fill="auto"/>
            <w:noWrap/>
            <w:vAlign w:val="center"/>
            <w:hideMark/>
          </w:tcPr>
          <w:p w14:paraId="77BA1E51" w14:textId="77777777" w:rsidR="0042542C" w:rsidRPr="0042542C" w:rsidRDefault="0042542C" w:rsidP="00016CE5">
            <w:pPr>
              <w:rPr>
                <w:color w:val="000000"/>
                <w:sz w:val="22"/>
                <w:szCs w:val="22"/>
              </w:rPr>
            </w:pPr>
            <w:r w:rsidRPr="0042542C">
              <w:rPr>
                <w:color w:val="000000"/>
                <w:sz w:val="22"/>
                <w:szCs w:val="22"/>
                <w:lang w:val="en-US"/>
              </w:rPr>
              <w:t>Self-sick for feeling full</w:t>
            </w:r>
          </w:p>
        </w:tc>
        <w:tc>
          <w:tcPr>
            <w:tcW w:w="1029" w:type="dxa"/>
            <w:shd w:val="clear" w:color="auto" w:fill="auto"/>
            <w:noWrap/>
            <w:vAlign w:val="center"/>
            <w:hideMark/>
          </w:tcPr>
          <w:p w14:paraId="3A2A0163" w14:textId="77777777" w:rsidR="0042542C" w:rsidRPr="0042542C" w:rsidRDefault="0042542C" w:rsidP="00016CE5">
            <w:pPr>
              <w:rPr>
                <w:color w:val="000000"/>
                <w:sz w:val="22"/>
                <w:szCs w:val="22"/>
              </w:rPr>
            </w:pPr>
            <w:r w:rsidRPr="0042542C">
              <w:rPr>
                <w:color w:val="000000"/>
                <w:sz w:val="22"/>
                <w:szCs w:val="22"/>
              </w:rPr>
              <w:t>1.32</w:t>
            </w:r>
          </w:p>
        </w:tc>
        <w:tc>
          <w:tcPr>
            <w:tcW w:w="1375" w:type="dxa"/>
            <w:shd w:val="clear" w:color="auto" w:fill="auto"/>
            <w:noWrap/>
            <w:vAlign w:val="center"/>
            <w:hideMark/>
          </w:tcPr>
          <w:p w14:paraId="78840575" w14:textId="77777777" w:rsidR="0042542C" w:rsidRPr="0042542C" w:rsidRDefault="0042542C" w:rsidP="00016CE5">
            <w:pPr>
              <w:rPr>
                <w:color w:val="000000"/>
                <w:sz w:val="22"/>
                <w:szCs w:val="22"/>
              </w:rPr>
            </w:pPr>
            <w:r w:rsidRPr="0042542C">
              <w:rPr>
                <w:color w:val="000000"/>
                <w:sz w:val="22"/>
                <w:szCs w:val="22"/>
              </w:rPr>
              <w:t>[0.89,1.94]</w:t>
            </w:r>
          </w:p>
        </w:tc>
      </w:tr>
      <w:tr w:rsidR="0042542C" w:rsidRPr="0042542C" w14:paraId="2227E4C7" w14:textId="77777777" w:rsidTr="00DC2123">
        <w:trPr>
          <w:trHeight w:val="320"/>
        </w:trPr>
        <w:tc>
          <w:tcPr>
            <w:tcW w:w="2716" w:type="dxa"/>
            <w:shd w:val="clear" w:color="auto" w:fill="auto"/>
            <w:noWrap/>
            <w:vAlign w:val="center"/>
            <w:hideMark/>
          </w:tcPr>
          <w:p w14:paraId="4FB42755" w14:textId="77777777" w:rsidR="0042542C" w:rsidRPr="0042542C" w:rsidRDefault="0042542C" w:rsidP="00016CE5">
            <w:pPr>
              <w:rPr>
                <w:color w:val="000000"/>
                <w:sz w:val="22"/>
                <w:szCs w:val="22"/>
              </w:rPr>
            </w:pPr>
            <w:r w:rsidRPr="0042542C">
              <w:rPr>
                <w:color w:val="000000"/>
                <w:sz w:val="22"/>
                <w:szCs w:val="22"/>
                <w:lang w:val="en-US"/>
              </w:rPr>
              <w:t>Uncontrolled eating</w:t>
            </w:r>
          </w:p>
        </w:tc>
        <w:tc>
          <w:tcPr>
            <w:tcW w:w="1029" w:type="dxa"/>
            <w:shd w:val="clear" w:color="auto" w:fill="auto"/>
            <w:noWrap/>
            <w:vAlign w:val="center"/>
            <w:hideMark/>
          </w:tcPr>
          <w:p w14:paraId="4D55B7D4" w14:textId="77777777" w:rsidR="0042542C" w:rsidRPr="0042542C" w:rsidRDefault="0042542C" w:rsidP="00016CE5">
            <w:pPr>
              <w:rPr>
                <w:color w:val="000000"/>
                <w:sz w:val="22"/>
                <w:szCs w:val="22"/>
              </w:rPr>
            </w:pPr>
            <w:r w:rsidRPr="0042542C">
              <w:rPr>
                <w:color w:val="000000"/>
                <w:sz w:val="22"/>
                <w:szCs w:val="22"/>
              </w:rPr>
              <w:t>1.87***</w:t>
            </w:r>
          </w:p>
        </w:tc>
        <w:tc>
          <w:tcPr>
            <w:tcW w:w="1375" w:type="dxa"/>
            <w:shd w:val="clear" w:color="auto" w:fill="auto"/>
            <w:noWrap/>
            <w:vAlign w:val="center"/>
            <w:hideMark/>
          </w:tcPr>
          <w:p w14:paraId="6C7A1296" w14:textId="77777777" w:rsidR="0042542C" w:rsidRPr="0042542C" w:rsidRDefault="0042542C" w:rsidP="00016CE5">
            <w:pPr>
              <w:rPr>
                <w:color w:val="000000"/>
                <w:sz w:val="22"/>
                <w:szCs w:val="22"/>
              </w:rPr>
            </w:pPr>
            <w:r w:rsidRPr="0042542C">
              <w:rPr>
                <w:color w:val="000000"/>
                <w:sz w:val="22"/>
                <w:szCs w:val="22"/>
              </w:rPr>
              <w:t>[1.34,2.60]</w:t>
            </w:r>
          </w:p>
        </w:tc>
      </w:tr>
      <w:tr w:rsidR="0042542C" w:rsidRPr="0042542C" w14:paraId="37C9AF08" w14:textId="77777777" w:rsidTr="00DC2123">
        <w:trPr>
          <w:trHeight w:val="320"/>
        </w:trPr>
        <w:tc>
          <w:tcPr>
            <w:tcW w:w="2716" w:type="dxa"/>
            <w:shd w:val="clear" w:color="auto" w:fill="auto"/>
            <w:noWrap/>
            <w:vAlign w:val="center"/>
            <w:hideMark/>
          </w:tcPr>
          <w:p w14:paraId="6F806980" w14:textId="77777777" w:rsidR="0042542C" w:rsidRPr="0042542C" w:rsidRDefault="0042542C" w:rsidP="00016CE5">
            <w:pPr>
              <w:rPr>
                <w:color w:val="000000"/>
                <w:sz w:val="22"/>
                <w:szCs w:val="22"/>
              </w:rPr>
            </w:pPr>
            <w:r w:rsidRPr="0042542C">
              <w:rPr>
                <w:color w:val="000000"/>
                <w:sz w:val="22"/>
                <w:szCs w:val="22"/>
                <w:lang w:val="en-US"/>
              </w:rPr>
              <w:t>Self-perceived fatness</w:t>
            </w:r>
          </w:p>
        </w:tc>
        <w:tc>
          <w:tcPr>
            <w:tcW w:w="1029" w:type="dxa"/>
            <w:shd w:val="clear" w:color="auto" w:fill="auto"/>
            <w:noWrap/>
            <w:vAlign w:val="center"/>
            <w:hideMark/>
          </w:tcPr>
          <w:p w14:paraId="2C5C5115" w14:textId="77777777" w:rsidR="0042542C" w:rsidRPr="0042542C" w:rsidRDefault="0042542C" w:rsidP="00016CE5">
            <w:pPr>
              <w:rPr>
                <w:color w:val="000000"/>
                <w:sz w:val="22"/>
                <w:szCs w:val="22"/>
              </w:rPr>
            </w:pPr>
            <w:r w:rsidRPr="0042542C">
              <w:rPr>
                <w:color w:val="000000"/>
                <w:sz w:val="22"/>
                <w:szCs w:val="22"/>
              </w:rPr>
              <w:t>1.69***</w:t>
            </w:r>
          </w:p>
        </w:tc>
        <w:tc>
          <w:tcPr>
            <w:tcW w:w="1375" w:type="dxa"/>
            <w:shd w:val="clear" w:color="auto" w:fill="auto"/>
            <w:noWrap/>
            <w:vAlign w:val="center"/>
            <w:hideMark/>
          </w:tcPr>
          <w:p w14:paraId="6C9F5696" w14:textId="77777777" w:rsidR="0042542C" w:rsidRPr="0042542C" w:rsidRDefault="0042542C" w:rsidP="00016CE5">
            <w:pPr>
              <w:rPr>
                <w:color w:val="000000"/>
                <w:sz w:val="22"/>
                <w:szCs w:val="22"/>
              </w:rPr>
            </w:pPr>
            <w:r w:rsidRPr="0042542C">
              <w:rPr>
                <w:color w:val="000000"/>
                <w:sz w:val="22"/>
                <w:szCs w:val="22"/>
              </w:rPr>
              <w:t>[1.28,2.23]</w:t>
            </w:r>
          </w:p>
        </w:tc>
      </w:tr>
      <w:tr w:rsidR="0042542C" w:rsidRPr="0042542C" w14:paraId="241FCFD3" w14:textId="77777777" w:rsidTr="00DC2123">
        <w:trPr>
          <w:trHeight w:val="320"/>
        </w:trPr>
        <w:tc>
          <w:tcPr>
            <w:tcW w:w="2716" w:type="dxa"/>
            <w:shd w:val="clear" w:color="auto" w:fill="auto"/>
            <w:noWrap/>
            <w:vAlign w:val="center"/>
            <w:hideMark/>
          </w:tcPr>
          <w:p w14:paraId="4F4C872B" w14:textId="77777777" w:rsidR="0042542C" w:rsidRPr="0042542C" w:rsidRDefault="0042542C" w:rsidP="00016CE5">
            <w:pPr>
              <w:rPr>
                <w:color w:val="000000"/>
                <w:sz w:val="22"/>
                <w:szCs w:val="22"/>
              </w:rPr>
            </w:pPr>
            <w:r w:rsidRPr="0042542C">
              <w:rPr>
                <w:color w:val="000000"/>
                <w:sz w:val="22"/>
                <w:szCs w:val="22"/>
                <w:lang w:val="en-US"/>
              </w:rPr>
              <w:t>Food dominance</w:t>
            </w:r>
          </w:p>
        </w:tc>
        <w:tc>
          <w:tcPr>
            <w:tcW w:w="1029" w:type="dxa"/>
            <w:shd w:val="clear" w:color="auto" w:fill="auto"/>
            <w:noWrap/>
            <w:vAlign w:val="center"/>
            <w:hideMark/>
          </w:tcPr>
          <w:p w14:paraId="45EA5E7A" w14:textId="77777777" w:rsidR="0042542C" w:rsidRPr="0042542C" w:rsidRDefault="0042542C" w:rsidP="00016CE5">
            <w:pPr>
              <w:rPr>
                <w:color w:val="000000"/>
                <w:sz w:val="22"/>
                <w:szCs w:val="22"/>
              </w:rPr>
            </w:pPr>
            <w:r w:rsidRPr="0042542C">
              <w:rPr>
                <w:color w:val="000000"/>
                <w:sz w:val="22"/>
                <w:szCs w:val="22"/>
              </w:rPr>
              <w:t>1.13</w:t>
            </w:r>
          </w:p>
        </w:tc>
        <w:tc>
          <w:tcPr>
            <w:tcW w:w="1375" w:type="dxa"/>
            <w:shd w:val="clear" w:color="auto" w:fill="auto"/>
            <w:noWrap/>
            <w:vAlign w:val="center"/>
            <w:hideMark/>
          </w:tcPr>
          <w:p w14:paraId="4B3750B3" w14:textId="77777777" w:rsidR="0042542C" w:rsidRPr="0042542C" w:rsidRDefault="0042542C" w:rsidP="00016CE5">
            <w:pPr>
              <w:rPr>
                <w:color w:val="000000"/>
                <w:sz w:val="22"/>
                <w:szCs w:val="22"/>
              </w:rPr>
            </w:pPr>
            <w:r w:rsidRPr="0042542C">
              <w:rPr>
                <w:color w:val="000000"/>
                <w:sz w:val="22"/>
                <w:szCs w:val="22"/>
              </w:rPr>
              <w:t>[0.77,1.67]</w:t>
            </w:r>
          </w:p>
        </w:tc>
      </w:tr>
      <w:tr w:rsidR="0042542C" w:rsidRPr="0042542C" w14:paraId="4AF56A09" w14:textId="77777777" w:rsidTr="00DC2123">
        <w:trPr>
          <w:trHeight w:val="320"/>
        </w:trPr>
        <w:tc>
          <w:tcPr>
            <w:tcW w:w="2716" w:type="dxa"/>
            <w:shd w:val="clear" w:color="auto" w:fill="auto"/>
            <w:noWrap/>
            <w:vAlign w:val="center"/>
            <w:hideMark/>
          </w:tcPr>
          <w:p w14:paraId="7374A199" w14:textId="013D3ADC" w:rsidR="0042542C" w:rsidRPr="0042542C" w:rsidRDefault="008D2B0F" w:rsidP="00016CE5">
            <w:pPr>
              <w:rPr>
                <w:color w:val="000000"/>
                <w:sz w:val="22"/>
                <w:szCs w:val="22"/>
              </w:rPr>
            </w:pPr>
            <w:r>
              <w:rPr>
                <w:color w:val="000000"/>
                <w:sz w:val="22"/>
                <w:szCs w:val="22"/>
              </w:rPr>
              <w:t>Possible eating disorder</w:t>
            </w:r>
          </w:p>
        </w:tc>
        <w:tc>
          <w:tcPr>
            <w:tcW w:w="1029" w:type="dxa"/>
            <w:shd w:val="clear" w:color="auto" w:fill="auto"/>
            <w:noWrap/>
            <w:vAlign w:val="center"/>
            <w:hideMark/>
          </w:tcPr>
          <w:p w14:paraId="5C686384" w14:textId="77777777" w:rsidR="0042542C" w:rsidRPr="0042542C" w:rsidRDefault="0042542C" w:rsidP="00016CE5">
            <w:pPr>
              <w:rPr>
                <w:color w:val="000000"/>
                <w:sz w:val="22"/>
                <w:szCs w:val="22"/>
              </w:rPr>
            </w:pPr>
            <w:r w:rsidRPr="0042542C">
              <w:rPr>
                <w:color w:val="000000"/>
                <w:sz w:val="22"/>
                <w:szCs w:val="22"/>
                <w:lang w:val="en-US"/>
              </w:rPr>
              <w:t>2.11***</w:t>
            </w:r>
          </w:p>
        </w:tc>
        <w:tc>
          <w:tcPr>
            <w:tcW w:w="1375" w:type="dxa"/>
            <w:shd w:val="clear" w:color="auto" w:fill="auto"/>
            <w:noWrap/>
            <w:vAlign w:val="center"/>
            <w:hideMark/>
          </w:tcPr>
          <w:p w14:paraId="2BBE9F63" w14:textId="77777777" w:rsidR="0042542C" w:rsidRPr="0042542C" w:rsidRDefault="0042542C" w:rsidP="00016CE5">
            <w:pPr>
              <w:rPr>
                <w:color w:val="000000"/>
                <w:sz w:val="22"/>
                <w:szCs w:val="22"/>
              </w:rPr>
            </w:pPr>
            <w:r w:rsidRPr="0042542C">
              <w:rPr>
                <w:color w:val="000000"/>
                <w:sz w:val="22"/>
                <w:szCs w:val="22"/>
                <w:lang w:val="en-US"/>
              </w:rPr>
              <w:t>[1.67,2.67]</w:t>
            </w:r>
          </w:p>
        </w:tc>
      </w:tr>
    </w:tbl>
    <w:p w14:paraId="661B873A" w14:textId="77777777" w:rsidR="00D716F8" w:rsidRPr="007526AD" w:rsidRDefault="00D716F8" w:rsidP="00D716F8">
      <w:pPr>
        <w:rPr>
          <w:sz w:val="20"/>
          <w:szCs w:val="20"/>
          <w:lang w:val="en-US"/>
        </w:rPr>
      </w:pPr>
      <w:r w:rsidRPr="007526AD">
        <w:rPr>
          <w:sz w:val="20"/>
          <w:szCs w:val="20"/>
          <w:lang w:val="en-US"/>
        </w:rPr>
        <w:t>Abbreviation: OR Odds ratio; CI Confidence interval</w:t>
      </w:r>
    </w:p>
    <w:p w14:paraId="491FBC6C" w14:textId="48F759CF" w:rsidR="00D716F8" w:rsidRPr="007526AD" w:rsidRDefault="00D716F8" w:rsidP="00D716F8">
      <w:pPr>
        <w:rPr>
          <w:sz w:val="20"/>
          <w:szCs w:val="20"/>
          <w:lang w:val="en-US"/>
        </w:rPr>
      </w:pPr>
      <w:r w:rsidRPr="007526AD">
        <w:rPr>
          <w:sz w:val="20"/>
          <w:szCs w:val="20"/>
          <w:lang w:val="en-US"/>
        </w:rPr>
        <w:t xml:space="preserve">Models are adjusted for age, sex, education, and ethnicity. </w:t>
      </w:r>
      <w:r w:rsidR="00016CE5">
        <w:rPr>
          <w:sz w:val="20"/>
          <w:szCs w:val="20"/>
          <w:lang w:val="en-US"/>
        </w:rPr>
        <w:t>Analyses with the individual eating disorders as the exposure are also adjusted for presence of ≥2 eating disorder</w:t>
      </w:r>
      <w:r w:rsidR="0071158E">
        <w:rPr>
          <w:sz w:val="20"/>
          <w:szCs w:val="20"/>
          <w:lang w:val="en-US"/>
        </w:rPr>
        <w:t xml:space="preserve"> symptoms.</w:t>
      </w:r>
    </w:p>
    <w:p w14:paraId="46ADE4A5" w14:textId="543D438C" w:rsidR="00DB0616" w:rsidRPr="007526AD" w:rsidRDefault="00DB0616" w:rsidP="00217948">
      <w:pPr>
        <w:autoSpaceDE w:val="0"/>
        <w:autoSpaceDN w:val="0"/>
        <w:adjustRightInd w:val="0"/>
        <w:rPr>
          <w:rFonts w:eastAsiaTheme="minorEastAsia"/>
          <w:sz w:val="20"/>
          <w:szCs w:val="20"/>
          <w:lang w:val="en-US"/>
        </w:rPr>
      </w:pPr>
      <w:r w:rsidRPr="007526AD">
        <w:rPr>
          <w:rFonts w:eastAsiaTheme="minorEastAsia"/>
          <w:sz w:val="20"/>
          <w:szCs w:val="20"/>
          <w:lang w:val="en-US"/>
        </w:rPr>
        <w:t>The definitions of eating disorder symptoms and possible eating disorder were:</w:t>
      </w:r>
      <w:r w:rsidR="00217948" w:rsidRPr="007526AD">
        <w:rPr>
          <w:rFonts w:eastAsiaTheme="minorEastAsia"/>
          <w:sz w:val="20"/>
          <w:szCs w:val="20"/>
          <w:lang w:val="en-US"/>
        </w:rPr>
        <w:t xml:space="preserve"> </w:t>
      </w:r>
      <w:r w:rsidR="00A92755">
        <w:rPr>
          <w:rFonts w:eastAsiaTheme="minorEastAsia"/>
          <w:sz w:val="20"/>
          <w:szCs w:val="20"/>
          <w:lang w:val="en-US"/>
        </w:rPr>
        <w:t>weight</w:t>
      </w:r>
      <w:r w:rsidRPr="007526AD">
        <w:rPr>
          <w:rFonts w:eastAsiaTheme="minorEastAsia"/>
          <w:sz w:val="20"/>
          <w:szCs w:val="20"/>
          <w:lang w:val="en-US"/>
        </w:rPr>
        <w:t xml:space="preserve"> loss (had lost more than 6.35 kg in 3 months); self-sick for feeling full (had made him/herself be sick because he/she felt uncomfortably full); uncontrolled eating (worried he/she had lost control over how much</w:t>
      </w:r>
      <w:r w:rsidR="00217948" w:rsidRPr="007526AD">
        <w:rPr>
          <w:rFonts w:eastAsiaTheme="minorEastAsia"/>
          <w:sz w:val="20"/>
          <w:szCs w:val="20"/>
          <w:lang w:val="en-US"/>
        </w:rPr>
        <w:t xml:space="preserve"> </w:t>
      </w:r>
      <w:r w:rsidRPr="007526AD">
        <w:rPr>
          <w:rFonts w:eastAsiaTheme="minorEastAsia"/>
          <w:sz w:val="20"/>
          <w:szCs w:val="20"/>
          <w:lang w:val="en-US"/>
        </w:rPr>
        <w:t>he/she eats); self-perceived fatness (believed to be fat when others said that he/she was too thin); food dominance (thought that food dominated his/her life); possible eating disorder (SCOFF screen-positive).</w:t>
      </w:r>
    </w:p>
    <w:p w14:paraId="59A9866E" w14:textId="11643B8B" w:rsidR="00C34BE9" w:rsidRPr="007526AD" w:rsidRDefault="00C34BE9" w:rsidP="00D716F8">
      <w:pPr>
        <w:rPr>
          <w:sz w:val="20"/>
          <w:szCs w:val="20"/>
          <w:lang w:val="en-US"/>
        </w:rPr>
      </w:pPr>
      <w:r w:rsidRPr="007526AD">
        <w:rPr>
          <w:sz w:val="20"/>
          <w:szCs w:val="20"/>
          <w:lang w:val="en-US"/>
        </w:rPr>
        <w:t>Physical multimorbidity referred to ≥2 physical conditions.</w:t>
      </w:r>
    </w:p>
    <w:p w14:paraId="6085E19D" w14:textId="0B2D3960" w:rsidR="00D716F8" w:rsidRPr="007526AD" w:rsidRDefault="00D716F8" w:rsidP="00D716F8">
      <w:pPr>
        <w:rPr>
          <w:sz w:val="20"/>
          <w:szCs w:val="20"/>
          <w:lang w:val="en-US"/>
        </w:rPr>
      </w:pPr>
      <w:r w:rsidRPr="007526AD">
        <w:rPr>
          <w:sz w:val="20"/>
          <w:szCs w:val="20"/>
          <w:lang w:val="en-US"/>
        </w:rPr>
        <w:t>*** p&lt;0.001</w:t>
      </w:r>
    </w:p>
    <w:p w14:paraId="698D1A08" w14:textId="6A0E6258" w:rsidR="002074DE" w:rsidRPr="007526AD" w:rsidRDefault="002074DE" w:rsidP="006E6834">
      <w:pPr>
        <w:rPr>
          <w:sz w:val="20"/>
          <w:szCs w:val="20"/>
          <w:lang w:val="en-US"/>
        </w:rPr>
      </w:pPr>
    </w:p>
    <w:p w14:paraId="1FD15A6A" w14:textId="77777777" w:rsidR="004924A1" w:rsidRPr="007526AD" w:rsidRDefault="004924A1" w:rsidP="006E6834">
      <w:pPr>
        <w:rPr>
          <w:sz w:val="20"/>
          <w:szCs w:val="20"/>
          <w:lang w:val="en-US"/>
        </w:rPr>
        <w:sectPr w:rsidR="004924A1" w:rsidRPr="007526AD">
          <w:pgSz w:w="12240" w:h="15840"/>
          <w:pgMar w:top="1440" w:right="1440" w:bottom="1440" w:left="1440" w:header="708" w:footer="708" w:gutter="0"/>
          <w:cols w:space="708"/>
          <w:docGrid w:linePitch="360"/>
        </w:sectPr>
      </w:pPr>
    </w:p>
    <w:tbl>
      <w:tblPr>
        <w:tblW w:w="7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2"/>
        <w:gridCol w:w="1039"/>
        <w:gridCol w:w="2095"/>
        <w:gridCol w:w="1021"/>
        <w:gridCol w:w="1286"/>
      </w:tblGrid>
      <w:tr w:rsidR="004924A1" w:rsidRPr="007526AD" w14:paraId="57BA1F3B" w14:textId="77777777" w:rsidTr="00DC2123">
        <w:trPr>
          <w:trHeight w:val="660"/>
        </w:trPr>
        <w:tc>
          <w:tcPr>
            <w:tcW w:w="7420" w:type="dxa"/>
            <w:gridSpan w:val="5"/>
            <w:shd w:val="clear" w:color="auto" w:fill="auto"/>
            <w:vAlign w:val="center"/>
            <w:hideMark/>
          </w:tcPr>
          <w:p w14:paraId="1ECDC98E" w14:textId="2507C066" w:rsidR="004924A1" w:rsidRPr="007526AD" w:rsidRDefault="004924A1">
            <w:pPr>
              <w:rPr>
                <w:b/>
                <w:bCs/>
                <w:color w:val="000000"/>
                <w:lang w:val="en-US"/>
              </w:rPr>
            </w:pPr>
            <w:r w:rsidRPr="007526AD">
              <w:rPr>
                <w:b/>
                <w:bCs/>
                <w:color w:val="000000"/>
                <w:lang w:val="en-US"/>
              </w:rPr>
              <w:lastRenderedPageBreak/>
              <w:t xml:space="preserve">Table 4 </w:t>
            </w:r>
            <w:r w:rsidRPr="007526AD">
              <w:rPr>
                <w:color w:val="000000"/>
                <w:lang w:val="en-US"/>
              </w:rPr>
              <w:t xml:space="preserve">Mediators in the </w:t>
            </w:r>
            <w:r w:rsidR="000B4F00" w:rsidRPr="007526AD">
              <w:rPr>
                <w:color w:val="000000"/>
                <w:lang w:val="en-US"/>
              </w:rPr>
              <w:t>association</w:t>
            </w:r>
            <w:r w:rsidRPr="007526AD">
              <w:rPr>
                <w:color w:val="000000"/>
                <w:lang w:val="en-US"/>
              </w:rPr>
              <w:t xml:space="preserve"> between </w:t>
            </w:r>
            <w:r w:rsidR="00440A6F">
              <w:rPr>
                <w:color w:val="000000"/>
                <w:lang w:val="en-US"/>
              </w:rPr>
              <w:t xml:space="preserve">possible eating disorder </w:t>
            </w:r>
            <w:r w:rsidRPr="007526AD">
              <w:rPr>
                <w:color w:val="000000"/>
                <w:lang w:val="en-US"/>
              </w:rPr>
              <w:t>and physical multimorbidity</w:t>
            </w:r>
            <w:r w:rsidR="009C5548" w:rsidRPr="007526AD">
              <w:rPr>
                <w:color w:val="000000"/>
                <w:lang w:val="en-US"/>
              </w:rPr>
              <w:t xml:space="preserve"> (outcome)</w:t>
            </w:r>
          </w:p>
        </w:tc>
      </w:tr>
      <w:tr w:rsidR="004924A1" w:rsidRPr="007526AD" w14:paraId="27124A10" w14:textId="77777777" w:rsidTr="00DC2123">
        <w:trPr>
          <w:trHeight w:val="340"/>
        </w:trPr>
        <w:tc>
          <w:tcPr>
            <w:tcW w:w="2662" w:type="dxa"/>
            <w:shd w:val="clear" w:color="auto" w:fill="auto"/>
            <w:noWrap/>
            <w:vAlign w:val="center"/>
            <w:hideMark/>
          </w:tcPr>
          <w:p w14:paraId="1A4D01B0" w14:textId="77777777" w:rsidR="004924A1" w:rsidRPr="007526AD" w:rsidRDefault="004924A1">
            <w:pPr>
              <w:rPr>
                <w:color w:val="000000"/>
                <w:sz w:val="22"/>
                <w:szCs w:val="22"/>
                <w:lang w:val="en-US"/>
              </w:rPr>
            </w:pPr>
            <w:r w:rsidRPr="007526AD">
              <w:rPr>
                <w:color w:val="000000"/>
                <w:sz w:val="22"/>
                <w:szCs w:val="22"/>
                <w:lang w:val="en-US"/>
              </w:rPr>
              <w:t>Mediator</w:t>
            </w:r>
          </w:p>
        </w:tc>
        <w:tc>
          <w:tcPr>
            <w:tcW w:w="1039" w:type="dxa"/>
            <w:shd w:val="clear" w:color="auto" w:fill="auto"/>
            <w:noWrap/>
            <w:vAlign w:val="center"/>
            <w:hideMark/>
          </w:tcPr>
          <w:p w14:paraId="17467BF4" w14:textId="77777777" w:rsidR="004924A1" w:rsidRPr="007526AD" w:rsidRDefault="004924A1">
            <w:pPr>
              <w:rPr>
                <w:color w:val="000000"/>
                <w:sz w:val="22"/>
                <w:szCs w:val="22"/>
                <w:lang w:val="en-US"/>
              </w:rPr>
            </w:pPr>
            <w:r w:rsidRPr="007526AD">
              <w:rPr>
                <w:color w:val="000000"/>
                <w:sz w:val="22"/>
                <w:szCs w:val="22"/>
                <w:lang w:val="en-US"/>
              </w:rPr>
              <w:t>Effect</w:t>
            </w:r>
          </w:p>
        </w:tc>
        <w:tc>
          <w:tcPr>
            <w:tcW w:w="2095" w:type="dxa"/>
            <w:shd w:val="clear" w:color="auto" w:fill="auto"/>
            <w:noWrap/>
            <w:vAlign w:val="center"/>
            <w:hideMark/>
          </w:tcPr>
          <w:p w14:paraId="060E1044" w14:textId="77777777" w:rsidR="004924A1" w:rsidRPr="007526AD" w:rsidRDefault="004924A1">
            <w:pPr>
              <w:rPr>
                <w:color w:val="000000"/>
                <w:sz w:val="22"/>
                <w:szCs w:val="22"/>
                <w:lang w:val="en-US"/>
              </w:rPr>
            </w:pPr>
            <w:r w:rsidRPr="007526AD">
              <w:rPr>
                <w:color w:val="000000"/>
                <w:sz w:val="22"/>
                <w:szCs w:val="22"/>
                <w:lang w:val="en-US"/>
              </w:rPr>
              <w:t>OR [95%CI]</w:t>
            </w:r>
          </w:p>
        </w:tc>
        <w:tc>
          <w:tcPr>
            <w:tcW w:w="1021" w:type="dxa"/>
            <w:shd w:val="clear" w:color="auto" w:fill="auto"/>
            <w:noWrap/>
            <w:vAlign w:val="center"/>
            <w:hideMark/>
          </w:tcPr>
          <w:p w14:paraId="6492C543" w14:textId="77777777" w:rsidR="004924A1" w:rsidRPr="007526AD" w:rsidRDefault="004924A1">
            <w:pPr>
              <w:rPr>
                <w:color w:val="000000"/>
                <w:sz w:val="22"/>
                <w:szCs w:val="22"/>
                <w:lang w:val="en-US"/>
              </w:rPr>
            </w:pPr>
            <w:r w:rsidRPr="007526AD">
              <w:rPr>
                <w:color w:val="000000"/>
                <w:sz w:val="22"/>
                <w:szCs w:val="22"/>
                <w:lang w:val="en-US"/>
              </w:rPr>
              <w:t>P-value</w:t>
            </w:r>
          </w:p>
        </w:tc>
        <w:tc>
          <w:tcPr>
            <w:tcW w:w="603" w:type="dxa"/>
            <w:shd w:val="clear" w:color="auto" w:fill="auto"/>
            <w:noWrap/>
            <w:vAlign w:val="center"/>
            <w:hideMark/>
          </w:tcPr>
          <w:p w14:paraId="6DA67CE5" w14:textId="42469EF6" w:rsidR="004924A1" w:rsidRPr="007526AD" w:rsidRDefault="004924A1">
            <w:pPr>
              <w:rPr>
                <w:color w:val="000000"/>
                <w:sz w:val="22"/>
                <w:szCs w:val="22"/>
                <w:lang w:val="en-US"/>
              </w:rPr>
            </w:pPr>
            <w:r w:rsidRPr="007526AD">
              <w:rPr>
                <w:color w:val="000000"/>
                <w:sz w:val="22"/>
                <w:szCs w:val="22"/>
                <w:lang w:val="en-US"/>
              </w:rPr>
              <w:t>Mediated %</w:t>
            </w:r>
          </w:p>
        </w:tc>
      </w:tr>
      <w:tr w:rsidR="004924A1" w:rsidRPr="007526AD" w14:paraId="2775D22B" w14:textId="77777777" w:rsidTr="00DC2123">
        <w:trPr>
          <w:trHeight w:val="340"/>
        </w:trPr>
        <w:tc>
          <w:tcPr>
            <w:tcW w:w="2662" w:type="dxa"/>
            <w:shd w:val="clear" w:color="auto" w:fill="auto"/>
            <w:noWrap/>
            <w:vAlign w:val="center"/>
            <w:hideMark/>
          </w:tcPr>
          <w:p w14:paraId="03B01ECF" w14:textId="77777777" w:rsidR="004924A1" w:rsidRPr="007526AD" w:rsidRDefault="004924A1">
            <w:pPr>
              <w:rPr>
                <w:color w:val="000000"/>
                <w:sz w:val="22"/>
                <w:szCs w:val="22"/>
                <w:lang w:val="en-US"/>
              </w:rPr>
            </w:pPr>
            <w:r w:rsidRPr="007526AD">
              <w:rPr>
                <w:color w:val="000000"/>
                <w:sz w:val="22"/>
                <w:szCs w:val="22"/>
                <w:lang w:val="en-US"/>
              </w:rPr>
              <w:t>Insomnia</w:t>
            </w:r>
          </w:p>
        </w:tc>
        <w:tc>
          <w:tcPr>
            <w:tcW w:w="1039" w:type="dxa"/>
            <w:shd w:val="clear" w:color="auto" w:fill="auto"/>
            <w:noWrap/>
            <w:vAlign w:val="center"/>
            <w:hideMark/>
          </w:tcPr>
          <w:p w14:paraId="169A9A42" w14:textId="77777777" w:rsidR="004924A1" w:rsidRPr="007526AD" w:rsidRDefault="004924A1">
            <w:pPr>
              <w:rPr>
                <w:color w:val="000000"/>
                <w:sz w:val="22"/>
                <w:szCs w:val="22"/>
                <w:lang w:val="en-US"/>
              </w:rPr>
            </w:pPr>
            <w:r w:rsidRPr="007526AD">
              <w:rPr>
                <w:color w:val="000000"/>
                <w:sz w:val="22"/>
                <w:szCs w:val="22"/>
                <w:lang w:val="en-US"/>
              </w:rPr>
              <w:t>Total</w:t>
            </w:r>
          </w:p>
        </w:tc>
        <w:tc>
          <w:tcPr>
            <w:tcW w:w="2095" w:type="dxa"/>
            <w:shd w:val="clear" w:color="auto" w:fill="auto"/>
            <w:noWrap/>
            <w:vAlign w:val="center"/>
            <w:hideMark/>
          </w:tcPr>
          <w:p w14:paraId="441C8C26" w14:textId="77777777" w:rsidR="004924A1" w:rsidRPr="007526AD" w:rsidRDefault="004924A1">
            <w:pPr>
              <w:rPr>
                <w:color w:val="000000"/>
                <w:sz w:val="22"/>
                <w:szCs w:val="22"/>
                <w:lang w:val="en-US"/>
              </w:rPr>
            </w:pPr>
            <w:r w:rsidRPr="007526AD">
              <w:rPr>
                <w:color w:val="000000"/>
                <w:sz w:val="22"/>
                <w:szCs w:val="22"/>
                <w:lang w:val="en-US"/>
              </w:rPr>
              <w:t>2.12 [1.66,2.70]</w:t>
            </w:r>
          </w:p>
        </w:tc>
        <w:tc>
          <w:tcPr>
            <w:tcW w:w="1021" w:type="dxa"/>
            <w:shd w:val="clear" w:color="auto" w:fill="auto"/>
            <w:noWrap/>
            <w:vAlign w:val="center"/>
            <w:hideMark/>
          </w:tcPr>
          <w:p w14:paraId="16397429" w14:textId="77777777" w:rsidR="004924A1" w:rsidRPr="007526AD" w:rsidRDefault="004924A1">
            <w:pPr>
              <w:rPr>
                <w:color w:val="000000"/>
                <w:sz w:val="22"/>
                <w:szCs w:val="22"/>
                <w:lang w:val="en-US"/>
              </w:rPr>
            </w:pPr>
            <w:r w:rsidRPr="007526AD">
              <w:rPr>
                <w:color w:val="000000"/>
                <w:sz w:val="22"/>
                <w:szCs w:val="22"/>
                <w:lang w:val="en-US"/>
              </w:rPr>
              <w:t>&lt;0.001</w:t>
            </w:r>
          </w:p>
        </w:tc>
        <w:tc>
          <w:tcPr>
            <w:tcW w:w="603" w:type="dxa"/>
            <w:shd w:val="clear" w:color="auto" w:fill="auto"/>
            <w:noWrap/>
            <w:vAlign w:val="center"/>
            <w:hideMark/>
          </w:tcPr>
          <w:p w14:paraId="352A0104" w14:textId="77777777" w:rsidR="004924A1" w:rsidRPr="007526AD" w:rsidRDefault="004924A1">
            <w:pPr>
              <w:rPr>
                <w:color w:val="000000"/>
                <w:sz w:val="22"/>
                <w:szCs w:val="22"/>
                <w:lang w:val="en-US"/>
              </w:rPr>
            </w:pPr>
            <w:r w:rsidRPr="007526AD">
              <w:rPr>
                <w:color w:val="000000"/>
                <w:sz w:val="22"/>
                <w:szCs w:val="22"/>
                <w:lang w:val="en-US"/>
              </w:rPr>
              <w:t>21.8</w:t>
            </w:r>
          </w:p>
        </w:tc>
      </w:tr>
      <w:tr w:rsidR="004924A1" w:rsidRPr="007526AD" w14:paraId="346E1DBA" w14:textId="77777777" w:rsidTr="00DC2123">
        <w:trPr>
          <w:trHeight w:val="320"/>
        </w:trPr>
        <w:tc>
          <w:tcPr>
            <w:tcW w:w="2662" w:type="dxa"/>
            <w:shd w:val="clear" w:color="auto" w:fill="auto"/>
            <w:noWrap/>
            <w:vAlign w:val="center"/>
            <w:hideMark/>
          </w:tcPr>
          <w:p w14:paraId="6E0C7BAF" w14:textId="77777777" w:rsidR="004924A1" w:rsidRPr="007526AD" w:rsidRDefault="004924A1">
            <w:pPr>
              <w:rPr>
                <w:color w:val="000000"/>
                <w:sz w:val="22"/>
                <w:szCs w:val="22"/>
                <w:lang w:val="en-US"/>
              </w:rPr>
            </w:pPr>
          </w:p>
        </w:tc>
        <w:tc>
          <w:tcPr>
            <w:tcW w:w="1039" w:type="dxa"/>
            <w:shd w:val="clear" w:color="auto" w:fill="auto"/>
            <w:noWrap/>
            <w:vAlign w:val="center"/>
            <w:hideMark/>
          </w:tcPr>
          <w:p w14:paraId="6FF1CE06" w14:textId="77777777" w:rsidR="004924A1" w:rsidRPr="007526AD" w:rsidRDefault="004924A1">
            <w:pPr>
              <w:rPr>
                <w:color w:val="000000"/>
                <w:sz w:val="22"/>
                <w:szCs w:val="22"/>
                <w:lang w:val="en-US"/>
              </w:rPr>
            </w:pPr>
            <w:r w:rsidRPr="007526AD">
              <w:rPr>
                <w:color w:val="000000"/>
                <w:sz w:val="22"/>
                <w:szCs w:val="22"/>
                <w:lang w:val="en-US"/>
              </w:rPr>
              <w:t>Direct</w:t>
            </w:r>
          </w:p>
        </w:tc>
        <w:tc>
          <w:tcPr>
            <w:tcW w:w="2095" w:type="dxa"/>
            <w:shd w:val="clear" w:color="auto" w:fill="auto"/>
            <w:noWrap/>
            <w:vAlign w:val="center"/>
            <w:hideMark/>
          </w:tcPr>
          <w:p w14:paraId="2A79BA49" w14:textId="77777777" w:rsidR="004924A1" w:rsidRPr="007526AD" w:rsidRDefault="004924A1">
            <w:pPr>
              <w:rPr>
                <w:color w:val="000000"/>
                <w:sz w:val="22"/>
                <w:szCs w:val="22"/>
                <w:lang w:val="en-US"/>
              </w:rPr>
            </w:pPr>
            <w:r w:rsidRPr="007526AD">
              <w:rPr>
                <w:color w:val="000000"/>
                <w:sz w:val="22"/>
                <w:szCs w:val="22"/>
                <w:lang w:val="en-US"/>
              </w:rPr>
              <w:t>1.80 [1.41,2.30]</w:t>
            </w:r>
          </w:p>
        </w:tc>
        <w:tc>
          <w:tcPr>
            <w:tcW w:w="1021" w:type="dxa"/>
            <w:shd w:val="clear" w:color="auto" w:fill="auto"/>
            <w:noWrap/>
            <w:vAlign w:val="center"/>
            <w:hideMark/>
          </w:tcPr>
          <w:p w14:paraId="1AEC50F9" w14:textId="77777777" w:rsidR="004924A1" w:rsidRPr="007526AD" w:rsidRDefault="004924A1">
            <w:pPr>
              <w:rPr>
                <w:color w:val="000000"/>
                <w:sz w:val="22"/>
                <w:szCs w:val="22"/>
                <w:lang w:val="en-US"/>
              </w:rPr>
            </w:pPr>
            <w:r w:rsidRPr="007526AD">
              <w:rPr>
                <w:color w:val="000000"/>
                <w:sz w:val="22"/>
                <w:szCs w:val="22"/>
                <w:lang w:val="en-US"/>
              </w:rPr>
              <w:t>&lt;0.001</w:t>
            </w:r>
          </w:p>
        </w:tc>
        <w:tc>
          <w:tcPr>
            <w:tcW w:w="603" w:type="dxa"/>
            <w:shd w:val="clear" w:color="auto" w:fill="auto"/>
            <w:noWrap/>
            <w:vAlign w:val="center"/>
            <w:hideMark/>
          </w:tcPr>
          <w:p w14:paraId="76EB1AC0" w14:textId="77777777" w:rsidR="004924A1" w:rsidRPr="007526AD" w:rsidRDefault="004924A1">
            <w:pPr>
              <w:rPr>
                <w:color w:val="000000"/>
                <w:sz w:val="22"/>
                <w:szCs w:val="22"/>
                <w:lang w:val="en-US"/>
              </w:rPr>
            </w:pPr>
          </w:p>
        </w:tc>
      </w:tr>
      <w:tr w:rsidR="004924A1" w:rsidRPr="007526AD" w14:paraId="5BDE0BA9" w14:textId="77777777" w:rsidTr="00DC2123">
        <w:trPr>
          <w:trHeight w:val="320"/>
        </w:trPr>
        <w:tc>
          <w:tcPr>
            <w:tcW w:w="2662" w:type="dxa"/>
            <w:shd w:val="clear" w:color="auto" w:fill="auto"/>
            <w:noWrap/>
            <w:vAlign w:val="center"/>
            <w:hideMark/>
          </w:tcPr>
          <w:p w14:paraId="7F774AA6" w14:textId="77777777" w:rsidR="004924A1" w:rsidRPr="007526AD" w:rsidRDefault="004924A1">
            <w:pPr>
              <w:rPr>
                <w:sz w:val="20"/>
                <w:szCs w:val="20"/>
                <w:lang w:val="en-US"/>
              </w:rPr>
            </w:pPr>
          </w:p>
        </w:tc>
        <w:tc>
          <w:tcPr>
            <w:tcW w:w="1039" w:type="dxa"/>
            <w:shd w:val="clear" w:color="auto" w:fill="auto"/>
            <w:noWrap/>
            <w:vAlign w:val="center"/>
            <w:hideMark/>
          </w:tcPr>
          <w:p w14:paraId="1E77B998" w14:textId="77777777" w:rsidR="004924A1" w:rsidRPr="007526AD" w:rsidRDefault="004924A1">
            <w:pPr>
              <w:rPr>
                <w:color w:val="000000"/>
                <w:sz w:val="22"/>
                <w:szCs w:val="22"/>
                <w:lang w:val="en-US"/>
              </w:rPr>
            </w:pPr>
            <w:r w:rsidRPr="007526AD">
              <w:rPr>
                <w:color w:val="000000"/>
                <w:sz w:val="22"/>
                <w:szCs w:val="22"/>
                <w:lang w:val="en-US"/>
              </w:rPr>
              <w:t>Indirect</w:t>
            </w:r>
          </w:p>
        </w:tc>
        <w:tc>
          <w:tcPr>
            <w:tcW w:w="2095" w:type="dxa"/>
            <w:shd w:val="clear" w:color="auto" w:fill="auto"/>
            <w:noWrap/>
            <w:vAlign w:val="center"/>
            <w:hideMark/>
          </w:tcPr>
          <w:p w14:paraId="7217B649" w14:textId="77777777" w:rsidR="004924A1" w:rsidRPr="007526AD" w:rsidRDefault="004924A1">
            <w:pPr>
              <w:rPr>
                <w:color w:val="000000"/>
                <w:sz w:val="22"/>
                <w:szCs w:val="22"/>
                <w:lang w:val="en-US"/>
              </w:rPr>
            </w:pPr>
            <w:r w:rsidRPr="007526AD">
              <w:rPr>
                <w:color w:val="000000"/>
                <w:sz w:val="22"/>
                <w:szCs w:val="22"/>
                <w:lang w:val="en-US"/>
              </w:rPr>
              <w:t>1.18 [1.12,1.24]</w:t>
            </w:r>
          </w:p>
        </w:tc>
        <w:tc>
          <w:tcPr>
            <w:tcW w:w="1021" w:type="dxa"/>
            <w:shd w:val="clear" w:color="auto" w:fill="auto"/>
            <w:noWrap/>
            <w:vAlign w:val="center"/>
            <w:hideMark/>
          </w:tcPr>
          <w:p w14:paraId="12B905F5" w14:textId="77777777" w:rsidR="004924A1" w:rsidRPr="007526AD" w:rsidRDefault="004924A1">
            <w:pPr>
              <w:rPr>
                <w:color w:val="000000"/>
                <w:sz w:val="22"/>
                <w:szCs w:val="22"/>
                <w:lang w:val="en-US"/>
              </w:rPr>
            </w:pPr>
            <w:r w:rsidRPr="007526AD">
              <w:rPr>
                <w:color w:val="000000"/>
                <w:sz w:val="22"/>
                <w:szCs w:val="22"/>
                <w:lang w:val="en-US"/>
              </w:rPr>
              <w:t>&lt;0.001</w:t>
            </w:r>
          </w:p>
        </w:tc>
        <w:tc>
          <w:tcPr>
            <w:tcW w:w="603" w:type="dxa"/>
            <w:shd w:val="clear" w:color="auto" w:fill="auto"/>
            <w:noWrap/>
            <w:vAlign w:val="center"/>
            <w:hideMark/>
          </w:tcPr>
          <w:p w14:paraId="5F265029" w14:textId="77777777" w:rsidR="004924A1" w:rsidRPr="007526AD" w:rsidRDefault="004924A1">
            <w:pPr>
              <w:rPr>
                <w:color w:val="000000"/>
                <w:sz w:val="22"/>
                <w:szCs w:val="22"/>
                <w:lang w:val="en-US"/>
              </w:rPr>
            </w:pPr>
          </w:p>
        </w:tc>
      </w:tr>
      <w:tr w:rsidR="004924A1" w:rsidRPr="007526AD" w14:paraId="51D47245" w14:textId="77777777" w:rsidTr="00DC2123">
        <w:trPr>
          <w:trHeight w:val="320"/>
        </w:trPr>
        <w:tc>
          <w:tcPr>
            <w:tcW w:w="2662" w:type="dxa"/>
            <w:shd w:val="clear" w:color="auto" w:fill="auto"/>
            <w:noWrap/>
            <w:vAlign w:val="center"/>
            <w:hideMark/>
          </w:tcPr>
          <w:p w14:paraId="70723945" w14:textId="77777777" w:rsidR="004924A1" w:rsidRPr="007526AD" w:rsidRDefault="004924A1">
            <w:pPr>
              <w:rPr>
                <w:color w:val="000000"/>
                <w:sz w:val="22"/>
                <w:szCs w:val="22"/>
                <w:lang w:val="en-US"/>
              </w:rPr>
            </w:pPr>
            <w:r w:rsidRPr="007526AD">
              <w:rPr>
                <w:color w:val="000000"/>
                <w:sz w:val="22"/>
                <w:szCs w:val="22"/>
                <w:lang w:val="en-US"/>
              </w:rPr>
              <w:t>Depression</w:t>
            </w:r>
          </w:p>
        </w:tc>
        <w:tc>
          <w:tcPr>
            <w:tcW w:w="1039" w:type="dxa"/>
            <w:shd w:val="clear" w:color="auto" w:fill="auto"/>
            <w:noWrap/>
            <w:vAlign w:val="center"/>
            <w:hideMark/>
          </w:tcPr>
          <w:p w14:paraId="690BF4F7" w14:textId="77777777" w:rsidR="004924A1" w:rsidRPr="007526AD" w:rsidRDefault="004924A1">
            <w:pPr>
              <w:rPr>
                <w:color w:val="000000"/>
                <w:sz w:val="22"/>
                <w:szCs w:val="22"/>
                <w:lang w:val="en-US"/>
              </w:rPr>
            </w:pPr>
            <w:r w:rsidRPr="007526AD">
              <w:rPr>
                <w:color w:val="000000"/>
                <w:sz w:val="22"/>
                <w:szCs w:val="22"/>
                <w:lang w:val="en-US"/>
              </w:rPr>
              <w:t>Total</w:t>
            </w:r>
          </w:p>
        </w:tc>
        <w:tc>
          <w:tcPr>
            <w:tcW w:w="2095" w:type="dxa"/>
            <w:shd w:val="clear" w:color="auto" w:fill="auto"/>
            <w:noWrap/>
            <w:vAlign w:val="center"/>
            <w:hideMark/>
          </w:tcPr>
          <w:p w14:paraId="0AC18CF6" w14:textId="77777777" w:rsidR="004924A1" w:rsidRPr="007526AD" w:rsidRDefault="004924A1">
            <w:pPr>
              <w:rPr>
                <w:color w:val="000000"/>
                <w:sz w:val="22"/>
                <w:szCs w:val="22"/>
                <w:lang w:val="en-US"/>
              </w:rPr>
            </w:pPr>
            <w:r w:rsidRPr="007526AD">
              <w:rPr>
                <w:color w:val="000000"/>
                <w:sz w:val="22"/>
                <w:szCs w:val="22"/>
                <w:lang w:val="en-US"/>
              </w:rPr>
              <w:t>2.11 [1.66,2.68]</w:t>
            </w:r>
          </w:p>
        </w:tc>
        <w:tc>
          <w:tcPr>
            <w:tcW w:w="1021" w:type="dxa"/>
            <w:shd w:val="clear" w:color="auto" w:fill="auto"/>
            <w:noWrap/>
            <w:vAlign w:val="center"/>
            <w:hideMark/>
          </w:tcPr>
          <w:p w14:paraId="3E497C0E" w14:textId="77777777" w:rsidR="004924A1" w:rsidRPr="007526AD" w:rsidRDefault="004924A1">
            <w:pPr>
              <w:rPr>
                <w:color w:val="000000"/>
                <w:sz w:val="22"/>
                <w:szCs w:val="22"/>
                <w:lang w:val="en-US"/>
              </w:rPr>
            </w:pPr>
            <w:r w:rsidRPr="007526AD">
              <w:rPr>
                <w:color w:val="000000"/>
                <w:sz w:val="22"/>
                <w:szCs w:val="22"/>
                <w:lang w:val="en-US"/>
              </w:rPr>
              <w:t>&lt;0.001</w:t>
            </w:r>
          </w:p>
        </w:tc>
        <w:tc>
          <w:tcPr>
            <w:tcW w:w="603" w:type="dxa"/>
            <w:shd w:val="clear" w:color="auto" w:fill="auto"/>
            <w:noWrap/>
            <w:vAlign w:val="center"/>
            <w:hideMark/>
          </w:tcPr>
          <w:p w14:paraId="2428F1E4" w14:textId="77777777" w:rsidR="004924A1" w:rsidRPr="007526AD" w:rsidRDefault="004924A1">
            <w:pPr>
              <w:rPr>
                <w:color w:val="000000"/>
                <w:sz w:val="22"/>
                <w:szCs w:val="22"/>
                <w:lang w:val="en-US"/>
              </w:rPr>
            </w:pPr>
            <w:r w:rsidRPr="007526AD">
              <w:rPr>
                <w:color w:val="000000"/>
                <w:sz w:val="22"/>
                <w:szCs w:val="22"/>
                <w:lang w:val="en-US"/>
              </w:rPr>
              <w:t>13.1</w:t>
            </w:r>
          </w:p>
        </w:tc>
      </w:tr>
      <w:tr w:rsidR="004924A1" w:rsidRPr="007526AD" w14:paraId="5ED0B13A" w14:textId="77777777" w:rsidTr="00DC2123">
        <w:trPr>
          <w:trHeight w:val="320"/>
        </w:trPr>
        <w:tc>
          <w:tcPr>
            <w:tcW w:w="2662" w:type="dxa"/>
            <w:shd w:val="clear" w:color="auto" w:fill="auto"/>
            <w:noWrap/>
            <w:vAlign w:val="center"/>
            <w:hideMark/>
          </w:tcPr>
          <w:p w14:paraId="5E30B4FB" w14:textId="77777777" w:rsidR="004924A1" w:rsidRPr="007526AD" w:rsidRDefault="004924A1">
            <w:pPr>
              <w:rPr>
                <w:color w:val="000000"/>
                <w:sz w:val="22"/>
                <w:szCs w:val="22"/>
                <w:lang w:val="en-US"/>
              </w:rPr>
            </w:pPr>
          </w:p>
        </w:tc>
        <w:tc>
          <w:tcPr>
            <w:tcW w:w="1039" w:type="dxa"/>
            <w:shd w:val="clear" w:color="auto" w:fill="auto"/>
            <w:noWrap/>
            <w:vAlign w:val="center"/>
            <w:hideMark/>
          </w:tcPr>
          <w:p w14:paraId="0D9BDAF3" w14:textId="77777777" w:rsidR="004924A1" w:rsidRPr="007526AD" w:rsidRDefault="004924A1">
            <w:pPr>
              <w:rPr>
                <w:color w:val="000000"/>
                <w:sz w:val="22"/>
                <w:szCs w:val="22"/>
                <w:lang w:val="en-US"/>
              </w:rPr>
            </w:pPr>
            <w:r w:rsidRPr="007526AD">
              <w:rPr>
                <w:color w:val="000000"/>
                <w:sz w:val="22"/>
                <w:szCs w:val="22"/>
                <w:lang w:val="en-US"/>
              </w:rPr>
              <w:t>Direct</w:t>
            </w:r>
          </w:p>
        </w:tc>
        <w:tc>
          <w:tcPr>
            <w:tcW w:w="2095" w:type="dxa"/>
            <w:shd w:val="clear" w:color="auto" w:fill="auto"/>
            <w:noWrap/>
            <w:vAlign w:val="center"/>
            <w:hideMark/>
          </w:tcPr>
          <w:p w14:paraId="2F2B66FB" w14:textId="77777777" w:rsidR="004924A1" w:rsidRPr="007526AD" w:rsidRDefault="004924A1">
            <w:pPr>
              <w:rPr>
                <w:color w:val="000000"/>
                <w:sz w:val="22"/>
                <w:szCs w:val="22"/>
                <w:lang w:val="en-US"/>
              </w:rPr>
            </w:pPr>
            <w:r w:rsidRPr="007526AD">
              <w:rPr>
                <w:color w:val="000000"/>
                <w:sz w:val="22"/>
                <w:szCs w:val="22"/>
                <w:lang w:val="en-US"/>
              </w:rPr>
              <w:t>1.92 [1.51,2.44]</w:t>
            </w:r>
          </w:p>
        </w:tc>
        <w:tc>
          <w:tcPr>
            <w:tcW w:w="1021" w:type="dxa"/>
            <w:shd w:val="clear" w:color="auto" w:fill="auto"/>
            <w:noWrap/>
            <w:vAlign w:val="center"/>
            <w:hideMark/>
          </w:tcPr>
          <w:p w14:paraId="2F1A88B2" w14:textId="77777777" w:rsidR="004924A1" w:rsidRPr="007526AD" w:rsidRDefault="004924A1">
            <w:pPr>
              <w:rPr>
                <w:color w:val="000000"/>
                <w:sz w:val="22"/>
                <w:szCs w:val="22"/>
                <w:lang w:val="en-US"/>
              </w:rPr>
            </w:pPr>
            <w:r w:rsidRPr="007526AD">
              <w:rPr>
                <w:color w:val="000000"/>
                <w:sz w:val="22"/>
                <w:szCs w:val="22"/>
                <w:lang w:val="en-US"/>
              </w:rPr>
              <w:t>&lt;0.001</w:t>
            </w:r>
          </w:p>
        </w:tc>
        <w:tc>
          <w:tcPr>
            <w:tcW w:w="603" w:type="dxa"/>
            <w:shd w:val="clear" w:color="auto" w:fill="auto"/>
            <w:noWrap/>
            <w:vAlign w:val="center"/>
            <w:hideMark/>
          </w:tcPr>
          <w:p w14:paraId="27FAE284" w14:textId="77777777" w:rsidR="004924A1" w:rsidRPr="007526AD" w:rsidRDefault="004924A1">
            <w:pPr>
              <w:rPr>
                <w:color w:val="000000"/>
                <w:sz w:val="22"/>
                <w:szCs w:val="22"/>
                <w:lang w:val="en-US"/>
              </w:rPr>
            </w:pPr>
          </w:p>
        </w:tc>
      </w:tr>
      <w:tr w:rsidR="004924A1" w:rsidRPr="007526AD" w14:paraId="10D3794B" w14:textId="77777777" w:rsidTr="00DC2123">
        <w:trPr>
          <w:trHeight w:val="320"/>
        </w:trPr>
        <w:tc>
          <w:tcPr>
            <w:tcW w:w="2662" w:type="dxa"/>
            <w:shd w:val="clear" w:color="auto" w:fill="auto"/>
            <w:noWrap/>
            <w:vAlign w:val="center"/>
            <w:hideMark/>
          </w:tcPr>
          <w:p w14:paraId="072BDEA8" w14:textId="77777777" w:rsidR="004924A1" w:rsidRPr="007526AD" w:rsidRDefault="004924A1">
            <w:pPr>
              <w:rPr>
                <w:sz w:val="20"/>
                <w:szCs w:val="20"/>
                <w:lang w:val="en-US"/>
              </w:rPr>
            </w:pPr>
          </w:p>
        </w:tc>
        <w:tc>
          <w:tcPr>
            <w:tcW w:w="1039" w:type="dxa"/>
            <w:shd w:val="clear" w:color="auto" w:fill="auto"/>
            <w:noWrap/>
            <w:vAlign w:val="center"/>
            <w:hideMark/>
          </w:tcPr>
          <w:p w14:paraId="39098BAE" w14:textId="77777777" w:rsidR="004924A1" w:rsidRPr="007526AD" w:rsidRDefault="004924A1">
            <w:pPr>
              <w:rPr>
                <w:color w:val="000000"/>
                <w:sz w:val="22"/>
                <w:szCs w:val="22"/>
                <w:lang w:val="en-US"/>
              </w:rPr>
            </w:pPr>
            <w:r w:rsidRPr="007526AD">
              <w:rPr>
                <w:color w:val="000000"/>
                <w:sz w:val="22"/>
                <w:szCs w:val="22"/>
                <w:lang w:val="en-US"/>
              </w:rPr>
              <w:t>Indirect</w:t>
            </w:r>
          </w:p>
        </w:tc>
        <w:tc>
          <w:tcPr>
            <w:tcW w:w="2095" w:type="dxa"/>
            <w:shd w:val="clear" w:color="auto" w:fill="auto"/>
            <w:noWrap/>
            <w:vAlign w:val="center"/>
            <w:hideMark/>
          </w:tcPr>
          <w:p w14:paraId="3E4051FA" w14:textId="77777777" w:rsidR="004924A1" w:rsidRPr="007526AD" w:rsidRDefault="004924A1">
            <w:pPr>
              <w:rPr>
                <w:color w:val="000000"/>
                <w:sz w:val="22"/>
                <w:szCs w:val="22"/>
                <w:lang w:val="en-US"/>
              </w:rPr>
            </w:pPr>
            <w:r w:rsidRPr="007526AD">
              <w:rPr>
                <w:color w:val="000000"/>
                <w:sz w:val="22"/>
                <w:szCs w:val="22"/>
                <w:lang w:val="en-US"/>
              </w:rPr>
              <w:t>1.10 [1.06,1.15]</w:t>
            </w:r>
          </w:p>
        </w:tc>
        <w:tc>
          <w:tcPr>
            <w:tcW w:w="1021" w:type="dxa"/>
            <w:shd w:val="clear" w:color="auto" w:fill="auto"/>
            <w:noWrap/>
            <w:vAlign w:val="center"/>
            <w:hideMark/>
          </w:tcPr>
          <w:p w14:paraId="4495AD66" w14:textId="77777777" w:rsidR="004924A1" w:rsidRPr="007526AD" w:rsidRDefault="004924A1">
            <w:pPr>
              <w:rPr>
                <w:color w:val="000000"/>
                <w:sz w:val="22"/>
                <w:szCs w:val="22"/>
                <w:lang w:val="en-US"/>
              </w:rPr>
            </w:pPr>
            <w:r w:rsidRPr="007526AD">
              <w:rPr>
                <w:color w:val="000000"/>
                <w:sz w:val="22"/>
                <w:szCs w:val="22"/>
                <w:lang w:val="en-US"/>
              </w:rPr>
              <w:t>&lt;0.001</w:t>
            </w:r>
          </w:p>
        </w:tc>
        <w:tc>
          <w:tcPr>
            <w:tcW w:w="603" w:type="dxa"/>
            <w:shd w:val="clear" w:color="auto" w:fill="auto"/>
            <w:noWrap/>
            <w:vAlign w:val="center"/>
            <w:hideMark/>
          </w:tcPr>
          <w:p w14:paraId="3D2A0A21" w14:textId="77777777" w:rsidR="004924A1" w:rsidRPr="007526AD" w:rsidRDefault="004924A1">
            <w:pPr>
              <w:rPr>
                <w:color w:val="000000"/>
                <w:sz w:val="22"/>
                <w:szCs w:val="22"/>
                <w:lang w:val="en-US"/>
              </w:rPr>
            </w:pPr>
          </w:p>
        </w:tc>
      </w:tr>
      <w:tr w:rsidR="004924A1" w:rsidRPr="007526AD" w14:paraId="283FD995" w14:textId="77777777" w:rsidTr="00DC2123">
        <w:trPr>
          <w:trHeight w:val="320"/>
        </w:trPr>
        <w:tc>
          <w:tcPr>
            <w:tcW w:w="2662" w:type="dxa"/>
            <w:shd w:val="clear" w:color="auto" w:fill="auto"/>
            <w:noWrap/>
            <w:vAlign w:val="center"/>
            <w:hideMark/>
          </w:tcPr>
          <w:p w14:paraId="1BE0FBE7" w14:textId="77777777" w:rsidR="004924A1" w:rsidRPr="007526AD" w:rsidRDefault="004924A1">
            <w:pPr>
              <w:rPr>
                <w:color w:val="000000"/>
                <w:sz w:val="22"/>
                <w:szCs w:val="22"/>
                <w:lang w:val="en-US"/>
              </w:rPr>
            </w:pPr>
            <w:r w:rsidRPr="007526AD">
              <w:rPr>
                <w:color w:val="000000"/>
                <w:sz w:val="22"/>
                <w:szCs w:val="22"/>
                <w:lang w:val="en-US"/>
              </w:rPr>
              <w:t>Anxiety disorder</w:t>
            </w:r>
          </w:p>
        </w:tc>
        <w:tc>
          <w:tcPr>
            <w:tcW w:w="1039" w:type="dxa"/>
            <w:shd w:val="clear" w:color="auto" w:fill="auto"/>
            <w:noWrap/>
            <w:vAlign w:val="center"/>
            <w:hideMark/>
          </w:tcPr>
          <w:p w14:paraId="212C959A" w14:textId="77777777" w:rsidR="004924A1" w:rsidRPr="007526AD" w:rsidRDefault="004924A1">
            <w:pPr>
              <w:rPr>
                <w:color w:val="000000"/>
                <w:sz w:val="22"/>
                <w:szCs w:val="22"/>
                <w:lang w:val="en-US"/>
              </w:rPr>
            </w:pPr>
            <w:r w:rsidRPr="007526AD">
              <w:rPr>
                <w:color w:val="000000"/>
                <w:sz w:val="22"/>
                <w:szCs w:val="22"/>
                <w:lang w:val="en-US"/>
              </w:rPr>
              <w:t>Total</w:t>
            </w:r>
          </w:p>
        </w:tc>
        <w:tc>
          <w:tcPr>
            <w:tcW w:w="2095" w:type="dxa"/>
            <w:shd w:val="clear" w:color="auto" w:fill="auto"/>
            <w:noWrap/>
            <w:vAlign w:val="center"/>
            <w:hideMark/>
          </w:tcPr>
          <w:p w14:paraId="4673EFC4" w14:textId="77777777" w:rsidR="004924A1" w:rsidRPr="007526AD" w:rsidRDefault="004924A1">
            <w:pPr>
              <w:rPr>
                <w:color w:val="000000"/>
                <w:sz w:val="22"/>
                <w:szCs w:val="22"/>
                <w:lang w:val="en-US"/>
              </w:rPr>
            </w:pPr>
            <w:r w:rsidRPr="007526AD">
              <w:rPr>
                <w:color w:val="000000"/>
                <w:sz w:val="22"/>
                <w:szCs w:val="22"/>
                <w:lang w:val="en-US"/>
              </w:rPr>
              <w:t>2.11 [1.66,2.69]</w:t>
            </w:r>
          </w:p>
        </w:tc>
        <w:tc>
          <w:tcPr>
            <w:tcW w:w="1021" w:type="dxa"/>
            <w:shd w:val="clear" w:color="auto" w:fill="auto"/>
            <w:noWrap/>
            <w:vAlign w:val="center"/>
            <w:hideMark/>
          </w:tcPr>
          <w:p w14:paraId="68C1FC3B" w14:textId="77777777" w:rsidR="004924A1" w:rsidRPr="007526AD" w:rsidRDefault="004924A1">
            <w:pPr>
              <w:rPr>
                <w:color w:val="000000"/>
                <w:sz w:val="22"/>
                <w:szCs w:val="22"/>
                <w:lang w:val="en-US"/>
              </w:rPr>
            </w:pPr>
            <w:r w:rsidRPr="007526AD">
              <w:rPr>
                <w:color w:val="000000"/>
                <w:sz w:val="22"/>
                <w:szCs w:val="22"/>
                <w:lang w:val="en-US"/>
              </w:rPr>
              <w:t>&lt;0.001</w:t>
            </w:r>
          </w:p>
        </w:tc>
        <w:tc>
          <w:tcPr>
            <w:tcW w:w="603" w:type="dxa"/>
            <w:shd w:val="clear" w:color="auto" w:fill="auto"/>
            <w:noWrap/>
            <w:vAlign w:val="center"/>
            <w:hideMark/>
          </w:tcPr>
          <w:p w14:paraId="74F64EF4" w14:textId="77777777" w:rsidR="004924A1" w:rsidRPr="007526AD" w:rsidRDefault="004924A1">
            <w:pPr>
              <w:rPr>
                <w:color w:val="000000"/>
                <w:sz w:val="22"/>
                <w:szCs w:val="22"/>
                <w:lang w:val="en-US"/>
              </w:rPr>
            </w:pPr>
            <w:r w:rsidRPr="007526AD">
              <w:rPr>
                <w:color w:val="000000"/>
                <w:sz w:val="22"/>
                <w:szCs w:val="22"/>
                <w:lang w:val="en-US"/>
              </w:rPr>
              <w:t>26.3</w:t>
            </w:r>
          </w:p>
        </w:tc>
      </w:tr>
      <w:tr w:rsidR="004924A1" w:rsidRPr="007526AD" w14:paraId="0B4BBDD1" w14:textId="77777777" w:rsidTr="00DC2123">
        <w:trPr>
          <w:trHeight w:val="320"/>
        </w:trPr>
        <w:tc>
          <w:tcPr>
            <w:tcW w:w="2662" w:type="dxa"/>
            <w:shd w:val="clear" w:color="auto" w:fill="auto"/>
            <w:noWrap/>
            <w:vAlign w:val="center"/>
            <w:hideMark/>
          </w:tcPr>
          <w:p w14:paraId="348AF52F" w14:textId="77777777" w:rsidR="004924A1" w:rsidRPr="007526AD" w:rsidRDefault="004924A1">
            <w:pPr>
              <w:rPr>
                <w:color w:val="000000"/>
                <w:sz w:val="22"/>
                <w:szCs w:val="22"/>
                <w:lang w:val="en-US"/>
              </w:rPr>
            </w:pPr>
          </w:p>
        </w:tc>
        <w:tc>
          <w:tcPr>
            <w:tcW w:w="1039" w:type="dxa"/>
            <w:shd w:val="clear" w:color="auto" w:fill="auto"/>
            <w:noWrap/>
            <w:vAlign w:val="center"/>
            <w:hideMark/>
          </w:tcPr>
          <w:p w14:paraId="51ECCD90" w14:textId="77777777" w:rsidR="004924A1" w:rsidRPr="007526AD" w:rsidRDefault="004924A1">
            <w:pPr>
              <w:rPr>
                <w:color w:val="000000"/>
                <w:sz w:val="22"/>
                <w:szCs w:val="22"/>
                <w:lang w:val="en-US"/>
              </w:rPr>
            </w:pPr>
            <w:r w:rsidRPr="007526AD">
              <w:rPr>
                <w:color w:val="000000"/>
                <w:sz w:val="22"/>
                <w:szCs w:val="22"/>
                <w:lang w:val="en-US"/>
              </w:rPr>
              <w:t>Direct</w:t>
            </w:r>
          </w:p>
        </w:tc>
        <w:tc>
          <w:tcPr>
            <w:tcW w:w="2095" w:type="dxa"/>
            <w:shd w:val="clear" w:color="auto" w:fill="auto"/>
            <w:noWrap/>
            <w:vAlign w:val="center"/>
            <w:hideMark/>
          </w:tcPr>
          <w:p w14:paraId="0496DDB7" w14:textId="77777777" w:rsidR="004924A1" w:rsidRPr="007526AD" w:rsidRDefault="004924A1">
            <w:pPr>
              <w:rPr>
                <w:color w:val="000000"/>
                <w:sz w:val="22"/>
                <w:szCs w:val="22"/>
                <w:lang w:val="en-US"/>
              </w:rPr>
            </w:pPr>
            <w:r w:rsidRPr="007526AD">
              <w:rPr>
                <w:color w:val="000000"/>
                <w:sz w:val="22"/>
                <w:szCs w:val="22"/>
                <w:lang w:val="en-US"/>
              </w:rPr>
              <w:t>1.74 [1.36,2.22]</w:t>
            </w:r>
          </w:p>
        </w:tc>
        <w:tc>
          <w:tcPr>
            <w:tcW w:w="1021" w:type="dxa"/>
            <w:shd w:val="clear" w:color="auto" w:fill="auto"/>
            <w:noWrap/>
            <w:vAlign w:val="center"/>
            <w:hideMark/>
          </w:tcPr>
          <w:p w14:paraId="2AC46523" w14:textId="77777777" w:rsidR="004924A1" w:rsidRPr="007526AD" w:rsidRDefault="004924A1">
            <w:pPr>
              <w:rPr>
                <w:color w:val="000000"/>
                <w:sz w:val="22"/>
                <w:szCs w:val="22"/>
                <w:lang w:val="en-US"/>
              </w:rPr>
            </w:pPr>
            <w:r w:rsidRPr="007526AD">
              <w:rPr>
                <w:color w:val="000000"/>
                <w:sz w:val="22"/>
                <w:szCs w:val="22"/>
                <w:lang w:val="en-US"/>
              </w:rPr>
              <w:t>&lt;0.001</w:t>
            </w:r>
          </w:p>
        </w:tc>
        <w:tc>
          <w:tcPr>
            <w:tcW w:w="603" w:type="dxa"/>
            <w:shd w:val="clear" w:color="auto" w:fill="auto"/>
            <w:noWrap/>
            <w:vAlign w:val="center"/>
            <w:hideMark/>
          </w:tcPr>
          <w:p w14:paraId="4B68B745" w14:textId="77777777" w:rsidR="004924A1" w:rsidRPr="007526AD" w:rsidRDefault="004924A1">
            <w:pPr>
              <w:rPr>
                <w:color w:val="000000"/>
                <w:sz w:val="22"/>
                <w:szCs w:val="22"/>
                <w:lang w:val="en-US"/>
              </w:rPr>
            </w:pPr>
          </w:p>
        </w:tc>
      </w:tr>
      <w:tr w:rsidR="004924A1" w:rsidRPr="007526AD" w14:paraId="59CAB6D1" w14:textId="77777777" w:rsidTr="00DC2123">
        <w:trPr>
          <w:trHeight w:val="320"/>
        </w:trPr>
        <w:tc>
          <w:tcPr>
            <w:tcW w:w="2662" w:type="dxa"/>
            <w:shd w:val="clear" w:color="auto" w:fill="auto"/>
            <w:noWrap/>
            <w:vAlign w:val="center"/>
            <w:hideMark/>
          </w:tcPr>
          <w:p w14:paraId="73BDB60B" w14:textId="77777777" w:rsidR="004924A1" w:rsidRPr="007526AD" w:rsidRDefault="004924A1">
            <w:pPr>
              <w:rPr>
                <w:sz w:val="20"/>
                <w:szCs w:val="20"/>
                <w:lang w:val="en-US"/>
              </w:rPr>
            </w:pPr>
          </w:p>
        </w:tc>
        <w:tc>
          <w:tcPr>
            <w:tcW w:w="1039" w:type="dxa"/>
            <w:shd w:val="clear" w:color="auto" w:fill="auto"/>
            <w:noWrap/>
            <w:vAlign w:val="center"/>
            <w:hideMark/>
          </w:tcPr>
          <w:p w14:paraId="4FFDA9E6" w14:textId="77777777" w:rsidR="004924A1" w:rsidRPr="007526AD" w:rsidRDefault="004924A1">
            <w:pPr>
              <w:rPr>
                <w:color w:val="000000"/>
                <w:sz w:val="22"/>
                <w:szCs w:val="22"/>
                <w:lang w:val="en-US"/>
              </w:rPr>
            </w:pPr>
            <w:r w:rsidRPr="007526AD">
              <w:rPr>
                <w:color w:val="000000"/>
                <w:sz w:val="22"/>
                <w:szCs w:val="22"/>
                <w:lang w:val="en-US"/>
              </w:rPr>
              <w:t>Indirect</w:t>
            </w:r>
          </w:p>
        </w:tc>
        <w:tc>
          <w:tcPr>
            <w:tcW w:w="2095" w:type="dxa"/>
            <w:shd w:val="clear" w:color="auto" w:fill="auto"/>
            <w:noWrap/>
            <w:vAlign w:val="center"/>
            <w:hideMark/>
          </w:tcPr>
          <w:p w14:paraId="516BB798" w14:textId="77777777" w:rsidR="004924A1" w:rsidRPr="007526AD" w:rsidRDefault="004924A1">
            <w:pPr>
              <w:rPr>
                <w:color w:val="000000"/>
                <w:sz w:val="22"/>
                <w:szCs w:val="22"/>
                <w:lang w:val="en-US"/>
              </w:rPr>
            </w:pPr>
            <w:r w:rsidRPr="007526AD">
              <w:rPr>
                <w:color w:val="000000"/>
                <w:sz w:val="22"/>
                <w:szCs w:val="22"/>
                <w:lang w:val="en-US"/>
              </w:rPr>
              <w:t>1.22 [1.15,1.29]</w:t>
            </w:r>
          </w:p>
        </w:tc>
        <w:tc>
          <w:tcPr>
            <w:tcW w:w="1021" w:type="dxa"/>
            <w:shd w:val="clear" w:color="auto" w:fill="auto"/>
            <w:noWrap/>
            <w:vAlign w:val="center"/>
            <w:hideMark/>
          </w:tcPr>
          <w:p w14:paraId="2C6F104C" w14:textId="77777777" w:rsidR="004924A1" w:rsidRPr="007526AD" w:rsidRDefault="004924A1">
            <w:pPr>
              <w:rPr>
                <w:color w:val="000000"/>
                <w:sz w:val="22"/>
                <w:szCs w:val="22"/>
                <w:lang w:val="en-US"/>
              </w:rPr>
            </w:pPr>
            <w:r w:rsidRPr="007526AD">
              <w:rPr>
                <w:color w:val="000000"/>
                <w:sz w:val="22"/>
                <w:szCs w:val="22"/>
                <w:lang w:val="en-US"/>
              </w:rPr>
              <w:t>&lt;0.001</w:t>
            </w:r>
          </w:p>
        </w:tc>
        <w:tc>
          <w:tcPr>
            <w:tcW w:w="603" w:type="dxa"/>
            <w:shd w:val="clear" w:color="auto" w:fill="auto"/>
            <w:noWrap/>
            <w:vAlign w:val="center"/>
            <w:hideMark/>
          </w:tcPr>
          <w:p w14:paraId="3BD0F16D" w14:textId="77777777" w:rsidR="004924A1" w:rsidRPr="007526AD" w:rsidRDefault="004924A1">
            <w:pPr>
              <w:rPr>
                <w:color w:val="000000"/>
                <w:sz w:val="22"/>
                <w:szCs w:val="22"/>
                <w:lang w:val="en-US"/>
              </w:rPr>
            </w:pPr>
          </w:p>
        </w:tc>
      </w:tr>
      <w:tr w:rsidR="004924A1" w:rsidRPr="007526AD" w14:paraId="2F1C8D7E" w14:textId="77777777" w:rsidTr="00DC2123">
        <w:trPr>
          <w:trHeight w:val="320"/>
        </w:trPr>
        <w:tc>
          <w:tcPr>
            <w:tcW w:w="2662" w:type="dxa"/>
            <w:shd w:val="clear" w:color="auto" w:fill="auto"/>
            <w:noWrap/>
            <w:vAlign w:val="center"/>
            <w:hideMark/>
          </w:tcPr>
          <w:p w14:paraId="50D4500F" w14:textId="77777777" w:rsidR="004924A1" w:rsidRPr="007526AD" w:rsidRDefault="004924A1">
            <w:pPr>
              <w:rPr>
                <w:color w:val="000000"/>
                <w:sz w:val="22"/>
                <w:szCs w:val="22"/>
                <w:lang w:val="en-US"/>
              </w:rPr>
            </w:pPr>
            <w:r w:rsidRPr="007526AD">
              <w:rPr>
                <w:color w:val="000000"/>
                <w:sz w:val="22"/>
                <w:szCs w:val="22"/>
                <w:lang w:val="en-US"/>
              </w:rPr>
              <w:t>Alcohol dependence</w:t>
            </w:r>
          </w:p>
        </w:tc>
        <w:tc>
          <w:tcPr>
            <w:tcW w:w="1039" w:type="dxa"/>
            <w:shd w:val="clear" w:color="auto" w:fill="auto"/>
            <w:noWrap/>
            <w:vAlign w:val="center"/>
            <w:hideMark/>
          </w:tcPr>
          <w:p w14:paraId="7C102B02" w14:textId="77777777" w:rsidR="004924A1" w:rsidRPr="007526AD" w:rsidRDefault="004924A1">
            <w:pPr>
              <w:rPr>
                <w:color w:val="000000"/>
                <w:sz w:val="22"/>
                <w:szCs w:val="22"/>
                <w:lang w:val="en-US"/>
              </w:rPr>
            </w:pPr>
            <w:r w:rsidRPr="007526AD">
              <w:rPr>
                <w:color w:val="000000"/>
                <w:sz w:val="22"/>
                <w:szCs w:val="22"/>
                <w:lang w:val="en-US"/>
              </w:rPr>
              <w:t>Total</w:t>
            </w:r>
          </w:p>
        </w:tc>
        <w:tc>
          <w:tcPr>
            <w:tcW w:w="2095" w:type="dxa"/>
            <w:shd w:val="clear" w:color="auto" w:fill="auto"/>
            <w:noWrap/>
            <w:vAlign w:val="center"/>
            <w:hideMark/>
          </w:tcPr>
          <w:p w14:paraId="134EEA95" w14:textId="77777777" w:rsidR="004924A1" w:rsidRPr="007526AD" w:rsidRDefault="004924A1">
            <w:pPr>
              <w:rPr>
                <w:color w:val="000000"/>
                <w:sz w:val="22"/>
                <w:szCs w:val="22"/>
                <w:lang w:val="en-US"/>
              </w:rPr>
            </w:pPr>
            <w:r w:rsidRPr="007526AD">
              <w:rPr>
                <w:color w:val="000000"/>
                <w:sz w:val="22"/>
                <w:szCs w:val="22"/>
                <w:lang w:val="en-US"/>
              </w:rPr>
              <w:t>2.11 [1.67,2.66]</w:t>
            </w:r>
          </w:p>
        </w:tc>
        <w:tc>
          <w:tcPr>
            <w:tcW w:w="1021" w:type="dxa"/>
            <w:shd w:val="clear" w:color="auto" w:fill="auto"/>
            <w:noWrap/>
            <w:vAlign w:val="center"/>
            <w:hideMark/>
          </w:tcPr>
          <w:p w14:paraId="558A1D89" w14:textId="77777777" w:rsidR="004924A1" w:rsidRPr="007526AD" w:rsidRDefault="004924A1">
            <w:pPr>
              <w:rPr>
                <w:color w:val="000000"/>
                <w:sz w:val="22"/>
                <w:szCs w:val="22"/>
                <w:lang w:val="en-US"/>
              </w:rPr>
            </w:pPr>
            <w:r w:rsidRPr="007526AD">
              <w:rPr>
                <w:color w:val="000000"/>
                <w:sz w:val="22"/>
                <w:szCs w:val="22"/>
                <w:lang w:val="en-US"/>
              </w:rPr>
              <w:t>&lt;0.001</w:t>
            </w:r>
          </w:p>
        </w:tc>
        <w:tc>
          <w:tcPr>
            <w:tcW w:w="603" w:type="dxa"/>
            <w:shd w:val="clear" w:color="auto" w:fill="auto"/>
            <w:noWrap/>
            <w:vAlign w:val="center"/>
            <w:hideMark/>
          </w:tcPr>
          <w:p w14:paraId="2E9BEE95" w14:textId="77777777" w:rsidR="004924A1" w:rsidRPr="007526AD" w:rsidRDefault="004924A1">
            <w:pPr>
              <w:rPr>
                <w:color w:val="000000"/>
                <w:sz w:val="22"/>
                <w:szCs w:val="22"/>
                <w:lang w:val="en-US"/>
              </w:rPr>
            </w:pPr>
            <w:r w:rsidRPr="007526AD">
              <w:rPr>
                <w:color w:val="000000"/>
                <w:sz w:val="22"/>
                <w:szCs w:val="22"/>
                <w:lang w:val="en-US"/>
              </w:rPr>
              <w:t>4.3</w:t>
            </w:r>
          </w:p>
        </w:tc>
      </w:tr>
      <w:tr w:rsidR="004924A1" w:rsidRPr="007526AD" w14:paraId="0FF21739" w14:textId="77777777" w:rsidTr="00DC2123">
        <w:trPr>
          <w:trHeight w:val="320"/>
        </w:trPr>
        <w:tc>
          <w:tcPr>
            <w:tcW w:w="2662" w:type="dxa"/>
            <w:shd w:val="clear" w:color="auto" w:fill="auto"/>
            <w:noWrap/>
            <w:vAlign w:val="center"/>
            <w:hideMark/>
          </w:tcPr>
          <w:p w14:paraId="756CD98F" w14:textId="77777777" w:rsidR="004924A1" w:rsidRPr="007526AD" w:rsidRDefault="004924A1">
            <w:pPr>
              <w:rPr>
                <w:color w:val="000000"/>
                <w:sz w:val="22"/>
                <w:szCs w:val="22"/>
                <w:lang w:val="en-US"/>
              </w:rPr>
            </w:pPr>
          </w:p>
        </w:tc>
        <w:tc>
          <w:tcPr>
            <w:tcW w:w="1039" w:type="dxa"/>
            <w:shd w:val="clear" w:color="auto" w:fill="auto"/>
            <w:noWrap/>
            <w:vAlign w:val="center"/>
            <w:hideMark/>
          </w:tcPr>
          <w:p w14:paraId="6BE34B64" w14:textId="77777777" w:rsidR="004924A1" w:rsidRPr="007526AD" w:rsidRDefault="004924A1">
            <w:pPr>
              <w:rPr>
                <w:color w:val="000000"/>
                <w:sz w:val="22"/>
                <w:szCs w:val="22"/>
                <w:lang w:val="en-US"/>
              </w:rPr>
            </w:pPr>
            <w:r w:rsidRPr="007526AD">
              <w:rPr>
                <w:color w:val="000000"/>
                <w:sz w:val="22"/>
                <w:szCs w:val="22"/>
                <w:lang w:val="en-US"/>
              </w:rPr>
              <w:t>Direct</w:t>
            </w:r>
          </w:p>
        </w:tc>
        <w:tc>
          <w:tcPr>
            <w:tcW w:w="2095" w:type="dxa"/>
            <w:shd w:val="clear" w:color="auto" w:fill="auto"/>
            <w:noWrap/>
            <w:vAlign w:val="center"/>
            <w:hideMark/>
          </w:tcPr>
          <w:p w14:paraId="09D032B1" w14:textId="77777777" w:rsidR="004924A1" w:rsidRPr="007526AD" w:rsidRDefault="004924A1">
            <w:pPr>
              <w:rPr>
                <w:color w:val="000000"/>
                <w:sz w:val="22"/>
                <w:szCs w:val="22"/>
                <w:lang w:val="en-US"/>
              </w:rPr>
            </w:pPr>
            <w:r w:rsidRPr="007526AD">
              <w:rPr>
                <w:color w:val="000000"/>
                <w:sz w:val="22"/>
                <w:szCs w:val="22"/>
                <w:lang w:val="en-US"/>
              </w:rPr>
              <w:t>2.04 [1.62,2.58]</w:t>
            </w:r>
          </w:p>
        </w:tc>
        <w:tc>
          <w:tcPr>
            <w:tcW w:w="1021" w:type="dxa"/>
            <w:shd w:val="clear" w:color="auto" w:fill="auto"/>
            <w:noWrap/>
            <w:vAlign w:val="center"/>
            <w:hideMark/>
          </w:tcPr>
          <w:p w14:paraId="1335716B" w14:textId="77777777" w:rsidR="004924A1" w:rsidRPr="007526AD" w:rsidRDefault="004924A1">
            <w:pPr>
              <w:rPr>
                <w:color w:val="000000"/>
                <w:sz w:val="22"/>
                <w:szCs w:val="22"/>
                <w:lang w:val="en-US"/>
              </w:rPr>
            </w:pPr>
            <w:r w:rsidRPr="007526AD">
              <w:rPr>
                <w:color w:val="000000"/>
                <w:sz w:val="22"/>
                <w:szCs w:val="22"/>
                <w:lang w:val="en-US"/>
              </w:rPr>
              <w:t>&lt;0.001</w:t>
            </w:r>
          </w:p>
        </w:tc>
        <w:tc>
          <w:tcPr>
            <w:tcW w:w="603" w:type="dxa"/>
            <w:shd w:val="clear" w:color="auto" w:fill="auto"/>
            <w:noWrap/>
            <w:vAlign w:val="center"/>
            <w:hideMark/>
          </w:tcPr>
          <w:p w14:paraId="044CC36E" w14:textId="77777777" w:rsidR="004924A1" w:rsidRPr="007526AD" w:rsidRDefault="004924A1">
            <w:pPr>
              <w:rPr>
                <w:color w:val="000000"/>
                <w:sz w:val="22"/>
                <w:szCs w:val="22"/>
                <w:lang w:val="en-US"/>
              </w:rPr>
            </w:pPr>
          </w:p>
        </w:tc>
      </w:tr>
      <w:tr w:rsidR="004924A1" w:rsidRPr="007526AD" w14:paraId="2A08CBC8" w14:textId="77777777" w:rsidTr="00DC2123">
        <w:trPr>
          <w:trHeight w:val="320"/>
        </w:trPr>
        <w:tc>
          <w:tcPr>
            <w:tcW w:w="2662" w:type="dxa"/>
            <w:shd w:val="clear" w:color="auto" w:fill="auto"/>
            <w:noWrap/>
            <w:vAlign w:val="center"/>
            <w:hideMark/>
          </w:tcPr>
          <w:p w14:paraId="5571AB64" w14:textId="77777777" w:rsidR="004924A1" w:rsidRPr="007526AD" w:rsidRDefault="004924A1">
            <w:pPr>
              <w:rPr>
                <w:sz w:val="20"/>
                <w:szCs w:val="20"/>
                <w:lang w:val="en-US"/>
              </w:rPr>
            </w:pPr>
          </w:p>
        </w:tc>
        <w:tc>
          <w:tcPr>
            <w:tcW w:w="1039" w:type="dxa"/>
            <w:shd w:val="clear" w:color="auto" w:fill="auto"/>
            <w:noWrap/>
            <w:vAlign w:val="center"/>
            <w:hideMark/>
          </w:tcPr>
          <w:p w14:paraId="04C8F253" w14:textId="77777777" w:rsidR="004924A1" w:rsidRPr="007526AD" w:rsidRDefault="004924A1">
            <w:pPr>
              <w:rPr>
                <w:color w:val="000000"/>
                <w:sz w:val="22"/>
                <w:szCs w:val="22"/>
                <w:lang w:val="en-US"/>
              </w:rPr>
            </w:pPr>
            <w:r w:rsidRPr="007526AD">
              <w:rPr>
                <w:color w:val="000000"/>
                <w:sz w:val="22"/>
                <w:szCs w:val="22"/>
                <w:lang w:val="en-US"/>
              </w:rPr>
              <w:t>Indirect</w:t>
            </w:r>
          </w:p>
        </w:tc>
        <w:tc>
          <w:tcPr>
            <w:tcW w:w="2095" w:type="dxa"/>
            <w:shd w:val="clear" w:color="auto" w:fill="auto"/>
            <w:noWrap/>
            <w:vAlign w:val="center"/>
            <w:hideMark/>
          </w:tcPr>
          <w:p w14:paraId="2C050935" w14:textId="77777777" w:rsidR="004924A1" w:rsidRPr="007526AD" w:rsidRDefault="004924A1">
            <w:pPr>
              <w:rPr>
                <w:color w:val="000000"/>
                <w:sz w:val="22"/>
                <w:szCs w:val="22"/>
                <w:lang w:val="en-US"/>
              </w:rPr>
            </w:pPr>
            <w:r w:rsidRPr="007526AD">
              <w:rPr>
                <w:color w:val="000000"/>
                <w:sz w:val="22"/>
                <w:szCs w:val="22"/>
                <w:lang w:val="en-US"/>
              </w:rPr>
              <w:t>1.03 [1.00,1.06]</w:t>
            </w:r>
          </w:p>
        </w:tc>
        <w:tc>
          <w:tcPr>
            <w:tcW w:w="1021" w:type="dxa"/>
            <w:shd w:val="clear" w:color="auto" w:fill="auto"/>
            <w:noWrap/>
            <w:vAlign w:val="center"/>
            <w:hideMark/>
          </w:tcPr>
          <w:p w14:paraId="583F12CA" w14:textId="77777777" w:rsidR="004924A1" w:rsidRPr="007526AD" w:rsidRDefault="004924A1">
            <w:pPr>
              <w:rPr>
                <w:color w:val="000000"/>
                <w:sz w:val="22"/>
                <w:szCs w:val="22"/>
                <w:lang w:val="en-US"/>
              </w:rPr>
            </w:pPr>
            <w:r w:rsidRPr="007526AD">
              <w:rPr>
                <w:color w:val="000000"/>
                <w:sz w:val="22"/>
                <w:szCs w:val="22"/>
                <w:lang w:val="en-US"/>
              </w:rPr>
              <w:t>0.023</w:t>
            </w:r>
          </w:p>
        </w:tc>
        <w:tc>
          <w:tcPr>
            <w:tcW w:w="603" w:type="dxa"/>
            <w:shd w:val="clear" w:color="auto" w:fill="auto"/>
            <w:noWrap/>
            <w:vAlign w:val="center"/>
            <w:hideMark/>
          </w:tcPr>
          <w:p w14:paraId="06C0B5BD" w14:textId="77777777" w:rsidR="004924A1" w:rsidRPr="007526AD" w:rsidRDefault="004924A1">
            <w:pPr>
              <w:rPr>
                <w:color w:val="000000"/>
                <w:sz w:val="22"/>
                <w:szCs w:val="22"/>
                <w:lang w:val="en-US"/>
              </w:rPr>
            </w:pPr>
          </w:p>
        </w:tc>
      </w:tr>
      <w:tr w:rsidR="004924A1" w:rsidRPr="007526AD" w14:paraId="10B0743E" w14:textId="77777777" w:rsidTr="00DC2123">
        <w:trPr>
          <w:trHeight w:val="320"/>
        </w:trPr>
        <w:tc>
          <w:tcPr>
            <w:tcW w:w="2662" w:type="dxa"/>
            <w:shd w:val="clear" w:color="auto" w:fill="auto"/>
            <w:noWrap/>
            <w:vAlign w:val="center"/>
            <w:hideMark/>
          </w:tcPr>
          <w:p w14:paraId="2E7E935F" w14:textId="77777777" w:rsidR="004924A1" w:rsidRPr="007526AD" w:rsidRDefault="004924A1">
            <w:pPr>
              <w:rPr>
                <w:color w:val="000000"/>
                <w:sz w:val="22"/>
                <w:szCs w:val="22"/>
                <w:lang w:val="en-US"/>
              </w:rPr>
            </w:pPr>
            <w:r w:rsidRPr="007526AD">
              <w:rPr>
                <w:color w:val="000000"/>
                <w:sz w:val="22"/>
                <w:szCs w:val="22"/>
                <w:lang w:val="en-US"/>
              </w:rPr>
              <w:t>Lifetime smoking</w:t>
            </w:r>
          </w:p>
        </w:tc>
        <w:tc>
          <w:tcPr>
            <w:tcW w:w="1039" w:type="dxa"/>
            <w:shd w:val="clear" w:color="auto" w:fill="auto"/>
            <w:noWrap/>
            <w:vAlign w:val="center"/>
            <w:hideMark/>
          </w:tcPr>
          <w:p w14:paraId="48E86393" w14:textId="77777777" w:rsidR="004924A1" w:rsidRPr="007526AD" w:rsidRDefault="004924A1">
            <w:pPr>
              <w:rPr>
                <w:color w:val="000000"/>
                <w:sz w:val="22"/>
                <w:szCs w:val="22"/>
                <w:lang w:val="en-US"/>
              </w:rPr>
            </w:pPr>
            <w:r w:rsidRPr="007526AD">
              <w:rPr>
                <w:color w:val="000000"/>
                <w:sz w:val="22"/>
                <w:szCs w:val="22"/>
                <w:lang w:val="en-US"/>
              </w:rPr>
              <w:t>Total</w:t>
            </w:r>
          </w:p>
        </w:tc>
        <w:tc>
          <w:tcPr>
            <w:tcW w:w="2095" w:type="dxa"/>
            <w:shd w:val="clear" w:color="auto" w:fill="auto"/>
            <w:noWrap/>
            <w:vAlign w:val="center"/>
            <w:hideMark/>
          </w:tcPr>
          <w:p w14:paraId="1640E3DC" w14:textId="77777777" w:rsidR="004924A1" w:rsidRPr="007526AD" w:rsidRDefault="004924A1">
            <w:pPr>
              <w:rPr>
                <w:color w:val="000000"/>
                <w:sz w:val="22"/>
                <w:szCs w:val="22"/>
                <w:lang w:val="en-US"/>
              </w:rPr>
            </w:pPr>
            <w:r w:rsidRPr="007526AD">
              <w:rPr>
                <w:color w:val="000000"/>
                <w:sz w:val="22"/>
                <w:szCs w:val="22"/>
                <w:lang w:val="en-US"/>
              </w:rPr>
              <w:t>2.11 [1.67,2.67]</w:t>
            </w:r>
          </w:p>
        </w:tc>
        <w:tc>
          <w:tcPr>
            <w:tcW w:w="1021" w:type="dxa"/>
            <w:shd w:val="clear" w:color="auto" w:fill="auto"/>
            <w:noWrap/>
            <w:vAlign w:val="center"/>
            <w:hideMark/>
          </w:tcPr>
          <w:p w14:paraId="52722026" w14:textId="77777777" w:rsidR="004924A1" w:rsidRPr="007526AD" w:rsidRDefault="004924A1">
            <w:pPr>
              <w:rPr>
                <w:color w:val="000000"/>
                <w:sz w:val="22"/>
                <w:szCs w:val="22"/>
                <w:lang w:val="en-US"/>
              </w:rPr>
            </w:pPr>
            <w:r w:rsidRPr="007526AD">
              <w:rPr>
                <w:color w:val="000000"/>
                <w:sz w:val="22"/>
                <w:szCs w:val="22"/>
                <w:lang w:val="en-US"/>
              </w:rPr>
              <w:t>&lt;0.001</w:t>
            </w:r>
          </w:p>
        </w:tc>
        <w:tc>
          <w:tcPr>
            <w:tcW w:w="603" w:type="dxa"/>
            <w:shd w:val="clear" w:color="auto" w:fill="auto"/>
            <w:noWrap/>
            <w:vAlign w:val="center"/>
            <w:hideMark/>
          </w:tcPr>
          <w:p w14:paraId="7F48389A" w14:textId="77777777" w:rsidR="004924A1" w:rsidRPr="007526AD" w:rsidRDefault="004924A1">
            <w:pPr>
              <w:rPr>
                <w:color w:val="000000"/>
                <w:sz w:val="22"/>
                <w:szCs w:val="22"/>
                <w:lang w:val="en-US"/>
              </w:rPr>
            </w:pPr>
            <w:r w:rsidRPr="007526AD">
              <w:rPr>
                <w:color w:val="000000"/>
                <w:sz w:val="22"/>
                <w:szCs w:val="22"/>
                <w:lang w:val="en-US"/>
              </w:rPr>
              <w:t>NA</w:t>
            </w:r>
          </w:p>
        </w:tc>
      </w:tr>
      <w:tr w:rsidR="004924A1" w:rsidRPr="007526AD" w14:paraId="51D1CB8B" w14:textId="77777777" w:rsidTr="00DC2123">
        <w:trPr>
          <w:trHeight w:val="320"/>
        </w:trPr>
        <w:tc>
          <w:tcPr>
            <w:tcW w:w="2662" w:type="dxa"/>
            <w:shd w:val="clear" w:color="auto" w:fill="auto"/>
            <w:noWrap/>
            <w:vAlign w:val="center"/>
            <w:hideMark/>
          </w:tcPr>
          <w:p w14:paraId="5C683195" w14:textId="77777777" w:rsidR="004924A1" w:rsidRPr="007526AD" w:rsidRDefault="004924A1">
            <w:pPr>
              <w:rPr>
                <w:color w:val="000000"/>
                <w:sz w:val="22"/>
                <w:szCs w:val="22"/>
                <w:lang w:val="en-US"/>
              </w:rPr>
            </w:pPr>
          </w:p>
        </w:tc>
        <w:tc>
          <w:tcPr>
            <w:tcW w:w="1039" w:type="dxa"/>
            <w:shd w:val="clear" w:color="auto" w:fill="auto"/>
            <w:noWrap/>
            <w:vAlign w:val="center"/>
            <w:hideMark/>
          </w:tcPr>
          <w:p w14:paraId="244310C6" w14:textId="77777777" w:rsidR="004924A1" w:rsidRPr="007526AD" w:rsidRDefault="004924A1">
            <w:pPr>
              <w:rPr>
                <w:color w:val="000000"/>
                <w:sz w:val="22"/>
                <w:szCs w:val="22"/>
                <w:lang w:val="en-US"/>
              </w:rPr>
            </w:pPr>
            <w:r w:rsidRPr="007526AD">
              <w:rPr>
                <w:color w:val="000000"/>
                <w:sz w:val="22"/>
                <w:szCs w:val="22"/>
                <w:lang w:val="en-US"/>
              </w:rPr>
              <w:t>Direct</w:t>
            </w:r>
          </w:p>
        </w:tc>
        <w:tc>
          <w:tcPr>
            <w:tcW w:w="2095" w:type="dxa"/>
            <w:shd w:val="clear" w:color="auto" w:fill="auto"/>
            <w:noWrap/>
            <w:vAlign w:val="center"/>
            <w:hideMark/>
          </w:tcPr>
          <w:p w14:paraId="3BE74822" w14:textId="77777777" w:rsidR="004924A1" w:rsidRPr="007526AD" w:rsidRDefault="004924A1">
            <w:pPr>
              <w:rPr>
                <w:color w:val="000000"/>
                <w:sz w:val="22"/>
                <w:szCs w:val="22"/>
                <w:lang w:val="en-US"/>
              </w:rPr>
            </w:pPr>
            <w:r w:rsidRPr="007526AD">
              <w:rPr>
                <w:color w:val="000000"/>
                <w:sz w:val="22"/>
                <w:szCs w:val="22"/>
                <w:lang w:val="en-US"/>
              </w:rPr>
              <w:t>2.09 [1.66,2.64]</w:t>
            </w:r>
          </w:p>
        </w:tc>
        <w:tc>
          <w:tcPr>
            <w:tcW w:w="1021" w:type="dxa"/>
            <w:shd w:val="clear" w:color="auto" w:fill="auto"/>
            <w:noWrap/>
            <w:vAlign w:val="center"/>
            <w:hideMark/>
          </w:tcPr>
          <w:p w14:paraId="32C70FC7" w14:textId="77777777" w:rsidR="004924A1" w:rsidRPr="007526AD" w:rsidRDefault="004924A1">
            <w:pPr>
              <w:rPr>
                <w:color w:val="000000"/>
                <w:sz w:val="22"/>
                <w:szCs w:val="22"/>
                <w:lang w:val="en-US"/>
              </w:rPr>
            </w:pPr>
            <w:r w:rsidRPr="007526AD">
              <w:rPr>
                <w:color w:val="000000"/>
                <w:sz w:val="22"/>
                <w:szCs w:val="22"/>
                <w:lang w:val="en-US"/>
              </w:rPr>
              <w:t>&lt;0.001</w:t>
            </w:r>
          </w:p>
        </w:tc>
        <w:tc>
          <w:tcPr>
            <w:tcW w:w="603" w:type="dxa"/>
            <w:shd w:val="clear" w:color="auto" w:fill="auto"/>
            <w:noWrap/>
            <w:vAlign w:val="center"/>
            <w:hideMark/>
          </w:tcPr>
          <w:p w14:paraId="19B50D74" w14:textId="77777777" w:rsidR="004924A1" w:rsidRPr="007526AD" w:rsidRDefault="004924A1">
            <w:pPr>
              <w:rPr>
                <w:color w:val="000000"/>
                <w:sz w:val="22"/>
                <w:szCs w:val="22"/>
                <w:lang w:val="en-US"/>
              </w:rPr>
            </w:pPr>
          </w:p>
        </w:tc>
      </w:tr>
      <w:tr w:rsidR="004924A1" w:rsidRPr="007526AD" w14:paraId="2AF3CF58" w14:textId="77777777" w:rsidTr="00DC2123">
        <w:trPr>
          <w:trHeight w:val="320"/>
        </w:trPr>
        <w:tc>
          <w:tcPr>
            <w:tcW w:w="2662" w:type="dxa"/>
            <w:shd w:val="clear" w:color="auto" w:fill="auto"/>
            <w:noWrap/>
            <w:vAlign w:val="center"/>
            <w:hideMark/>
          </w:tcPr>
          <w:p w14:paraId="787A7A5F" w14:textId="77777777" w:rsidR="004924A1" w:rsidRPr="007526AD" w:rsidRDefault="004924A1">
            <w:pPr>
              <w:rPr>
                <w:sz w:val="20"/>
                <w:szCs w:val="20"/>
                <w:lang w:val="en-US"/>
              </w:rPr>
            </w:pPr>
          </w:p>
        </w:tc>
        <w:tc>
          <w:tcPr>
            <w:tcW w:w="1039" w:type="dxa"/>
            <w:shd w:val="clear" w:color="auto" w:fill="auto"/>
            <w:noWrap/>
            <w:vAlign w:val="center"/>
            <w:hideMark/>
          </w:tcPr>
          <w:p w14:paraId="0DB5776A" w14:textId="77777777" w:rsidR="004924A1" w:rsidRPr="007526AD" w:rsidRDefault="004924A1">
            <w:pPr>
              <w:rPr>
                <w:color w:val="000000"/>
                <w:sz w:val="22"/>
                <w:szCs w:val="22"/>
                <w:lang w:val="en-US"/>
              </w:rPr>
            </w:pPr>
            <w:r w:rsidRPr="007526AD">
              <w:rPr>
                <w:color w:val="000000"/>
                <w:sz w:val="22"/>
                <w:szCs w:val="22"/>
                <w:lang w:val="en-US"/>
              </w:rPr>
              <w:t>Indirect</w:t>
            </w:r>
          </w:p>
        </w:tc>
        <w:tc>
          <w:tcPr>
            <w:tcW w:w="2095" w:type="dxa"/>
            <w:shd w:val="clear" w:color="auto" w:fill="auto"/>
            <w:noWrap/>
            <w:vAlign w:val="center"/>
            <w:hideMark/>
          </w:tcPr>
          <w:p w14:paraId="05B2DC60" w14:textId="77777777" w:rsidR="004924A1" w:rsidRPr="007526AD" w:rsidRDefault="004924A1">
            <w:pPr>
              <w:rPr>
                <w:color w:val="000000"/>
                <w:sz w:val="22"/>
                <w:szCs w:val="22"/>
                <w:lang w:val="en-US"/>
              </w:rPr>
            </w:pPr>
            <w:r w:rsidRPr="007526AD">
              <w:rPr>
                <w:color w:val="000000"/>
                <w:sz w:val="22"/>
                <w:szCs w:val="22"/>
                <w:lang w:val="en-US"/>
              </w:rPr>
              <w:t>1.01 [1.00,1.02]</w:t>
            </w:r>
          </w:p>
        </w:tc>
        <w:tc>
          <w:tcPr>
            <w:tcW w:w="1021" w:type="dxa"/>
            <w:shd w:val="clear" w:color="auto" w:fill="auto"/>
            <w:noWrap/>
            <w:vAlign w:val="center"/>
            <w:hideMark/>
          </w:tcPr>
          <w:p w14:paraId="39BD1190" w14:textId="77777777" w:rsidR="004924A1" w:rsidRPr="007526AD" w:rsidRDefault="004924A1">
            <w:pPr>
              <w:rPr>
                <w:color w:val="000000"/>
                <w:sz w:val="22"/>
                <w:szCs w:val="22"/>
                <w:lang w:val="en-US"/>
              </w:rPr>
            </w:pPr>
            <w:r w:rsidRPr="007526AD">
              <w:rPr>
                <w:color w:val="000000"/>
                <w:sz w:val="22"/>
                <w:szCs w:val="22"/>
                <w:lang w:val="en-US"/>
              </w:rPr>
              <w:t>0.122</w:t>
            </w:r>
          </w:p>
        </w:tc>
        <w:tc>
          <w:tcPr>
            <w:tcW w:w="603" w:type="dxa"/>
            <w:shd w:val="clear" w:color="auto" w:fill="auto"/>
            <w:noWrap/>
            <w:vAlign w:val="center"/>
            <w:hideMark/>
          </w:tcPr>
          <w:p w14:paraId="25578E1E" w14:textId="77777777" w:rsidR="004924A1" w:rsidRPr="007526AD" w:rsidRDefault="004924A1">
            <w:pPr>
              <w:rPr>
                <w:color w:val="000000"/>
                <w:sz w:val="22"/>
                <w:szCs w:val="22"/>
                <w:lang w:val="en-US"/>
              </w:rPr>
            </w:pPr>
          </w:p>
        </w:tc>
      </w:tr>
      <w:tr w:rsidR="004924A1" w:rsidRPr="007526AD" w14:paraId="2F22B1D3" w14:textId="77777777" w:rsidTr="00DC2123">
        <w:trPr>
          <w:trHeight w:val="320"/>
        </w:trPr>
        <w:tc>
          <w:tcPr>
            <w:tcW w:w="2662" w:type="dxa"/>
            <w:shd w:val="clear" w:color="auto" w:fill="auto"/>
            <w:noWrap/>
            <w:vAlign w:val="center"/>
            <w:hideMark/>
          </w:tcPr>
          <w:p w14:paraId="66663084" w14:textId="20F700E0" w:rsidR="004924A1" w:rsidRPr="007526AD" w:rsidRDefault="000B4F00">
            <w:pPr>
              <w:rPr>
                <w:color w:val="000000"/>
                <w:sz w:val="22"/>
                <w:szCs w:val="22"/>
                <w:lang w:val="en-US"/>
              </w:rPr>
            </w:pPr>
            <w:r w:rsidRPr="007526AD">
              <w:rPr>
                <w:color w:val="000000"/>
                <w:sz w:val="22"/>
                <w:szCs w:val="22"/>
                <w:lang w:val="en-US"/>
              </w:rPr>
              <w:t>Perceived</w:t>
            </w:r>
            <w:r w:rsidR="004924A1" w:rsidRPr="007526AD">
              <w:rPr>
                <w:color w:val="000000"/>
                <w:sz w:val="22"/>
                <w:szCs w:val="22"/>
                <w:lang w:val="en-US"/>
              </w:rPr>
              <w:t xml:space="preserve"> stress</w:t>
            </w:r>
          </w:p>
        </w:tc>
        <w:tc>
          <w:tcPr>
            <w:tcW w:w="1039" w:type="dxa"/>
            <w:shd w:val="clear" w:color="auto" w:fill="auto"/>
            <w:noWrap/>
            <w:vAlign w:val="center"/>
            <w:hideMark/>
          </w:tcPr>
          <w:p w14:paraId="79603814" w14:textId="77777777" w:rsidR="004924A1" w:rsidRPr="007526AD" w:rsidRDefault="004924A1">
            <w:pPr>
              <w:rPr>
                <w:color w:val="000000"/>
                <w:sz w:val="22"/>
                <w:szCs w:val="22"/>
                <w:lang w:val="en-US"/>
              </w:rPr>
            </w:pPr>
            <w:r w:rsidRPr="007526AD">
              <w:rPr>
                <w:color w:val="000000"/>
                <w:sz w:val="22"/>
                <w:szCs w:val="22"/>
                <w:lang w:val="en-US"/>
              </w:rPr>
              <w:t>Total</w:t>
            </w:r>
          </w:p>
        </w:tc>
        <w:tc>
          <w:tcPr>
            <w:tcW w:w="2095" w:type="dxa"/>
            <w:shd w:val="clear" w:color="auto" w:fill="auto"/>
            <w:noWrap/>
            <w:vAlign w:val="center"/>
            <w:hideMark/>
          </w:tcPr>
          <w:p w14:paraId="7B544854" w14:textId="77777777" w:rsidR="004924A1" w:rsidRPr="007526AD" w:rsidRDefault="004924A1">
            <w:pPr>
              <w:rPr>
                <w:color w:val="000000"/>
                <w:sz w:val="22"/>
                <w:szCs w:val="22"/>
                <w:lang w:val="en-US"/>
              </w:rPr>
            </w:pPr>
            <w:r w:rsidRPr="007526AD">
              <w:rPr>
                <w:color w:val="000000"/>
                <w:sz w:val="22"/>
                <w:szCs w:val="22"/>
                <w:lang w:val="en-US"/>
              </w:rPr>
              <w:t>2.11 [1.66,2.68]</w:t>
            </w:r>
          </w:p>
        </w:tc>
        <w:tc>
          <w:tcPr>
            <w:tcW w:w="1021" w:type="dxa"/>
            <w:shd w:val="clear" w:color="auto" w:fill="auto"/>
            <w:noWrap/>
            <w:vAlign w:val="center"/>
            <w:hideMark/>
          </w:tcPr>
          <w:p w14:paraId="6B67C276" w14:textId="77777777" w:rsidR="004924A1" w:rsidRPr="007526AD" w:rsidRDefault="004924A1">
            <w:pPr>
              <w:rPr>
                <w:color w:val="000000"/>
                <w:sz w:val="22"/>
                <w:szCs w:val="22"/>
                <w:lang w:val="en-US"/>
              </w:rPr>
            </w:pPr>
            <w:r w:rsidRPr="007526AD">
              <w:rPr>
                <w:color w:val="000000"/>
                <w:sz w:val="22"/>
                <w:szCs w:val="22"/>
                <w:lang w:val="en-US"/>
              </w:rPr>
              <w:t>&lt;0.001</w:t>
            </w:r>
          </w:p>
        </w:tc>
        <w:tc>
          <w:tcPr>
            <w:tcW w:w="603" w:type="dxa"/>
            <w:shd w:val="clear" w:color="auto" w:fill="auto"/>
            <w:noWrap/>
            <w:vAlign w:val="center"/>
            <w:hideMark/>
          </w:tcPr>
          <w:p w14:paraId="069C2421" w14:textId="77777777" w:rsidR="004924A1" w:rsidRPr="007526AD" w:rsidRDefault="004924A1">
            <w:pPr>
              <w:rPr>
                <w:color w:val="000000"/>
                <w:sz w:val="22"/>
                <w:szCs w:val="22"/>
                <w:lang w:val="en-US"/>
              </w:rPr>
            </w:pPr>
            <w:r w:rsidRPr="007526AD">
              <w:rPr>
                <w:color w:val="000000"/>
                <w:sz w:val="22"/>
                <w:szCs w:val="22"/>
                <w:lang w:val="en-US"/>
              </w:rPr>
              <w:t>13.4</w:t>
            </w:r>
          </w:p>
        </w:tc>
      </w:tr>
      <w:tr w:rsidR="004924A1" w:rsidRPr="007526AD" w14:paraId="2176451E" w14:textId="77777777" w:rsidTr="00DC2123">
        <w:trPr>
          <w:trHeight w:val="320"/>
        </w:trPr>
        <w:tc>
          <w:tcPr>
            <w:tcW w:w="2662" w:type="dxa"/>
            <w:shd w:val="clear" w:color="auto" w:fill="auto"/>
            <w:noWrap/>
            <w:vAlign w:val="center"/>
            <w:hideMark/>
          </w:tcPr>
          <w:p w14:paraId="610CA918" w14:textId="77777777" w:rsidR="004924A1" w:rsidRPr="007526AD" w:rsidRDefault="004924A1">
            <w:pPr>
              <w:rPr>
                <w:color w:val="000000"/>
                <w:sz w:val="22"/>
                <w:szCs w:val="22"/>
                <w:lang w:val="en-US"/>
              </w:rPr>
            </w:pPr>
          </w:p>
        </w:tc>
        <w:tc>
          <w:tcPr>
            <w:tcW w:w="1039" w:type="dxa"/>
            <w:shd w:val="clear" w:color="auto" w:fill="auto"/>
            <w:noWrap/>
            <w:vAlign w:val="center"/>
            <w:hideMark/>
          </w:tcPr>
          <w:p w14:paraId="3DBFD576" w14:textId="77777777" w:rsidR="004924A1" w:rsidRPr="007526AD" w:rsidRDefault="004924A1">
            <w:pPr>
              <w:rPr>
                <w:color w:val="000000"/>
                <w:sz w:val="22"/>
                <w:szCs w:val="22"/>
                <w:lang w:val="en-US"/>
              </w:rPr>
            </w:pPr>
            <w:r w:rsidRPr="007526AD">
              <w:rPr>
                <w:color w:val="000000"/>
                <w:sz w:val="22"/>
                <w:szCs w:val="22"/>
                <w:lang w:val="en-US"/>
              </w:rPr>
              <w:t>Direct</w:t>
            </w:r>
          </w:p>
        </w:tc>
        <w:tc>
          <w:tcPr>
            <w:tcW w:w="2095" w:type="dxa"/>
            <w:shd w:val="clear" w:color="auto" w:fill="auto"/>
            <w:noWrap/>
            <w:vAlign w:val="center"/>
            <w:hideMark/>
          </w:tcPr>
          <w:p w14:paraId="036CDE3F" w14:textId="77777777" w:rsidR="004924A1" w:rsidRPr="007526AD" w:rsidRDefault="004924A1">
            <w:pPr>
              <w:rPr>
                <w:color w:val="000000"/>
                <w:sz w:val="22"/>
                <w:szCs w:val="22"/>
                <w:lang w:val="en-US"/>
              </w:rPr>
            </w:pPr>
            <w:r w:rsidRPr="007526AD">
              <w:rPr>
                <w:color w:val="000000"/>
                <w:sz w:val="22"/>
                <w:szCs w:val="22"/>
                <w:lang w:val="en-US"/>
              </w:rPr>
              <w:t>1.91 [1.50,2.43]</w:t>
            </w:r>
          </w:p>
        </w:tc>
        <w:tc>
          <w:tcPr>
            <w:tcW w:w="1021" w:type="dxa"/>
            <w:shd w:val="clear" w:color="auto" w:fill="auto"/>
            <w:noWrap/>
            <w:vAlign w:val="center"/>
            <w:hideMark/>
          </w:tcPr>
          <w:p w14:paraId="0296CA37" w14:textId="77777777" w:rsidR="004924A1" w:rsidRPr="007526AD" w:rsidRDefault="004924A1">
            <w:pPr>
              <w:rPr>
                <w:color w:val="000000"/>
                <w:sz w:val="22"/>
                <w:szCs w:val="22"/>
                <w:lang w:val="en-US"/>
              </w:rPr>
            </w:pPr>
            <w:r w:rsidRPr="007526AD">
              <w:rPr>
                <w:color w:val="000000"/>
                <w:sz w:val="22"/>
                <w:szCs w:val="22"/>
                <w:lang w:val="en-US"/>
              </w:rPr>
              <w:t>&lt;0.001</w:t>
            </w:r>
          </w:p>
        </w:tc>
        <w:tc>
          <w:tcPr>
            <w:tcW w:w="603" w:type="dxa"/>
            <w:shd w:val="clear" w:color="auto" w:fill="auto"/>
            <w:noWrap/>
            <w:vAlign w:val="center"/>
            <w:hideMark/>
          </w:tcPr>
          <w:p w14:paraId="6DD863B7" w14:textId="77777777" w:rsidR="004924A1" w:rsidRPr="007526AD" w:rsidRDefault="004924A1">
            <w:pPr>
              <w:rPr>
                <w:color w:val="000000"/>
                <w:sz w:val="22"/>
                <w:szCs w:val="22"/>
                <w:lang w:val="en-US"/>
              </w:rPr>
            </w:pPr>
          </w:p>
        </w:tc>
      </w:tr>
      <w:tr w:rsidR="004924A1" w:rsidRPr="007526AD" w14:paraId="08DBF199" w14:textId="77777777" w:rsidTr="00DC2123">
        <w:trPr>
          <w:trHeight w:val="320"/>
        </w:trPr>
        <w:tc>
          <w:tcPr>
            <w:tcW w:w="2662" w:type="dxa"/>
            <w:shd w:val="clear" w:color="auto" w:fill="auto"/>
            <w:noWrap/>
            <w:vAlign w:val="center"/>
            <w:hideMark/>
          </w:tcPr>
          <w:p w14:paraId="51464E03" w14:textId="77777777" w:rsidR="004924A1" w:rsidRPr="007526AD" w:rsidRDefault="004924A1">
            <w:pPr>
              <w:rPr>
                <w:sz w:val="20"/>
                <w:szCs w:val="20"/>
                <w:lang w:val="en-US"/>
              </w:rPr>
            </w:pPr>
          </w:p>
        </w:tc>
        <w:tc>
          <w:tcPr>
            <w:tcW w:w="1039" w:type="dxa"/>
            <w:shd w:val="clear" w:color="auto" w:fill="auto"/>
            <w:noWrap/>
            <w:vAlign w:val="center"/>
            <w:hideMark/>
          </w:tcPr>
          <w:p w14:paraId="112BB930" w14:textId="77777777" w:rsidR="004924A1" w:rsidRPr="007526AD" w:rsidRDefault="004924A1">
            <w:pPr>
              <w:rPr>
                <w:color w:val="000000"/>
                <w:sz w:val="22"/>
                <w:szCs w:val="22"/>
                <w:lang w:val="en-US"/>
              </w:rPr>
            </w:pPr>
            <w:r w:rsidRPr="007526AD">
              <w:rPr>
                <w:color w:val="000000"/>
                <w:sz w:val="22"/>
                <w:szCs w:val="22"/>
                <w:lang w:val="en-US"/>
              </w:rPr>
              <w:t>Indirect</w:t>
            </w:r>
          </w:p>
        </w:tc>
        <w:tc>
          <w:tcPr>
            <w:tcW w:w="2095" w:type="dxa"/>
            <w:shd w:val="clear" w:color="auto" w:fill="auto"/>
            <w:noWrap/>
            <w:vAlign w:val="center"/>
            <w:hideMark/>
          </w:tcPr>
          <w:p w14:paraId="556C0FB9" w14:textId="77777777" w:rsidR="004924A1" w:rsidRPr="007526AD" w:rsidRDefault="004924A1">
            <w:pPr>
              <w:rPr>
                <w:color w:val="000000"/>
                <w:sz w:val="22"/>
                <w:szCs w:val="22"/>
                <w:lang w:val="en-US"/>
              </w:rPr>
            </w:pPr>
            <w:r w:rsidRPr="007526AD">
              <w:rPr>
                <w:color w:val="000000"/>
                <w:sz w:val="22"/>
                <w:szCs w:val="22"/>
                <w:lang w:val="en-US"/>
              </w:rPr>
              <w:t>1.10 [1.06,1.15]</w:t>
            </w:r>
          </w:p>
        </w:tc>
        <w:tc>
          <w:tcPr>
            <w:tcW w:w="1021" w:type="dxa"/>
            <w:shd w:val="clear" w:color="auto" w:fill="auto"/>
            <w:noWrap/>
            <w:vAlign w:val="center"/>
            <w:hideMark/>
          </w:tcPr>
          <w:p w14:paraId="2DA40945" w14:textId="77777777" w:rsidR="004924A1" w:rsidRPr="007526AD" w:rsidRDefault="004924A1">
            <w:pPr>
              <w:rPr>
                <w:color w:val="000000"/>
                <w:sz w:val="22"/>
                <w:szCs w:val="22"/>
                <w:lang w:val="en-US"/>
              </w:rPr>
            </w:pPr>
            <w:r w:rsidRPr="007526AD">
              <w:rPr>
                <w:color w:val="000000"/>
                <w:sz w:val="22"/>
                <w:szCs w:val="22"/>
                <w:lang w:val="en-US"/>
              </w:rPr>
              <w:t>&lt;0.001</w:t>
            </w:r>
          </w:p>
        </w:tc>
        <w:tc>
          <w:tcPr>
            <w:tcW w:w="603" w:type="dxa"/>
            <w:shd w:val="clear" w:color="auto" w:fill="auto"/>
            <w:noWrap/>
            <w:vAlign w:val="center"/>
            <w:hideMark/>
          </w:tcPr>
          <w:p w14:paraId="09046679" w14:textId="77777777" w:rsidR="004924A1" w:rsidRPr="007526AD" w:rsidRDefault="004924A1">
            <w:pPr>
              <w:rPr>
                <w:color w:val="000000"/>
                <w:sz w:val="22"/>
                <w:szCs w:val="22"/>
                <w:lang w:val="en-US"/>
              </w:rPr>
            </w:pPr>
          </w:p>
        </w:tc>
      </w:tr>
      <w:tr w:rsidR="004924A1" w:rsidRPr="007526AD" w14:paraId="33ABEBAF" w14:textId="77777777" w:rsidTr="00DC2123">
        <w:trPr>
          <w:trHeight w:val="320"/>
        </w:trPr>
        <w:tc>
          <w:tcPr>
            <w:tcW w:w="2662" w:type="dxa"/>
            <w:shd w:val="clear" w:color="auto" w:fill="auto"/>
            <w:noWrap/>
            <w:vAlign w:val="center"/>
            <w:hideMark/>
          </w:tcPr>
          <w:p w14:paraId="78D0328D" w14:textId="77777777" w:rsidR="004924A1" w:rsidRPr="007526AD" w:rsidRDefault="004924A1">
            <w:pPr>
              <w:rPr>
                <w:color w:val="000000"/>
                <w:sz w:val="22"/>
                <w:szCs w:val="22"/>
                <w:lang w:val="en-US"/>
              </w:rPr>
            </w:pPr>
            <w:r w:rsidRPr="007526AD">
              <w:rPr>
                <w:color w:val="000000"/>
                <w:sz w:val="22"/>
                <w:szCs w:val="22"/>
                <w:lang w:val="en-US"/>
              </w:rPr>
              <w:t>Obesity</w:t>
            </w:r>
          </w:p>
        </w:tc>
        <w:tc>
          <w:tcPr>
            <w:tcW w:w="1039" w:type="dxa"/>
            <w:shd w:val="clear" w:color="auto" w:fill="auto"/>
            <w:noWrap/>
            <w:vAlign w:val="center"/>
            <w:hideMark/>
          </w:tcPr>
          <w:p w14:paraId="66303F5C" w14:textId="77777777" w:rsidR="004924A1" w:rsidRPr="007526AD" w:rsidRDefault="004924A1">
            <w:pPr>
              <w:rPr>
                <w:color w:val="000000"/>
                <w:sz w:val="22"/>
                <w:szCs w:val="22"/>
                <w:lang w:val="en-US"/>
              </w:rPr>
            </w:pPr>
            <w:r w:rsidRPr="007526AD">
              <w:rPr>
                <w:color w:val="000000"/>
                <w:sz w:val="22"/>
                <w:szCs w:val="22"/>
                <w:lang w:val="en-US"/>
              </w:rPr>
              <w:t>Total</w:t>
            </w:r>
          </w:p>
        </w:tc>
        <w:tc>
          <w:tcPr>
            <w:tcW w:w="2095" w:type="dxa"/>
            <w:shd w:val="clear" w:color="auto" w:fill="auto"/>
            <w:noWrap/>
            <w:vAlign w:val="center"/>
            <w:hideMark/>
          </w:tcPr>
          <w:p w14:paraId="63FB9B3D" w14:textId="77777777" w:rsidR="004924A1" w:rsidRPr="007526AD" w:rsidRDefault="004924A1">
            <w:pPr>
              <w:rPr>
                <w:color w:val="000000"/>
                <w:sz w:val="22"/>
                <w:szCs w:val="22"/>
                <w:lang w:val="en-US"/>
              </w:rPr>
            </w:pPr>
            <w:r w:rsidRPr="007526AD">
              <w:rPr>
                <w:color w:val="000000"/>
                <w:sz w:val="22"/>
                <w:szCs w:val="22"/>
                <w:lang w:val="en-US"/>
              </w:rPr>
              <w:t>2.15 [1.68,2.76]</w:t>
            </w:r>
          </w:p>
        </w:tc>
        <w:tc>
          <w:tcPr>
            <w:tcW w:w="1021" w:type="dxa"/>
            <w:shd w:val="clear" w:color="auto" w:fill="auto"/>
            <w:noWrap/>
            <w:vAlign w:val="center"/>
            <w:hideMark/>
          </w:tcPr>
          <w:p w14:paraId="467F65CD" w14:textId="77777777" w:rsidR="004924A1" w:rsidRPr="007526AD" w:rsidRDefault="004924A1">
            <w:pPr>
              <w:rPr>
                <w:color w:val="000000"/>
                <w:sz w:val="22"/>
                <w:szCs w:val="22"/>
                <w:lang w:val="en-US"/>
              </w:rPr>
            </w:pPr>
            <w:r w:rsidRPr="007526AD">
              <w:rPr>
                <w:color w:val="000000"/>
                <w:sz w:val="22"/>
                <w:szCs w:val="22"/>
                <w:lang w:val="en-US"/>
              </w:rPr>
              <w:t>&lt;0.001</w:t>
            </w:r>
          </w:p>
        </w:tc>
        <w:tc>
          <w:tcPr>
            <w:tcW w:w="603" w:type="dxa"/>
            <w:shd w:val="clear" w:color="auto" w:fill="auto"/>
            <w:noWrap/>
            <w:vAlign w:val="center"/>
            <w:hideMark/>
          </w:tcPr>
          <w:p w14:paraId="20713FDE" w14:textId="77777777" w:rsidR="004924A1" w:rsidRPr="007526AD" w:rsidRDefault="004924A1">
            <w:pPr>
              <w:rPr>
                <w:color w:val="000000"/>
                <w:sz w:val="22"/>
                <w:szCs w:val="22"/>
                <w:lang w:val="en-US"/>
              </w:rPr>
            </w:pPr>
            <w:r w:rsidRPr="007526AD">
              <w:rPr>
                <w:color w:val="000000"/>
                <w:sz w:val="22"/>
                <w:szCs w:val="22"/>
                <w:lang w:val="en-US"/>
              </w:rPr>
              <w:t>13.0</w:t>
            </w:r>
          </w:p>
        </w:tc>
      </w:tr>
      <w:tr w:rsidR="004924A1" w:rsidRPr="007526AD" w14:paraId="722F5081" w14:textId="77777777" w:rsidTr="00DC2123">
        <w:trPr>
          <w:trHeight w:val="320"/>
        </w:trPr>
        <w:tc>
          <w:tcPr>
            <w:tcW w:w="2662" w:type="dxa"/>
            <w:shd w:val="clear" w:color="auto" w:fill="auto"/>
            <w:noWrap/>
            <w:vAlign w:val="center"/>
            <w:hideMark/>
          </w:tcPr>
          <w:p w14:paraId="657D6FB7" w14:textId="77777777" w:rsidR="004924A1" w:rsidRPr="007526AD" w:rsidRDefault="004924A1">
            <w:pPr>
              <w:rPr>
                <w:color w:val="000000"/>
                <w:sz w:val="22"/>
                <w:szCs w:val="22"/>
                <w:lang w:val="en-US"/>
              </w:rPr>
            </w:pPr>
          </w:p>
        </w:tc>
        <w:tc>
          <w:tcPr>
            <w:tcW w:w="1039" w:type="dxa"/>
            <w:shd w:val="clear" w:color="auto" w:fill="auto"/>
            <w:noWrap/>
            <w:vAlign w:val="center"/>
            <w:hideMark/>
          </w:tcPr>
          <w:p w14:paraId="1833A2D7" w14:textId="77777777" w:rsidR="004924A1" w:rsidRPr="007526AD" w:rsidRDefault="004924A1">
            <w:pPr>
              <w:rPr>
                <w:color w:val="000000"/>
                <w:sz w:val="22"/>
                <w:szCs w:val="22"/>
                <w:lang w:val="en-US"/>
              </w:rPr>
            </w:pPr>
            <w:r w:rsidRPr="007526AD">
              <w:rPr>
                <w:color w:val="000000"/>
                <w:sz w:val="22"/>
                <w:szCs w:val="22"/>
                <w:lang w:val="en-US"/>
              </w:rPr>
              <w:t>Direct</w:t>
            </w:r>
          </w:p>
        </w:tc>
        <w:tc>
          <w:tcPr>
            <w:tcW w:w="2095" w:type="dxa"/>
            <w:shd w:val="clear" w:color="auto" w:fill="auto"/>
            <w:noWrap/>
            <w:vAlign w:val="center"/>
            <w:hideMark/>
          </w:tcPr>
          <w:p w14:paraId="0FFAC00A" w14:textId="77777777" w:rsidR="004924A1" w:rsidRPr="007526AD" w:rsidRDefault="004924A1">
            <w:pPr>
              <w:rPr>
                <w:color w:val="000000"/>
                <w:sz w:val="22"/>
                <w:szCs w:val="22"/>
                <w:lang w:val="en-US"/>
              </w:rPr>
            </w:pPr>
            <w:r w:rsidRPr="007526AD">
              <w:rPr>
                <w:color w:val="000000"/>
                <w:sz w:val="22"/>
                <w:szCs w:val="22"/>
                <w:lang w:val="en-US"/>
              </w:rPr>
              <w:t>1.95 [1.52,2.50]</w:t>
            </w:r>
          </w:p>
        </w:tc>
        <w:tc>
          <w:tcPr>
            <w:tcW w:w="1021" w:type="dxa"/>
            <w:shd w:val="clear" w:color="auto" w:fill="auto"/>
            <w:noWrap/>
            <w:vAlign w:val="center"/>
            <w:hideMark/>
          </w:tcPr>
          <w:p w14:paraId="21A6005F" w14:textId="77777777" w:rsidR="004924A1" w:rsidRPr="007526AD" w:rsidRDefault="004924A1">
            <w:pPr>
              <w:rPr>
                <w:color w:val="000000"/>
                <w:sz w:val="22"/>
                <w:szCs w:val="22"/>
                <w:lang w:val="en-US"/>
              </w:rPr>
            </w:pPr>
            <w:r w:rsidRPr="007526AD">
              <w:rPr>
                <w:color w:val="000000"/>
                <w:sz w:val="22"/>
                <w:szCs w:val="22"/>
                <w:lang w:val="en-US"/>
              </w:rPr>
              <w:t>&lt;0.001</w:t>
            </w:r>
          </w:p>
        </w:tc>
        <w:tc>
          <w:tcPr>
            <w:tcW w:w="603" w:type="dxa"/>
            <w:shd w:val="clear" w:color="auto" w:fill="auto"/>
            <w:noWrap/>
            <w:vAlign w:val="center"/>
            <w:hideMark/>
          </w:tcPr>
          <w:p w14:paraId="786913F3" w14:textId="77777777" w:rsidR="004924A1" w:rsidRPr="007526AD" w:rsidRDefault="004924A1">
            <w:pPr>
              <w:rPr>
                <w:color w:val="000000"/>
                <w:sz w:val="22"/>
                <w:szCs w:val="22"/>
                <w:lang w:val="en-US"/>
              </w:rPr>
            </w:pPr>
          </w:p>
        </w:tc>
      </w:tr>
      <w:tr w:rsidR="004924A1" w:rsidRPr="007526AD" w14:paraId="74EC886E" w14:textId="77777777" w:rsidTr="00DC2123">
        <w:trPr>
          <w:trHeight w:val="320"/>
        </w:trPr>
        <w:tc>
          <w:tcPr>
            <w:tcW w:w="2662" w:type="dxa"/>
            <w:shd w:val="clear" w:color="auto" w:fill="auto"/>
            <w:noWrap/>
            <w:vAlign w:val="center"/>
            <w:hideMark/>
          </w:tcPr>
          <w:p w14:paraId="1C304F30" w14:textId="77777777" w:rsidR="004924A1" w:rsidRPr="007526AD" w:rsidRDefault="004924A1">
            <w:pPr>
              <w:rPr>
                <w:sz w:val="20"/>
                <w:szCs w:val="20"/>
                <w:lang w:val="en-US"/>
              </w:rPr>
            </w:pPr>
          </w:p>
        </w:tc>
        <w:tc>
          <w:tcPr>
            <w:tcW w:w="1039" w:type="dxa"/>
            <w:shd w:val="clear" w:color="auto" w:fill="auto"/>
            <w:noWrap/>
            <w:vAlign w:val="center"/>
            <w:hideMark/>
          </w:tcPr>
          <w:p w14:paraId="045AB4B1" w14:textId="77777777" w:rsidR="004924A1" w:rsidRPr="007526AD" w:rsidRDefault="004924A1">
            <w:pPr>
              <w:rPr>
                <w:color w:val="000000"/>
                <w:sz w:val="22"/>
                <w:szCs w:val="22"/>
                <w:lang w:val="en-US"/>
              </w:rPr>
            </w:pPr>
            <w:r w:rsidRPr="007526AD">
              <w:rPr>
                <w:color w:val="000000"/>
                <w:sz w:val="22"/>
                <w:szCs w:val="22"/>
                <w:lang w:val="en-US"/>
              </w:rPr>
              <w:t>Indirect</w:t>
            </w:r>
          </w:p>
        </w:tc>
        <w:tc>
          <w:tcPr>
            <w:tcW w:w="2095" w:type="dxa"/>
            <w:shd w:val="clear" w:color="auto" w:fill="auto"/>
            <w:noWrap/>
            <w:vAlign w:val="center"/>
            <w:hideMark/>
          </w:tcPr>
          <w:p w14:paraId="26D28C05" w14:textId="77777777" w:rsidR="004924A1" w:rsidRPr="007526AD" w:rsidRDefault="004924A1">
            <w:pPr>
              <w:rPr>
                <w:color w:val="000000"/>
                <w:sz w:val="22"/>
                <w:szCs w:val="22"/>
                <w:lang w:val="en-US"/>
              </w:rPr>
            </w:pPr>
            <w:r w:rsidRPr="007526AD">
              <w:rPr>
                <w:color w:val="000000"/>
                <w:sz w:val="22"/>
                <w:szCs w:val="22"/>
                <w:lang w:val="en-US"/>
              </w:rPr>
              <w:t>1.11 [1.06,1.15]</w:t>
            </w:r>
          </w:p>
        </w:tc>
        <w:tc>
          <w:tcPr>
            <w:tcW w:w="1021" w:type="dxa"/>
            <w:shd w:val="clear" w:color="auto" w:fill="auto"/>
            <w:noWrap/>
            <w:vAlign w:val="center"/>
            <w:hideMark/>
          </w:tcPr>
          <w:p w14:paraId="76526B9D" w14:textId="77777777" w:rsidR="004924A1" w:rsidRPr="007526AD" w:rsidRDefault="004924A1">
            <w:pPr>
              <w:rPr>
                <w:color w:val="000000"/>
                <w:sz w:val="22"/>
                <w:szCs w:val="22"/>
                <w:lang w:val="en-US"/>
              </w:rPr>
            </w:pPr>
            <w:r w:rsidRPr="007526AD">
              <w:rPr>
                <w:color w:val="000000"/>
                <w:sz w:val="22"/>
                <w:szCs w:val="22"/>
                <w:lang w:val="en-US"/>
              </w:rPr>
              <w:t>&lt;0.001</w:t>
            </w:r>
          </w:p>
        </w:tc>
        <w:tc>
          <w:tcPr>
            <w:tcW w:w="603" w:type="dxa"/>
            <w:shd w:val="clear" w:color="auto" w:fill="auto"/>
            <w:noWrap/>
            <w:vAlign w:val="center"/>
            <w:hideMark/>
          </w:tcPr>
          <w:p w14:paraId="52F75108" w14:textId="77777777" w:rsidR="004924A1" w:rsidRPr="007526AD" w:rsidRDefault="004924A1">
            <w:pPr>
              <w:rPr>
                <w:color w:val="000000"/>
                <w:sz w:val="22"/>
                <w:szCs w:val="22"/>
                <w:lang w:val="en-US"/>
              </w:rPr>
            </w:pPr>
          </w:p>
        </w:tc>
      </w:tr>
      <w:tr w:rsidR="004924A1" w:rsidRPr="007526AD" w14:paraId="7735E8E8" w14:textId="77777777" w:rsidTr="00DC2123">
        <w:trPr>
          <w:trHeight w:val="320"/>
        </w:trPr>
        <w:tc>
          <w:tcPr>
            <w:tcW w:w="2662" w:type="dxa"/>
            <w:shd w:val="clear" w:color="auto" w:fill="auto"/>
            <w:noWrap/>
            <w:vAlign w:val="center"/>
            <w:hideMark/>
          </w:tcPr>
          <w:p w14:paraId="313ACCB6" w14:textId="77777777" w:rsidR="004924A1" w:rsidRPr="007526AD" w:rsidRDefault="004924A1">
            <w:pPr>
              <w:rPr>
                <w:color w:val="000000"/>
                <w:sz w:val="22"/>
                <w:szCs w:val="22"/>
                <w:lang w:val="en-US"/>
              </w:rPr>
            </w:pPr>
            <w:r w:rsidRPr="007526AD">
              <w:rPr>
                <w:color w:val="000000"/>
                <w:sz w:val="22"/>
                <w:szCs w:val="22"/>
                <w:lang w:val="en-US"/>
              </w:rPr>
              <w:t>Underweight</w:t>
            </w:r>
          </w:p>
        </w:tc>
        <w:tc>
          <w:tcPr>
            <w:tcW w:w="1039" w:type="dxa"/>
            <w:shd w:val="clear" w:color="auto" w:fill="auto"/>
            <w:noWrap/>
            <w:vAlign w:val="center"/>
            <w:hideMark/>
          </w:tcPr>
          <w:p w14:paraId="37CC398F" w14:textId="77777777" w:rsidR="004924A1" w:rsidRPr="007526AD" w:rsidRDefault="004924A1">
            <w:pPr>
              <w:rPr>
                <w:color w:val="000000"/>
                <w:sz w:val="22"/>
                <w:szCs w:val="22"/>
                <w:lang w:val="en-US"/>
              </w:rPr>
            </w:pPr>
            <w:r w:rsidRPr="007526AD">
              <w:rPr>
                <w:color w:val="000000"/>
                <w:sz w:val="22"/>
                <w:szCs w:val="22"/>
                <w:lang w:val="en-US"/>
              </w:rPr>
              <w:t>Total</w:t>
            </w:r>
          </w:p>
        </w:tc>
        <w:tc>
          <w:tcPr>
            <w:tcW w:w="2095" w:type="dxa"/>
            <w:shd w:val="clear" w:color="auto" w:fill="auto"/>
            <w:noWrap/>
            <w:vAlign w:val="center"/>
            <w:hideMark/>
          </w:tcPr>
          <w:p w14:paraId="30C8FBD1" w14:textId="77777777" w:rsidR="004924A1" w:rsidRPr="007526AD" w:rsidRDefault="004924A1">
            <w:pPr>
              <w:rPr>
                <w:color w:val="000000"/>
                <w:sz w:val="22"/>
                <w:szCs w:val="22"/>
                <w:lang w:val="en-US"/>
              </w:rPr>
            </w:pPr>
            <w:r w:rsidRPr="007526AD">
              <w:rPr>
                <w:color w:val="000000"/>
                <w:sz w:val="22"/>
                <w:szCs w:val="22"/>
                <w:lang w:val="en-US"/>
              </w:rPr>
              <w:t>2.14 [1.68,2.72]</w:t>
            </w:r>
          </w:p>
        </w:tc>
        <w:tc>
          <w:tcPr>
            <w:tcW w:w="1021" w:type="dxa"/>
            <w:shd w:val="clear" w:color="auto" w:fill="auto"/>
            <w:noWrap/>
            <w:vAlign w:val="center"/>
            <w:hideMark/>
          </w:tcPr>
          <w:p w14:paraId="297144BD" w14:textId="77777777" w:rsidR="004924A1" w:rsidRPr="007526AD" w:rsidRDefault="004924A1">
            <w:pPr>
              <w:rPr>
                <w:color w:val="000000"/>
                <w:sz w:val="22"/>
                <w:szCs w:val="22"/>
                <w:lang w:val="en-US"/>
              </w:rPr>
            </w:pPr>
            <w:r w:rsidRPr="007526AD">
              <w:rPr>
                <w:color w:val="000000"/>
                <w:sz w:val="22"/>
                <w:szCs w:val="22"/>
                <w:lang w:val="en-US"/>
              </w:rPr>
              <w:t>&lt;0.001</w:t>
            </w:r>
          </w:p>
        </w:tc>
        <w:tc>
          <w:tcPr>
            <w:tcW w:w="603" w:type="dxa"/>
            <w:shd w:val="clear" w:color="auto" w:fill="auto"/>
            <w:noWrap/>
            <w:vAlign w:val="center"/>
            <w:hideMark/>
          </w:tcPr>
          <w:p w14:paraId="7966C8E5" w14:textId="77777777" w:rsidR="004924A1" w:rsidRPr="007526AD" w:rsidRDefault="004924A1">
            <w:pPr>
              <w:rPr>
                <w:color w:val="000000"/>
                <w:sz w:val="22"/>
                <w:szCs w:val="22"/>
                <w:lang w:val="en-US"/>
              </w:rPr>
            </w:pPr>
            <w:r w:rsidRPr="007526AD">
              <w:rPr>
                <w:color w:val="000000"/>
                <w:sz w:val="22"/>
                <w:szCs w:val="22"/>
                <w:lang w:val="en-US"/>
              </w:rPr>
              <w:t>NA</w:t>
            </w:r>
          </w:p>
        </w:tc>
      </w:tr>
      <w:tr w:rsidR="004924A1" w:rsidRPr="007526AD" w14:paraId="41656B67" w14:textId="77777777" w:rsidTr="00DC2123">
        <w:trPr>
          <w:trHeight w:val="320"/>
        </w:trPr>
        <w:tc>
          <w:tcPr>
            <w:tcW w:w="2662" w:type="dxa"/>
            <w:shd w:val="clear" w:color="auto" w:fill="auto"/>
            <w:noWrap/>
            <w:vAlign w:val="center"/>
            <w:hideMark/>
          </w:tcPr>
          <w:p w14:paraId="6A3505E3" w14:textId="77777777" w:rsidR="004924A1" w:rsidRPr="007526AD" w:rsidRDefault="004924A1">
            <w:pPr>
              <w:rPr>
                <w:color w:val="000000"/>
                <w:sz w:val="22"/>
                <w:szCs w:val="22"/>
                <w:lang w:val="en-US"/>
              </w:rPr>
            </w:pPr>
          </w:p>
        </w:tc>
        <w:tc>
          <w:tcPr>
            <w:tcW w:w="1039" w:type="dxa"/>
            <w:shd w:val="clear" w:color="auto" w:fill="auto"/>
            <w:noWrap/>
            <w:vAlign w:val="center"/>
            <w:hideMark/>
          </w:tcPr>
          <w:p w14:paraId="0F2FCE2D" w14:textId="77777777" w:rsidR="004924A1" w:rsidRPr="007526AD" w:rsidRDefault="004924A1">
            <w:pPr>
              <w:rPr>
                <w:color w:val="000000"/>
                <w:sz w:val="22"/>
                <w:szCs w:val="22"/>
                <w:lang w:val="en-US"/>
              </w:rPr>
            </w:pPr>
            <w:r w:rsidRPr="007526AD">
              <w:rPr>
                <w:color w:val="000000"/>
                <w:sz w:val="22"/>
                <w:szCs w:val="22"/>
                <w:lang w:val="en-US"/>
              </w:rPr>
              <w:t>Direct</w:t>
            </w:r>
          </w:p>
        </w:tc>
        <w:tc>
          <w:tcPr>
            <w:tcW w:w="2095" w:type="dxa"/>
            <w:shd w:val="clear" w:color="auto" w:fill="auto"/>
            <w:noWrap/>
            <w:vAlign w:val="center"/>
            <w:hideMark/>
          </w:tcPr>
          <w:p w14:paraId="38055FBA" w14:textId="77777777" w:rsidR="004924A1" w:rsidRPr="007526AD" w:rsidRDefault="004924A1">
            <w:pPr>
              <w:rPr>
                <w:color w:val="000000"/>
                <w:sz w:val="22"/>
                <w:szCs w:val="22"/>
                <w:lang w:val="en-US"/>
              </w:rPr>
            </w:pPr>
            <w:r w:rsidRPr="007526AD">
              <w:rPr>
                <w:color w:val="000000"/>
                <w:sz w:val="22"/>
                <w:szCs w:val="22"/>
                <w:lang w:val="en-US"/>
              </w:rPr>
              <w:t>2.14 [1.68,2.72]</w:t>
            </w:r>
          </w:p>
        </w:tc>
        <w:tc>
          <w:tcPr>
            <w:tcW w:w="1021" w:type="dxa"/>
            <w:shd w:val="clear" w:color="auto" w:fill="auto"/>
            <w:noWrap/>
            <w:vAlign w:val="center"/>
            <w:hideMark/>
          </w:tcPr>
          <w:p w14:paraId="41363212" w14:textId="77777777" w:rsidR="004924A1" w:rsidRPr="007526AD" w:rsidRDefault="004924A1">
            <w:pPr>
              <w:rPr>
                <w:color w:val="000000"/>
                <w:sz w:val="22"/>
                <w:szCs w:val="22"/>
                <w:lang w:val="en-US"/>
              </w:rPr>
            </w:pPr>
            <w:r w:rsidRPr="007526AD">
              <w:rPr>
                <w:color w:val="000000"/>
                <w:sz w:val="22"/>
                <w:szCs w:val="22"/>
                <w:lang w:val="en-US"/>
              </w:rPr>
              <w:t>&lt;0.001</w:t>
            </w:r>
          </w:p>
        </w:tc>
        <w:tc>
          <w:tcPr>
            <w:tcW w:w="603" w:type="dxa"/>
            <w:shd w:val="clear" w:color="auto" w:fill="auto"/>
            <w:noWrap/>
            <w:vAlign w:val="center"/>
            <w:hideMark/>
          </w:tcPr>
          <w:p w14:paraId="572BABAA" w14:textId="77777777" w:rsidR="004924A1" w:rsidRPr="007526AD" w:rsidRDefault="004924A1">
            <w:pPr>
              <w:rPr>
                <w:color w:val="000000"/>
                <w:sz w:val="22"/>
                <w:szCs w:val="22"/>
                <w:lang w:val="en-US"/>
              </w:rPr>
            </w:pPr>
          </w:p>
        </w:tc>
      </w:tr>
      <w:tr w:rsidR="004924A1" w:rsidRPr="007526AD" w14:paraId="4CD8CA90" w14:textId="77777777" w:rsidTr="00DC2123">
        <w:trPr>
          <w:trHeight w:val="320"/>
        </w:trPr>
        <w:tc>
          <w:tcPr>
            <w:tcW w:w="2662" w:type="dxa"/>
            <w:shd w:val="clear" w:color="auto" w:fill="auto"/>
            <w:noWrap/>
            <w:vAlign w:val="center"/>
            <w:hideMark/>
          </w:tcPr>
          <w:p w14:paraId="6AD635AB" w14:textId="77777777" w:rsidR="004924A1" w:rsidRPr="007526AD" w:rsidRDefault="004924A1">
            <w:pPr>
              <w:rPr>
                <w:sz w:val="20"/>
                <w:szCs w:val="20"/>
                <w:lang w:val="en-US"/>
              </w:rPr>
            </w:pPr>
          </w:p>
        </w:tc>
        <w:tc>
          <w:tcPr>
            <w:tcW w:w="1039" w:type="dxa"/>
            <w:shd w:val="clear" w:color="auto" w:fill="auto"/>
            <w:noWrap/>
            <w:vAlign w:val="center"/>
            <w:hideMark/>
          </w:tcPr>
          <w:p w14:paraId="36D5C680" w14:textId="77777777" w:rsidR="004924A1" w:rsidRPr="007526AD" w:rsidRDefault="004924A1">
            <w:pPr>
              <w:rPr>
                <w:color w:val="000000"/>
                <w:sz w:val="22"/>
                <w:szCs w:val="22"/>
                <w:lang w:val="en-US"/>
              </w:rPr>
            </w:pPr>
            <w:r w:rsidRPr="007526AD">
              <w:rPr>
                <w:color w:val="000000"/>
                <w:sz w:val="22"/>
                <w:szCs w:val="22"/>
                <w:lang w:val="en-US"/>
              </w:rPr>
              <w:t>Indirect</w:t>
            </w:r>
          </w:p>
        </w:tc>
        <w:tc>
          <w:tcPr>
            <w:tcW w:w="2095" w:type="dxa"/>
            <w:shd w:val="clear" w:color="auto" w:fill="auto"/>
            <w:noWrap/>
            <w:vAlign w:val="center"/>
            <w:hideMark/>
          </w:tcPr>
          <w:p w14:paraId="422CED33" w14:textId="77777777" w:rsidR="004924A1" w:rsidRPr="007526AD" w:rsidRDefault="004924A1">
            <w:pPr>
              <w:rPr>
                <w:color w:val="000000"/>
                <w:sz w:val="22"/>
                <w:szCs w:val="22"/>
                <w:lang w:val="en-US"/>
              </w:rPr>
            </w:pPr>
            <w:r w:rsidRPr="007526AD">
              <w:rPr>
                <w:color w:val="000000"/>
                <w:sz w:val="22"/>
                <w:szCs w:val="22"/>
                <w:lang w:val="en-US"/>
              </w:rPr>
              <w:t>1.00 [0.99,1.01]</w:t>
            </w:r>
          </w:p>
        </w:tc>
        <w:tc>
          <w:tcPr>
            <w:tcW w:w="1021" w:type="dxa"/>
            <w:shd w:val="clear" w:color="auto" w:fill="auto"/>
            <w:noWrap/>
            <w:vAlign w:val="center"/>
            <w:hideMark/>
          </w:tcPr>
          <w:p w14:paraId="5094890E" w14:textId="77777777" w:rsidR="004924A1" w:rsidRPr="007526AD" w:rsidRDefault="004924A1">
            <w:pPr>
              <w:rPr>
                <w:color w:val="000000"/>
                <w:sz w:val="22"/>
                <w:szCs w:val="22"/>
                <w:lang w:val="en-US"/>
              </w:rPr>
            </w:pPr>
            <w:r w:rsidRPr="007526AD">
              <w:rPr>
                <w:color w:val="000000"/>
                <w:sz w:val="22"/>
                <w:szCs w:val="22"/>
                <w:lang w:val="en-US"/>
              </w:rPr>
              <w:t>0.621</w:t>
            </w:r>
          </w:p>
        </w:tc>
        <w:tc>
          <w:tcPr>
            <w:tcW w:w="603" w:type="dxa"/>
            <w:shd w:val="clear" w:color="auto" w:fill="auto"/>
            <w:noWrap/>
            <w:vAlign w:val="center"/>
            <w:hideMark/>
          </w:tcPr>
          <w:p w14:paraId="6D5ABB85" w14:textId="77777777" w:rsidR="004924A1" w:rsidRPr="007526AD" w:rsidRDefault="004924A1">
            <w:pPr>
              <w:rPr>
                <w:color w:val="000000"/>
                <w:sz w:val="22"/>
                <w:szCs w:val="22"/>
                <w:lang w:val="en-US"/>
              </w:rPr>
            </w:pPr>
          </w:p>
        </w:tc>
      </w:tr>
      <w:tr w:rsidR="004924A1" w:rsidRPr="007526AD" w14:paraId="606058F8" w14:textId="77777777" w:rsidTr="00DC2123">
        <w:trPr>
          <w:trHeight w:val="320"/>
        </w:trPr>
        <w:tc>
          <w:tcPr>
            <w:tcW w:w="2662" w:type="dxa"/>
            <w:shd w:val="clear" w:color="auto" w:fill="auto"/>
            <w:noWrap/>
            <w:vAlign w:val="center"/>
            <w:hideMark/>
          </w:tcPr>
          <w:p w14:paraId="33DFC9DC" w14:textId="49526AB1" w:rsidR="004924A1" w:rsidRPr="007526AD" w:rsidRDefault="006C7A72">
            <w:pPr>
              <w:rPr>
                <w:color w:val="000000"/>
                <w:sz w:val="22"/>
                <w:szCs w:val="22"/>
                <w:lang w:val="en-US"/>
              </w:rPr>
            </w:pPr>
            <w:r w:rsidRPr="007526AD">
              <w:rPr>
                <w:color w:val="000000"/>
                <w:sz w:val="22"/>
                <w:szCs w:val="22"/>
                <w:lang w:val="en-US"/>
              </w:rPr>
              <w:t>All mediators</w:t>
            </w:r>
          </w:p>
        </w:tc>
        <w:tc>
          <w:tcPr>
            <w:tcW w:w="1039" w:type="dxa"/>
            <w:shd w:val="clear" w:color="auto" w:fill="auto"/>
            <w:noWrap/>
            <w:vAlign w:val="center"/>
            <w:hideMark/>
          </w:tcPr>
          <w:p w14:paraId="2B4FC4B4" w14:textId="77777777" w:rsidR="004924A1" w:rsidRPr="007526AD" w:rsidRDefault="004924A1">
            <w:pPr>
              <w:rPr>
                <w:color w:val="000000"/>
                <w:sz w:val="22"/>
                <w:szCs w:val="22"/>
                <w:lang w:val="en-US"/>
              </w:rPr>
            </w:pPr>
            <w:r w:rsidRPr="007526AD">
              <w:rPr>
                <w:color w:val="000000"/>
                <w:sz w:val="22"/>
                <w:szCs w:val="22"/>
                <w:lang w:val="en-US"/>
              </w:rPr>
              <w:t>Total</w:t>
            </w:r>
          </w:p>
        </w:tc>
        <w:tc>
          <w:tcPr>
            <w:tcW w:w="2095" w:type="dxa"/>
            <w:shd w:val="clear" w:color="auto" w:fill="auto"/>
            <w:noWrap/>
            <w:vAlign w:val="center"/>
            <w:hideMark/>
          </w:tcPr>
          <w:p w14:paraId="2E3A07AE" w14:textId="77777777" w:rsidR="004924A1" w:rsidRPr="007526AD" w:rsidRDefault="004924A1">
            <w:pPr>
              <w:rPr>
                <w:color w:val="000000"/>
                <w:sz w:val="22"/>
                <w:szCs w:val="22"/>
                <w:lang w:val="en-US"/>
              </w:rPr>
            </w:pPr>
            <w:r w:rsidRPr="007526AD">
              <w:rPr>
                <w:color w:val="000000"/>
                <w:sz w:val="22"/>
                <w:szCs w:val="22"/>
                <w:lang w:val="en-US"/>
              </w:rPr>
              <w:t>2.19 [1.68,2.84]</w:t>
            </w:r>
          </w:p>
        </w:tc>
        <w:tc>
          <w:tcPr>
            <w:tcW w:w="1021" w:type="dxa"/>
            <w:shd w:val="clear" w:color="auto" w:fill="auto"/>
            <w:noWrap/>
            <w:vAlign w:val="center"/>
            <w:hideMark/>
          </w:tcPr>
          <w:p w14:paraId="03457355" w14:textId="77777777" w:rsidR="004924A1" w:rsidRPr="007526AD" w:rsidRDefault="004924A1">
            <w:pPr>
              <w:rPr>
                <w:color w:val="000000"/>
                <w:sz w:val="22"/>
                <w:szCs w:val="22"/>
                <w:lang w:val="en-US"/>
              </w:rPr>
            </w:pPr>
            <w:r w:rsidRPr="007526AD">
              <w:rPr>
                <w:color w:val="000000"/>
                <w:sz w:val="22"/>
                <w:szCs w:val="22"/>
                <w:lang w:val="en-US"/>
              </w:rPr>
              <w:t>&lt;0.001</w:t>
            </w:r>
          </w:p>
        </w:tc>
        <w:tc>
          <w:tcPr>
            <w:tcW w:w="603" w:type="dxa"/>
            <w:shd w:val="clear" w:color="auto" w:fill="auto"/>
            <w:noWrap/>
            <w:vAlign w:val="center"/>
            <w:hideMark/>
          </w:tcPr>
          <w:p w14:paraId="1A66448B" w14:textId="77777777" w:rsidR="004924A1" w:rsidRPr="007526AD" w:rsidRDefault="004924A1">
            <w:pPr>
              <w:rPr>
                <w:color w:val="000000"/>
                <w:sz w:val="22"/>
                <w:szCs w:val="22"/>
                <w:lang w:val="en-US"/>
              </w:rPr>
            </w:pPr>
            <w:r w:rsidRPr="007526AD">
              <w:rPr>
                <w:color w:val="000000"/>
                <w:sz w:val="22"/>
                <w:szCs w:val="22"/>
                <w:lang w:val="en-US"/>
              </w:rPr>
              <w:t>57.1</w:t>
            </w:r>
          </w:p>
        </w:tc>
      </w:tr>
      <w:tr w:rsidR="004924A1" w:rsidRPr="007526AD" w14:paraId="409D3BD1" w14:textId="77777777" w:rsidTr="00DC2123">
        <w:trPr>
          <w:trHeight w:val="320"/>
        </w:trPr>
        <w:tc>
          <w:tcPr>
            <w:tcW w:w="2662" w:type="dxa"/>
            <w:shd w:val="clear" w:color="auto" w:fill="auto"/>
            <w:noWrap/>
            <w:vAlign w:val="center"/>
            <w:hideMark/>
          </w:tcPr>
          <w:p w14:paraId="6B421615" w14:textId="77777777" w:rsidR="004924A1" w:rsidRPr="007526AD" w:rsidRDefault="004924A1">
            <w:pPr>
              <w:rPr>
                <w:color w:val="000000"/>
                <w:sz w:val="22"/>
                <w:szCs w:val="22"/>
                <w:lang w:val="en-US"/>
              </w:rPr>
            </w:pPr>
          </w:p>
        </w:tc>
        <w:tc>
          <w:tcPr>
            <w:tcW w:w="1039" w:type="dxa"/>
            <w:shd w:val="clear" w:color="auto" w:fill="auto"/>
            <w:noWrap/>
            <w:vAlign w:val="center"/>
            <w:hideMark/>
          </w:tcPr>
          <w:p w14:paraId="6156045C" w14:textId="77777777" w:rsidR="004924A1" w:rsidRPr="007526AD" w:rsidRDefault="004924A1">
            <w:pPr>
              <w:rPr>
                <w:color w:val="000000"/>
                <w:sz w:val="22"/>
                <w:szCs w:val="22"/>
                <w:lang w:val="en-US"/>
              </w:rPr>
            </w:pPr>
            <w:r w:rsidRPr="007526AD">
              <w:rPr>
                <w:color w:val="000000"/>
                <w:sz w:val="22"/>
                <w:szCs w:val="22"/>
                <w:lang w:val="en-US"/>
              </w:rPr>
              <w:t>Direct</w:t>
            </w:r>
          </w:p>
        </w:tc>
        <w:tc>
          <w:tcPr>
            <w:tcW w:w="2095" w:type="dxa"/>
            <w:shd w:val="clear" w:color="auto" w:fill="auto"/>
            <w:noWrap/>
            <w:vAlign w:val="center"/>
            <w:hideMark/>
          </w:tcPr>
          <w:p w14:paraId="3BF22A71" w14:textId="77777777" w:rsidR="004924A1" w:rsidRPr="007526AD" w:rsidRDefault="004924A1">
            <w:pPr>
              <w:rPr>
                <w:color w:val="000000"/>
                <w:sz w:val="22"/>
                <w:szCs w:val="22"/>
                <w:lang w:val="en-US"/>
              </w:rPr>
            </w:pPr>
            <w:r w:rsidRPr="007526AD">
              <w:rPr>
                <w:color w:val="000000"/>
                <w:sz w:val="22"/>
                <w:szCs w:val="22"/>
                <w:lang w:val="en-US"/>
              </w:rPr>
              <w:t>1.40 [1.07,1.83]</w:t>
            </w:r>
          </w:p>
        </w:tc>
        <w:tc>
          <w:tcPr>
            <w:tcW w:w="1021" w:type="dxa"/>
            <w:shd w:val="clear" w:color="auto" w:fill="auto"/>
            <w:noWrap/>
            <w:vAlign w:val="center"/>
            <w:hideMark/>
          </w:tcPr>
          <w:p w14:paraId="545315E7" w14:textId="77777777" w:rsidR="004924A1" w:rsidRPr="007526AD" w:rsidRDefault="004924A1">
            <w:pPr>
              <w:rPr>
                <w:color w:val="000000"/>
                <w:sz w:val="22"/>
                <w:szCs w:val="22"/>
                <w:lang w:val="en-US"/>
              </w:rPr>
            </w:pPr>
            <w:r w:rsidRPr="007526AD">
              <w:rPr>
                <w:color w:val="000000"/>
                <w:sz w:val="22"/>
                <w:szCs w:val="22"/>
                <w:lang w:val="en-US"/>
              </w:rPr>
              <w:t>0.014</w:t>
            </w:r>
          </w:p>
        </w:tc>
        <w:tc>
          <w:tcPr>
            <w:tcW w:w="603" w:type="dxa"/>
            <w:shd w:val="clear" w:color="auto" w:fill="auto"/>
            <w:noWrap/>
            <w:vAlign w:val="center"/>
            <w:hideMark/>
          </w:tcPr>
          <w:p w14:paraId="127C2B7E" w14:textId="77777777" w:rsidR="004924A1" w:rsidRPr="007526AD" w:rsidRDefault="004924A1">
            <w:pPr>
              <w:rPr>
                <w:color w:val="000000"/>
                <w:sz w:val="22"/>
                <w:szCs w:val="22"/>
                <w:lang w:val="en-US"/>
              </w:rPr>
            </w:pPr>
          </w:p>
        </w:tc>
      </w:tr>
      <w:tr w:rsidR="004924A1" w:rsidRPr="007526AD" w14:paraId="70A99280" w14:textId="77777777" w:rsidTr="00DC2123">
        <w:trPr>
          <w:trHeight w:val="320"/>
        </w:trPr>
        <w:tc>
          <w:tcPr>
            <w:tcW w:w="2662" w:type="dxa"/>
            <w:shd w:val="clear" w:color="auto" w:fill="auto"/>
            <w:noWrap/>
            <w:vAlign w:val="center"/>
            <w:hideMark/>
          </w:tcPr>
          <w:p w14:paraId="6B0C9FDC" w14:textId="77777777" w:rsidR="004924A1" w:rsidRPr="007526AD" w:rsidRDefault="004924A1">
            <w:pPr>
              <w:rPr>
                <w:color w:val="000000"/>
                <w:sz w:val="22"/>
                <w:szCs w:val="22"/>
                <w:lang w:val="en-US"/>
              </w:rPr>
            </w:pPr>
            <w:r w:rsidRPr="007526AD">
              <w:rPr>
                <w:color w:val="000000"/>
                <w:sz w:val="22"/>
                <w:szCs w:val="22"/>
                <w:lang w:val="en-US"/>
              </w:rPr>
              <w:t> </w:t>
            </w:r>
          </w:p>
        </w:tc>
        <w:tc>
          <w:tcPr>
            <w:tcW w:w="1039" w:type="dxa"/>
            <w:shd w:val="clear" w:color="auto" w:fill="auto"/>
            <w:noWrap/>
            <w:vAlign w:val="center"/>
            <w:hideMark/>
          </w:tcPr>
          <w:p w14:paraId="5E5D9A14" w14:textId="77777777" w:rsidR="004924A1" w:rsidRPr="007526AD" w:rsidRDefault="004924A1">
            <w:pPr>
              <w:rPr>
                <w:color w:val="000000"/>
                <w:sz w:val="22"/>
                <w:szCs w:val="22"/>
                <w:lang w:val="en-US"/>
              </w:rPr>
            </w:pPr>
            <w:r w:rsidRPr="007526AD">
              <w:rPr>
                <w:color w:val="000000"/>
                <w:sz w:val="22"/>
                <w:szCs w:val="22"/>
                <w:lang w:val="en-US"/>
              </w:rPr>
              <w:t>Indirect</w:t>
            </w:r>
          </w:p>
        </w:tc>
        <w:tc>
          <w:tcPr>
            <w:tcW w:w="2095" w:type="dxa"/>
            <w:shd w:val="clear" w:color="auto" w:fill="auto"/>
            <w:noWrap/>
            <w:vAlign w:val="center"/>
            <w:hideMark/>
          </w:tcPr>
          <w:p w14:paraId="47ECE57B" w14:textId="77777777" w:rsidR="004924A1" w:rsidRPr="007526AD" w:rsidRDefault="004924A1">
            <w:pPr>
              <w:rPr>
                <w:color w:val="000000"/>
                <w:sz w:val="22"/>
                <w:szCs w:val="22"/>
                <w:lang w:val="en-US"/>
              </w:rPr>
            </w:pPr>
            <w:r w:rsidRPr="007526AD">
              <w:rPr>
                <w:color w:val="000000"/>
                <w:sz w:val="22"/>
                <w:szCs w:val="22"/>
                <w:lang w:val="en-US"/>
              </w:rPr>
              <w:t>1.56 [1.42,1.72]</w:t>
            </w:r>
          </w:p>
        </w:tc>
        <w:tc>
          <w:tcPr>
            <w:tcW w:w="1021" w:type="dxa"/>
            <w:shd w:val="clear" w:color="auto" w:fill="auto"/>
            <w:noWrap/>
            <w:vAlign w:val="center"/>
            <w:hideMark/>
          </w:tcPr>
          <w:p w14:paraId="662C6EF5" w14:textId="77777777" w:rsidR="004924A1" w:rsidRPr="007526AD" w:rsidRDefault="004924A1">
            <w:pPr>
              <w:rPr>
                <w:color w:val="000000"/>
                <w:sz w:val="22"/>
                <w:szCs w:val="22"/>
                <w:lang w:val="en-US"/>
              </w:rPr>
            </w:pPr>
            <w:r w:rsidRPr="007526AD">
              <w:rPr>
                <w:color w:val="000000"/>
                <w:sz w:val="22"/>
                <w:szCs w:val="22"/>
                <w:lang w:val="en-US"/>
              </w:rPr>
              <w:t>&lt;0.001</w:t>
            </w:r>
          </w:p>
        </w:tc>
        <w:tc>
          <w:tcPr>
            <w:tcW w:w="603" w:type="dxa"/>
            <w:shd w:val="clear" w:color="auto" w:fill="auto"/>
            <w:noWrap/>
            <w:vAlign w:val="center"/>
            <w:hideMark/>
          </w:tcPr>
          <w:p w14:paraId="51A98D96" w14:textId="77777777" w:rsidR="004924A1" w:rsidRPr="007526AD" w:rsidRDefault="004924A1">
            <w:pPr>
              <w:rPr>
                <w:color w:val="000000"/>
                <w:sz w:val="22"/>
                <w:szCs w:val="22"/>
                <w:lang w:val="en-US"/>
              </w:rPr>
            </w:pPr>
            <w:r w:rsidRPr="007526AD">
              <w:rPr>
                <w:color w:val="000000"/>
                <w:sz w:val="22"/>
                <w:szCs w:val="22"/>
                <w:lang w:val="en-US"/>
              </w:rPr>
              <w:t> </w:t>
            </w:r>
          </w:p>
        </w:tc>
      </w:tr>
    </w:tbl>
    <w:p w14:paraId="44DFBBC9" w14:textId="391907DF" w:rsidR="004924A1" w:rsidRPr="007526AD" w:rsidRDefault="004F35F7" w:rsidP="006E6834">
      <w:pPr>
        <w:rPr>
          <w:sz w:val="20"/>
          <w:szCs w:val="20"/>
          <w:lang w:val="en-US"/>
        </w:rPr>
      </w:pPr>
      <w:r w:rsidRPr="007526AD">
        <w:rPr>
          <w:sz w:val="20"/>
          <w:szCs w:val="20"/>
          <w:lang w:val="en-US"/>
        </w:rPr>
        <w:t>Abbreviation: OR Odds ratio; CI Confidence interval</w:t>
      </w:r>
    </w:p>
    <w:p w14:paraId="104FB8C7" w14:textId="4E64C7C8" w:rsidR="004F35F7" w:rsidRPr="007526AD" w:rsidRDefault="004F35F7" w:rsidP="006E6834">
      <w:pPr>
        <w:rPr>
          <w:sz w:val="20"/>
          <w:szCs w:val="20"/>
          <w:lang w:val="en-US"/>
        </w:rPr>
      </w:pPr>
      <w:r w:rsidRPr="007526AD">
        <w:rPr>
          <w:sz w:val="20"/>
          <w:szCs w:val="20"/>
          <w:lang w:val="en-US"/>
        </w:rPr>
        <w:t>Models are adjusted for age, sex, education, and ethnicity.</w:t>
      </w:r>
    </w:p>
    <w:p w14:paraId="43CE0CD3" w14:textId="77777777" w:rsidR="00DB0616" w:rsidRPr="007526AD" w:rsidRDefault="00DB0616" w:rsidP="00DB0616">
      <w:pPr>
        <w:rPr>
          <w:lang w:val="en-US"/>
        </w:rPr>
      </w:pPr>
      <w:r w:rsidRPr="007526AD">
        <w:rPr>
          <w:sz w:val="20"/>
          <w:szCs w:val="20"/>
          <w:lang w:val="en-US"/>
        </w:rPr>
        <w:t xml:space="preserve">Possible eating disorder referred to SCOFF </w:t>
      </w:r>
      <w:proofErr w:type="gramStart"/>
      <w:r w:rsidRPr="007526AD">
        <w:rPr>
          <w:sz w:val="20"/>
          <w:szCs w:val="20"/>
          <w:lang w:val="en-US"/>
        </w:rPr>
        <w:t>screen-positive</w:t>
      </w:r>
      <w:proofErr w:type="gramEnd"/>
      <w:r w:rsidRPr="007526AD">
        <w:rPr>
          <w:sz w:val="20"/>
          <w:szCs w:val="20"/>
          <w:lang w:val="en-US"/>
        </w:rPr>
        <w:t>.</w:t>
      </w:r>
      <w:r w:rsidRPr="007526AD">
        <w:rPr>
          <w:lang w:val="en-US"/>
        </w:rPr>
        <w:t xml:space="preserve"> </w:t>
      </w:r>
    </w:p>
    <w:p w14:paraId="5E3091A8" w14:textId="36EAC255" w:rsidR="004F35F7" w:rsidRPr="007526AD" w:rsidRDefault="004F35F7" w:rsidP="006E6834">
      <w:pPr>
        <w:rPr>
          <w:sz w:val="20"/>
          <w:szCs w:val="20"/>
          <w:lang w:val="en-US"/>
        </w:rPr>
      </w:pPr>
      <w:r w:rsidRPr="007526AD">
        <w:rPr>
          <w:sz w:val="20"/>
          <w:szCs w:val="20"/>
          <w:lang w:val="en-US"/>
        </w:rPr>
        <w:t>Mediated percentage was only calculated in the presence of a significant indirect effect.</w:t>
      </w:r>
    </w:p>
    <w:p w14:paraId="672DFD3C" w14:textId="0EF32F23" w:rsidR="004F35F7" w:rsidRPr="007526AD" w:rsidRDefault="00A47B1A" w:rsidP="006E6834">
      <w:pPr>
        <w:rPr>
          <w:sz w:val="20"/>
          <w:szCs w:val="20"/>
          <w:lang w:val="en-US"/>
        </w:rPr>
      </w:pPr>
      <w:r w:rsidRPr="007526AD">
        <w:rPr>
          <w:sz w:val="20"/>
          <w:szCs w:val="20"/>
          <w:lang w:val="en-US"/>
        </w:rPr>
        <w:t>The mediators were included individually in the model</w:t>
      </w:r>
      <w:r w:rsidR="006C7A72" w:rsidRPr="007526AD">
        <w:rPr>
          <w:sz w:val="20"/>
          <w:szCs w:val="20"/>
          <w:lang w:val="en-US"/>
        </w:rPr>
        <w:t>,</w:t>
      </w:r>
      <w:r w:rsidRPr="007526AD">
        <w:rPr>
          <w:sz w:val="20"/>
          <w:szCs w:val="20"/>
          <w:lang w:val="en-US"/>
        </w:rPr>
        <w:t xml:space="preserve"> </w:t>
      </w:r>
      <w:r w:rsidR="00431DFD" w:rsidRPr="007526AD">
        <w:rPr>
          <w:sz w:val="20"/>
          <w:szCs w:val="20"/>
          <w:lang w:val="en-US"/>
        </w:rPr>
        <w:t xml:space="preserve">except for </w:t>
      </w:r>
      <w:r w:rsidRPr="007526AD">
        <w:rPr>
          <w:sz w:val="20"/>
          <w:szCs w:val="20"/>
          <w:lang w:val="en-US"/>
        </w:rPr>
        <w:t>the model which included all mediators simultaneously.</w:t>
      </w:r>
    </w:p>
    <w:p w14:paraId="1AF17FE1" w14:textId="2FA1B125" w:rsidR="006E6834" w:rsidRPr="007526AD" w:rsidRDefault="006E6834" w:rsidP="006E6834">
      <w:pPr>
        <w:rPr>
          <w:sz w:val="20"/>
          <w:szCs w:val="20"/>
          <w:lang w:val="en-US"/>
        </w:rPr>
      </w:pPr>
    </w:p>
    <w:p w14:paraId="5D7A899B" w14:textId="77777777" w:rsidR="005F0715" w:rsidRPr="007526AD" w:rsidRDefault="005F0715" w:rsidP="006E6834">
      <w:pPr>
        <w:rPr>
          <w:sz w:val="20"/>
          <w:szCs w:val="20"/>
          <w:lang w:val="en-US"/>
        </w:rPr>
        <w:sectPr w:rsidR="005F0715" w:rsidRPr="007526AD">
          <w:pgSz w:w="12240" w:h="15840"/>
          <w:pgMar w:top="1440" w:right="1440" w:bottom="1440" w:left="1440" w:header="708" w:footer="708" w:gutter="0"/>
          <w:cols w:space="708"/>
          <w:docGrid w:linePitch="360"/>
        </w:sectPr>
      </w:pPr>
    </w:p>
    <w:p w14:paraId="69159D13" w14:textId="074C30E6" w:rsidR="00A04F5C" w:rsidRPr="007526AD" w:rsidRDefault="005F0715" w:rsidP="006E6834">
      <w:pPr>
        <w:rPr>
          <w:sz w:val="20"/>
          <w:szCs w:val="20"/>
          <w:lang w:val="en-US"/>
        </w:rPr>
      </w:pPr>
      <w:r w:rsidRPr="007526AD">
        <w:rPr>
          <w:noProof/>
          <w:lang w:val="es-ES" w:eastAsia="es-ES"/>
        </w:rPr>
        <w:lastRenderedPageBreak/>
        <w:drawing>
          <wp:inline distT="0" distB="0" distL="0" distR="0" wp14:anchorId="536D096A" wp14:editId="6FAFD31E">
            <wp:extent cx="4572000" cy="4108450"/>
            <wp:effectExtent l="0" t="0" r="12700" b="6350"/>
            <wp:docPr id="1" name="Chart 1">
              <a:extLst xmlns:a="http://schemas.openxmlformats.org/drawingml/2006/main">
                <a:ext uri="{FF2B5EF4-FFF2-40B4-BE49-F238E27FC236}">
                  <a16:creationId xmlns:a16="http://schemas.microsoft.com/office/drawing/2014/main" id="{5AF4B9E9-8EE6-D6A0-411B-0C4C9C0326B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10FCA586" w14:textId="356CBE8E" w:rsidR="005F0715" w:rsidRPr="007526AD" w:rsidRDefault="005F0715" w:rsidP="006E6834">
      <w:pPr>
        <w:rPr>
          <w:lang w:val="en-US"/>
        </w:rPr>
      </w:pPr>
      <w:r w:rsidRPr="007526AD">
        <w:rPr>
          <w:b/>
          <w:bCs/>
          <w:lang w:val="en-US"/>
        </w:rPr>
        <w:t xml:space="preserve">Figure 1 </w:t>
      </w:r>
      <w:r w:rsidRPr="007526AD">
        <w:rPr>
          <w:lang w:val="en-US"/>
        </w:rPr>
        <w:t xml:space="preserve">Prevalence of </w:t>
      </w:r>
      <w:r w:rsidR="00440A6F">
        <w:rPr>
          <w:lang w:val="en-US"/>
        </w:rPr>
        <w:t xml:space="preserve">possible eating disorder </w:t>
      </w:r>
      <w:r w:rsidRPr="007526AD">
        <w:rPr>
          <w:lang w:val="en-US"/>
        </w:rPr>
        <w:t>by number of physical conditions</w:t>
      </w:r>
    </w:p>
    <w:p w14:paraId="2DEBF850" w14:textId="50A1E7B5" w:rsidR="0001526D" w:rsidRPr="007526AD" w:rsidRDefault="0001526D" w:rsidP="006E6834">
      <w:pPr>
        <w:rPr>
          <w:lang w:val="en-US"/>
        </w:rPr>
      </w:pPr>
    </w:p>
    <w:p w14:paraId="194AF5BE" w14:textId="77777777" w:rsidR="0001526D" w:rsidRPr="007526AD" w:rsidRDefault="0001526D" w:rsidP="006E6834">
      <w:pPr>
        <w:rPr>
          <w:lang w:val="en-US"/>
        </w:rPr>
        <w:sectPr w:rsidR="0001526D" w:rsidRPr="007526AD">
          <w:pgSz w:w="12240" w:h="15840"/>
          <w:pgMar w:top="1440" w:right="1440" w:bottom="1440" w:left="1440" w:header="708" w:footer="708" w:gutter="0"/>
          <w:cols w:space="708"/>
          <w:docGrid w:linePitch="360"/>
        </w:sectPr>
      </w:pPr>
    </w:p>
    <w:p w14:paraId="6E42F201" w14:textId="5A230117" w:rsidR="0001526D" w:rsidRPr="007526AD" w:rsidRDefault="0001526D" w:rsidP="006E6834">
      <w:pPr>
        <w:rPr>
          <w:b/>
          <w:bCs/>
          <w:lang w:val="en-US"/>
        </w:rPr>
      </w:pPr>
      <w:r w:rsidRPr="007526AD">
        <w:rPr>
          <w:b/>
          <w:bCs/>
          <w:lang w:val="en-US"/>
        </w:rPr>
        <w:lastRenderedPageBreak/>
        <w:t>APPENDIX</w:t>
      </w:r>
    </w:p>
    <w:p w14:paraId="0BEDC393" w14:textId="3B748750" w:rsidR="0001526D" w:rsidRPr="007526AD" w:rsidRDefault="0001526D" w:rsidP="006E6834">
      <w:pPr>
        <w:rPr>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49"/>
        <w:gridCol w:w="1799"/>
        <w:gridCol w:w="1799"/>
        <w:gridCol w:w="1800"/>
        <w:gridCol w:w="1800"/>
        <w:gridCol w:w="1803"/>
      </w:tblGrid>
      <w:tr w:rsidR="0080741E" w14:paraId="1830A3B0" w14:textId="77777777" w:rsidTr="00DC2123">
        <w:trPr>
          <w:trHeight w:val="660"/>
        </w:trPr>
        <w:tc>
          <w:tcPr>
            <w:tcW w:w="5000" w:type="pct"/>
            <w:gridSpan w:val="6"/>
            <w:shd w:val="clear" w:color="auto" w:fill="auto"/>
            <w:vAlign w:val="center"/>
            <w:hideMark/>
          </w:tcPr>
          <w:p w14:paraId="1A4E7108" w14:textId="6EE7ED52" w:rsidR="002267F1" w:rsidRDefault="0080741E">
            <w:pPr>
              <w:rPr>
                <w:color w:val="000000"/>
              </w:rPr>
            </w:pPr>
            <w:r>
              <w:rPr>
                <w:b/>
                <w:bCs/>
                <w:color w:val="000000"/>
              </w:rPr>
              <w:t xml:space="preserve">Table S1 </w:t>
            </w:r>
            <w:r>
              <w:rPr>
                <w:color w:val="000000"/>
              </w:rPr>
              <w:t xml:space="preserve">Association between </w:t>
            </w:r>
            <w:r w:rsidR="002267F1">
              <w:rPr>
                <w:color w:val="000000"/>
                <w:lang w:val="en-US"/>
              </w:rPr>
              <w:t xml:space="preserve">individual </w:t>
            </w:r>
            <w:r w:rsidR="00BE3333">
              <w:rPr>
                <w:lang w:val="en-US"/>
              </w:rPr>
              <w:t xml:space="preserve">eating </w:t>
            </w:r>
            <w:r w:rsidR="00621EEF">
              <w:rPr>
                <w:lang w:val="en-US"/>
              </w:rPr>
              <w:t xml:space="preserve">disorder </w:t>
            </w:r>
            <w:r>
              <w:rPr>
                <w:color w:val="000000"/>
              </w:rPr>
              <w:t xml:space="preserve">symptoms </w:t>
            </w:r>
            <w:r w:rsidR="00AC390C">
              <w:rPr>
                <w:color w:val="000000"/>
                <w:lang w:val="en-US"/>
              </w:rPr>
              <w:t xml:space="preserve">and </w:t>
            </w:r>
            <w:r w:rsidR="00AC390C">
              <w:rPr>
                <w:color w:val="000000"/>
              </w:rPr>
              <w:t xml:space="preserve">individual physical conditions </w:t>
            </w:r>
            <w:r>
              <w:rPr>
                <w:color w:val="000000"/>
                <w:lang w:val="en-US"/>
              </w:rPr>
              <w:t>(outcome)</w:t>
            </w:r>
            <w:r w:rsidR="00043833">
              <w:rPr>
                <w:color w:val="000000"/>
                <w:lang w:val="en-US"/>
              </w:rPr>
              <w:t xml:space="preserve"> </w:t>
            </w:r>
            <w:proofErr w:type="gramStart"/>
            <w:r>
              <w:rPr>
                <w:color w:val="000000"/>
              </w:rPr>
              <w:t>estimated</w:t>
            </w:r>
            <w:proofErr w:type="gramEnd"/>
            <w:r>
              <w:rPr>
                <w:color w:val="000000"/>
              </w:rPr>
              <w:t xml:space="preserve"> </w:t>
            </w:r>
          </w:p>
          <w:p w14:paraId="0E7ACDAA" w14:textId="24C7A695" w:rsidR="0080741E" w:rsidRDefault="0080741E">
            <w:pPr>
              <w:rPr>
                <w:color w:val="000000"/>
              </w:rPr>
            </w:pPr>
            <w:r>
              <w:rPr>
                <w:color w:val="000000"/>
              </w:rPr>
              <w:t>by multivariable logistic regression</w:t>
            </w:r>
          </w:p>
        </w:tc>
      </w:tr>
      <w:tr w:rsidR="0080741E" w14:paraId="1B255CF2" w14:textId="77777777" w:rsidTr="00DC2123">
        <w:trPr>
          <w:trHeight w:val="340"/>
        </w:trPr>
        <w:tc>
          <w:tcPr>
            <w:tcW w:w="1524" w:type="pct"/>
            <w:shd w:val="clear" w:color="auto" w:fill="auto"/>
            <w:noWrap/>
            <w:vAlign w:val="bottom"/>
            <w:hideMark/>
          </w:tcPr>
          <w:p w14:paraId="1D0461DE" w14:textId="77777777" w:rsidR="0080741E" w:rsidRDefault="0080741E" w:rsidP="0080741E">
            <w:pPr>
              <w:rPr>
                <w:color w:val="000000"/>
                <w:sz w:val="22"/>
                <w:szCs w:val="22"/>
              </w:rPr>
            </w:pPr>
            <w:r>
              <w:rPr>
                <w:color w:val="000000"/>
                <w:sz w:val="22"/>
                <w:szCs w:val="22"/>
              </w:rPr>
              <w:t>Physical condition</w:t>
            </w:r>
          </w:p>
        </w:tc>
        <w:tc>
          <w:tcPr>
            <w:tcW w:w="695" w:type="pct"/>
            <w:shd w:val="clear" w:color="auto" w:fill="auto"/>
            <w:noWrap/>
            <w:vAlign w:val="bottom"/>
            <w:hideMark/>
          </w:tcPr>
          <w:p w14:paraId="795DA1C1" w14:textId="77777777" w:rsidR="0080741E" w:rsidRPr="005F7D29" w:rsidRDefault="0080741E" w:rsidP="0080741E">
            <w:pPr>
              <w:rPr>
                <w:color w:val="000000"/>
                <w:sz w:val="22"/>
                <w:szCs w:val="22"/>
              </w:rPr>
            </w:pPr>
            <w:r w:rsidRPr="005F7D29">
              <w:rPr>
                <w:color w:val="000000"/>
                <w:sz w:val="22"/>
                <w:szCs w:val="22"/>
              </w:rPr>
              <w:t>Weight</w:t>
            </w:r>
          </w:p>
          <w:p w14:paraId="4C2B4DB3" w14:textId="7B800570" w:rsidR="0080741E" w:rsidRPr="005F7D29" w:rsidRDefault="0080741E" w:rsidP="0080741E">
            <w:pPr>
              <w:rPr>
                <w:color w:val="000000"/>
                <w:sz w:val="22"/>
                <w:szCs w:val="22"/>
              </w:rPr>
            </w:pPr>
            <w:r w:rsidRPr="005F7D29">
              <w:rPr>
                <w:color w:val="000000"/>
                <w:sz w:val="22"/>
                <w:szCs w:val="22"/>
              </w:rPr>
              <w:t>loss</w:t>
            </w:r>
          </w:p>
        </w:tc>
        <w:tc>
          <w:tcPr>
            <w:tcW w:w="695" w:type="pct"/>
            <w:shd w:val="clear" w:color="auto" w:fill="auto"/>
            <w:noWrap/>
            <w:vAlign w:val="bottom"/>
            <w:hideMark/>
          </w:tcPr>
          <w:p w14:paraId="3B9C1A46" w14:textId="77777777" w:rsidR="0080741E" w:rsidRPr="005F7D29" w:rsidRDefault="0080741E" w:rsidP="0080741E">
            <w:pPr>
              <w:rPr>
                <w:color w:val="000000"/>
                <w:sz w:val="22"/>
                <w:szCs w:val="22"/>
              </w:rPr>
            </w:pPr>
            <w:r w:rsidRPr="005F7D29">
              <w:rPr>
                <w:color w:val="000000"/>
                <w:sz w:val="22"/>
                <w:szCs w:val="22"/>
              </w:rPr>
              <w:t xml:space="preserve">Self-sick for </w:t>
            </w:r>
          </w:p>
          <w:p w14:paraId="3450B3E1" w14:textId="2D1FE4DF" w:rsidR="0080741E" w:rsidRPr="005F7D29" w:rsidRDefault="0080741E" w:rsidP="0080741E">
            <w:pPr>
              <w:rPr>
                <w:color w:val="000000"/>
                <w:sz w:val="22"/>
                <w:szCs w:val="22"/>
              </w:rPr>
            </w:pPr>
            <w:r w:rsidRPr="005F7D29">
              <w:rPr>
                <w:color w:val="000000"/>
                <w:sz w:val="22"/>
                <w:szCs w:val="22"/>
              </w:rPr>
              <w:t>feeling full</w:t>
            </w:r>
          </w:p>
        </w:tc>
        <w:tc>
          <w:tcPr>
            <w:tcW w:w="695" w:type="pct"/>
            <w:shd w:val="clear" w:color="auto" w:fill="auto"/>
            <w:noWrap/>
            <w:vAlign w:val="bottom"/>
            <w:hideMark/>
          </w:tcPr>
          <w:p w14:paraId="5D9CDDF6" w14:textId="77777777" w:rsidR="0080741E" w:rsidRPr="005F7D29" w:rsidRDefault="0080741E" w:rsidP="0080741E">
            <w:pPr>
              <w:rPr>
                <w:color w:val="000000"/>
                <w:sz w:val="22"/>
                <w:szCs w:val="22"/>
              </w:rPr>
            </w:pPr>
            <w:r w:rsidRPr="005F7D29">
              <w:rPr>
                <w:color w:val="000000"/>
                <w:sz w:val="22"/>
                <w:szCs w:val="22"/>
              </w:rPr>
              <w:t xml:space="preserve">Uncontrolled </w:t>
            </w:r>
          </w:p>
          <w:p w14:paraId="17118F24" w14:textId="6EA8D268" w:rsidR="0080741E" w:rsidRPr="005F7D29" w:rsidRDefault="0080741E" w:rsidP="0080741E">
            <w:pPr>
              <w:rPr>
                <w:color w:val="000000"/>
                <w:sz w:val="22"/>
                <w:szCs w:val="22"/>
              </w:rPr>
            </w:pPr>
            <w:r w:rsidRPr="005F7D29">
              <w:rPr>
                <w:color w:val="000000"/>
                <w:sz w:val="22"/>
                <w:szCs w:val="22"/>
              </w:rPr>
              <w:t>eating</w:t>
            </w:r>
          </w:p>
        </w:tc>
        <w:tc>
          <w:tcPr>
            <w:tcW w:w="695" w:type="pct"/>
            <w:shd w:val="clear" w:color="auto" w:fill="auto"/>
            <w:noWrap/>
            <w:vAlign w:val="bottom"/>
            <w:hideMark/>
          </w:tcPr>
          <w:p w14:paraId="4CE2060C" w14:textId="77777777" w:rsidR="0080741E" w:rsidRPr="005F7D29" w:rsidRDefault="0080741E" w:rsidP="0080741E">
            <w:pPr>
              <w:rPr>
                <w:color w:val="000000"/>
                <w:sz w:val="22"/>
                <w:szCs w:val="22"/>
              </w:rPr>
            </w:pPr>
            <w:r w:rsidRPr="005F7D29">
              <w:rPr>
                <w:color w:val="000000"/>
                <w:sz w:val="22"/>
                <w:szCs w:val="22"/>
              </w:rPr>
              <w:t>Self-perceived</w:t>
            </w:r>
          </w:p>
          <w:p w14:paraId="17AD07BC" w14:textId="0EF44AB0" w:rsidR="0080741E" w:rsidRPr="005F7D29" w:rsidRDefault="0080741E" w:rsidP="0080741E">
            <w:pPr>
              <w:rPr>
                <w:color w:val="000000"/>
                <w:sz w:val="22"/>
                <w:szCs w:val="22"/>
              </w:rPr>
            </w:pPr>
            <w:r w:rsidRPr="005F7D29">
              <w:rPr>
                <w:color w:val="000000"/>
                <w:sz w:val="22"/>
                <w:szCs w:val="22"/>
              </w:rPr>
              <w:t>fatness</w:t>
            </w:r>
          </w:p>
        </w:tc>
        <w:tc>
          <w:tcPr>
            <w:tcW w:w="696" w:type="pct"/>
            <w:shd w:val="clear" w:color="auto" w:fill="auto"/>
            <w:noWrap/>
            <w:vAlign w:val="bottom"/>
            <w:hideMark/>
          </w:tcPr>
          <w:p w14:paraId="78DD63AE" w14:textId="77777777" w:rsidR="0080741E" w:rsidRPr="005F7D29" w:rsidRDefault="0080741E" w:rsidP="0080741E">
            <w:pPr>
              <w:rPr>
                <w:color w:val="000000"/>
                <w:sz w:val="22"/>
                <w:szCs w:val="22"/>
              </w:rPr>
            </w:pPr>
            <w:r w:rsidRPr="005F7D29">
              <w:rPr>
                <w:color w:val="000000"/>
                <w:sz w:val="22"/>
                <w:szCs w:val="22"/>
              </w:rPr>
              <w:t>Food</w:t>
            </w:r>
          </w:p>
          <w:p w14:paraId="640E7EDA" w14:textId="529352D4" w:rsidR="0080741E" w:rsidRPr="005F7D29" w:rsidRDefault="0080741E" w:rsidP="0080741E">
            <w:pPr>
              <w:rPr>
                <w:color w:val="000000"/>
                <w:sz w:val="22"/>
                <w:szCs w:val="22"/>
              </w:rPr>
            </w:pPr>
            <w:r w:rsidRPr="005F7D29">
              <w:rPr>
                <w:color w:val="000000"/>
                <w:sz w:val="22"/>
                <w:szCs w:val="22"/>
              </w:rPr>
              <w:t>dominance</w:t>
            </w:r>
          </w:p>
        </w:tc>
      </w:tr>
      <w:tr w:rsidR="0080741E" w14:paraId="1F498CC5" w14:textId="77777777" w:rsidTr="00DC2123">
        <w:trPr>
          <w:trHeight w:val="340"/>
        </w:trPr>
        <w:tc>
          <w:tcPr>
            <w:tcW w:w="1524" w:type="pct"/>
            <w:shd w:val="clear" w:color="auto" w:fill="auto"/>
            <w:noWrap/>
            <w:vAlign w:val="center"/>
            <w:hideMark/>
          </w:tcPr>
          <w:p w14:paraId="036B6B09" w14:textId="77777777" w:rsidR="0080741E" w:rsidRDefault="0080741E">
            <w:pPr>
              <w:rPr>
                <w:color w:val="000000"/>
                <w:sz w:val="22"/>
                <w:szCs w:val="22"/>
              </w:rPr>
            </w:pPr>
            <w:r>
              <w:rPr>
                <w:color w:val="000000"/>
                <w:sz w:val="22"/>
                <w:szCs w:val="22"/>
              </w:rPr>
              <w:t>Allergy</w:t>
            </w:r>
          </w:p>
        </w:tc>
        <w:tc>
          <w:tcPr>
            <w:tcW w:w="695" w:type="pct"/>
            <w:shd w:val="clear" w:color="auto" w:fill="auto"/>
            <w:noWrap/>
            <w:vAlign w:val="center"/>
            <w:hideMark/>
          </w:tcPr>
          <w:p w14:paraId="4AF5F7CF" w14:textId="77777777" w:rsidR="0080741E" w:rsidRPr="005F7D29" w:rsidRDefault="0080741E">
            <w:pPr>
              <w:rPr>
                <w:color w:val="000000"/>
                <w:sz w:val="22"/>
                <w:szCs w:val="22"/>
              </w:rPr>
            </w:pPr>
            <w:r w:rsidRPr="005F7D29">
              <w:rPr>
                <w:color w:val="000000"/>
                <w:sz w:val="22"/>
                <w:szCs w:val="22"/>
              </w:rPr>
              <w:t>1.05</w:t>
            </w:r>
          </w:p>
        </w:tc>
        <w:tc>
          <w:tcPr>
            <w:tcW w:w="695" w:type="pct"/>
            <w:shd w:val="clear" w:color="auto" w:fill="auto"/>
            <w:noWrap/>
            <w:vAlign w:val="center"/>
            <w:hideMark/>
          </w:tcPr>
          <w:p w14:paraId="59309B3C" w14:textId="77777777" w:rsidR="0080741E" w:rsidRPr="005F7D29" w:rsidRDefault="0080741E">
            <w:pPr>
              <w:rPr>
                <w:color w:val="000000"/>
                <w:sz w:val="22"/>
                <w:szCs w:val="22"/>
              </w:rPr>
            </w:pPr>
            <w:r w:rsidRPr="005F7D29">
              <w:rPr>
                <w:color w:val="000000"/>
                <w:sz w:val="22"/>
                <w:szCs w:val="22"/>
              </w:rPr>
              <w:t>0.57</w:t>
            </w:r>
          </w:p>
        </w:tc>
        <w:tc>
          <w:tcPr>
            <w:tcW w:w="695" w:type="pct"/>
            <w:shd w:val="clear" w:color="auto" w:fill="auto"/>
            <w:noWrap/>
            <w:vAlign w:val="center"/>
            <w:hideMark/>
          </w:tcPr>
          <w:p w14:paraId="38C0413C" w14:textId="77777777" w:rsidR="0080741E" w:rsidRPr="005F7D29" w:rsidRDefault="0080741E">
            <w:pPr>
              <w:rPr>
                <w:color w:val="000000"/>
                <w:sz w:val="22"/>
                <w:szCs w:val="22"/>
              </w:rPr>
            </w:pPr>
            <w:r w:rsidRPr="005F7D29">
              <w:rPr>
                <w:color w:val="000000"/>
                <w:sz w:val="22"/>
                <w:szCs w:val="22"/>
              </w:rPr>
              <w:t>1.45</w:t>
            </w:r>
          </w:p>
        </w:tc>
        <w:tc>
          <w:tcPr>
            <w:tcW w:w="695" w:type="pct"/>
            <w:shd w:val="clear" w:color="auto" w:fill="auto"/>
            <w:noWrap/>
            <w:vAlign w:val="center"/>
            <w:hideMark/>
          </w:tcPr>
          <w:p w14:paraId="42937EFA" w14:textId="77777777" w:rsidR="0080741E" w:rsidRPr="005F7D29" w:rsidRDefault="0080741E">
            <w:pPr>
              <w:rPr>
                <w:color w:val="000000"/>
                <w:sz w:val="22"/>
                <w:szCs w:val="22"/>
              </w:rPr>
            </w:pPr>
            <w:r w:rsidRPr="005F7D29">
              <w:rPr>
                <w:color w:val="000000"/>
                <w:sz w:val="22"/>
                <w:szCs w:val="22"/>
              </w:rPr>
              <w:t>0.80</w:t>
            </w:r>
          </w:p>
        </w:tc>
        <w:tc>
          <w:tcPr>
            <w:tcW w:w="696" w:type="pct"/>
            <w:shd w:val="clear" w:color="auto" w:fill="auto"/>
            <w:noWrap/>
            <w:vAlign w:val="center"/>
            <w:hideMark/>
          </w:tcPr>
          <w:p w14:paraId="2F7B110B" w14:textId="77777777" w:rsidR="0080741E" w:rsidRPr="005F7D29" w:rsidRDefault="0080741E">
            <w:pPr>
              <w:rPr>
                <w:color w:val="000000"/>
                <w:sz w:val="22"/>
                <w:szCs w:val="22"/>
              </w:rPr>
            </w:pPr>
            <w:r w:rsidRPr="005F7D29">
              <w:rPr>
                <w:color w:val="000000"/>
                <w:sz w:val="22"/>
                <w:szCs w:val="22"/>
              </w:rPr>
              <w:t>0.99</w:t>
            </w:r>
          </w:p>
        </w:tc>
      </w:tr>
      <w:tr w:rsidR="0080741E" w14:paraId="4862B3C3" w14:textId="77777777" w:rsidTr="00DC2123">
        <w:trPr>
          <w:trHeight w:val="320"/>
        </w:trPr>
        <w:tc>
          <w:tcPr>
            <w:tcW w:w="1524" w:type="pct"/>
            <w:shd w:val="clear" w:color="auto" w:fill="auto"/>
            <w:noWrap/>
            <w:vAlign w:val="center"/>
            <w:hideMark/>
          </w:tcPr>
          <w:p w14:paraId="63AA16C3" w14:textId="77777777" w:rsidR="0080741E" w:rsidRDefault="0080741E">
            <w:pPr>
              <w:rPr>
                <w:rFonts w:ascii="Calibri" w:hAnsi="Calibri" w:cs="Calibri"/>
                <w:color w:val="000000"/>
                <w:sz w:val="22"/>
                <w:szCs w:val="22"/>
              </w:rPr>
            </w:pPr>
          </w:p>
        </w:tc>
        <w:tc>
          <w:tcPr>
            <w:tcW w:w="695" w:type="pct"/>
            <w:shd w:val="clear" w:color="auto" w:fill="auto"/>
            <w:noWrap/>
            <w:vAlign w:val="center"/>
            <w:hideMark/>
          </w:tcPr>
          <w:p w14:paraId="0F3835B2" w14:textId="77777777" w:rsidR="0080741E" w:rsidRPr="005F7D29" w:rsidRDefault="0080741E">
            <w:pPr>
              <w:rPr>
                <w:color w:val="000000"/>
                <w:sz w:val="22"/>
                <w:szCs w:val="22"/>
              </w:rPr>
            </w:pPr>
            <w:r w:rsidRPr="005F7D29">
              <w:rPr>
                <w:color w:val="000000"/>
                <w:sz w:val="22"/>
                <w:szCs w:val="22"/>
              </w:rPr>
              <w:t>[0.80,1.37]</w:t>
            </w:r>
          </w:p>
        </w:tc>
        <w:tc>
          <w:tcPr>
            <w:tcW w:w="695" w:type="pct"/>
            <w:shd w:val="clear" w:color="auto" w:fill="auto"/>
            <w:noWrap/>
            <w:vAlign w:val="center"/>
            <w:hideMark/>
          </w:tcPr>
          <w:p w14:paraId="7A70B4FE" w14:textId="77777777" w:rsidR="0080741E" w:rsidRPr="005F7D29" w:rsidRDefault="0080741E">
            <w:pPr>
              <w:rPr>
                <w:color w:val="000000"/>
                <w:sz w:val="22"/>
                <w:szCs w:val="22"/>
              </w:rPr>
            </w:pPr>
            <w:r w:rsidRPr="005F7D29">
              <w:rPr>
                <w:color w:val="000000"/>
                <w:sz w:val="22"/>
                <w:szCs w:val="22"/>
              </w:rPr>
              <w:t>[0.31,1.04]</w:t>
            </w:r>
          </w:p>
        </w:tc>
        <w:tc>
          <w:tcPr>
            <w:tcW w:w="695" w:type="pct"/>
            <w:shd w:val="clear" w:color="auto" w:fill="auto"/>
            <w:noWrap/>
            <w:vAlign w:val="center"/>
            <w:hideMark/>
          </w:tcPr>
          <w:p w14:paraId="50DC717A" w14:textId="77777777" w:rsidR="0080741E" w:rsidRPr="005F7D29" w:rsidRDefault="0080741E">
            <w:pPr>
              <w:rPr>
                <w:color w:val="000000"/>
                <w:sz w:val="22"/>
                <w:szCs w:val="22"/>
              </w:rPr>
            </w:pPr>
            <w:r w:rsidRPr="005F7D29">
              <w:rPr>
                <w:color w:val="000000"/>
                <w:sz w:val="22"/>
                <w:szCs w:val="22"/>
              </w:rPr>
              <w:t>[0.98,2.15]</w:t>
            </w:r>
          </w:p>
        </w:tc>
        <w:tc>
          <w:tcPr>
            <w:tcW w:w="695" w:type="pct"/>
            <w:shd w:val="clear" w:color="auto" w:fill="auto"/>
            <w:noWrap/>
            <w:vAlign w:val="center"/>
            <w:hideMark/>
          </w:tcPr>
          <w:p w14:paraId="33FA433E" w14:textId="77777777" w:rsidR="0080741E" w:rsidRPr="005F7D29" w:rsidRDefault="0080741E">
            <w:pPr>
              <w:rPr>
                <w:color w:val="000000"/>
                <w:sz w:val="22"/>
                <w:szCs w:val="22"/>
              </w:rPr>
            </w:pPr>
            <w:r w:rsidRPr="005F7D29">
              <w:rPr>
                <w:color w:val="000000"/>
                <w:sz w:val="22"/>
                <w:szCs w:val="22"/>
              </w:rPr>
              <w:t>[0.55,1.17]</w:t>
            </w:r>
          </w:p>
        </w:tc>
        <w:tc>
          <w:tcPr>
            <w:tcW w:w="696" w:type="pct"/>
            <w:shd w:val="clear" w:color="auto" w:fill="auto"/>
            <w:noWrap/>
            <w:vAlign w:val="center"/>
            <w:hideMark/>
          </w:tcPr>
          <w:p w14:paraId="22F266E9" w14:textId="77777777" w:rsidR="0080741E" w:rsidRPr="005F7D29" w:rsidRDefault="0080741E">
            <w:pPr>
              <w:rPr>
                <w:color w:val="000000"/>
                <w:sz w:val="22"/>
                <w:szCs w:val="22"/>
              </w:rPr>
            </w:pPr>
            <w:r w:rsidRPr="005F7D29">
              <w:rPr>
                <w:color w:val="000000"/>
                <w:sz w:val="22"/>
                <w:szCs w:val="22"/>
              </w:rPr>
              <w:t>[0.57,1.72]</w:t>
            </w:r>
          </w:p>
        </w:tc>
      </w:tr>
      <w:tr w:rsidR="0080741E" w14:paraId="20C3CD67" w14:textId="77777777" w:rsidTr="00DC2123">
        <w:trPr>
          <w:trHeight w:val="320"/>
        </w:trPr>
        <w:tc>
          <w:tcPr>
            <w:tcW w:w="1524" w:type="pct"/>
            <w:shd w:val="clear" w:color="auto" w:fill="auto"/>
            <w:noWrap/>
            <w:vAlign w:val="center"/>
            <w:hideMark/>
          </w:tcPr>
          <w:p w14:paraId="0D9725BF" w14:textId="77777777" w:rsidR="0080741E" w:rsidRDefault="0080741E">
            <w:pPr>
              <w:rPr>
                <w:color w:val="000000"/>
                <w:sz w:val="22"/>
                <w:szCs w:val="22"/>
              </w:rPr>
            </w:pPr>
            <w:r>
              <w:rPr>
                <w:color w:val="000000"/>
                <w:sz w:val="22"/>
                <w:szCs w:val="22"/>
              </w:rPr>
              <w:t>Arthritis</w:t>
            </w:r>
          </w:p>
        </w:tc>
        <w:tc>
          <w:tcPr>
            <w:tcW w:w="695" w:type="pct"/>
            <w:shd w:val="clear" w:color="auto" w:fill="auto"/>
            <w:noWrap/>
            <w:vAlign w:val="center"/>
            <w:hideMark/>
          </w:tcPr>
          <w:p w14:paraId="7A8FC50F" w14:textId="77777777" w:rsidR="0080741E" w:rsidRPr="005F7D29" w:rsidRDefault="0080741E">
            <w:pPr>
              <w:rPr>
                <w:color w:val="000000"/>
                <w:sz w:val="22"/>
                <w:szCs w:val="22"/>
              </w:rPr>
            </w:pPr>
            <w:r w:rsidRPr="005F7D29">
              <w:rPr>
                <w:color w:val="000000"/>
                <w:sz w:val="22"/>
                <w:szCs w:val="22"/>
              </w:rPr>
              <w:t>1.22</w:t>
            </w:r>
          </w:p>
        </w:tc>
        <w:tc>
          <w:tcPr>
            <w:tcW w:w="695" w:type="pct"/>
            <w:shd w:val="clear" w:color="auto" w:fill="auto"/>
            <w:noWrap/>
            <w:vAlign w:val="center"/>
            <w:hideMark/>
          </w:tcPr>
          <w:p w14:paraId="7887C4E2" w14:textId="77777777" w:rsidR="0080741E" w:rsidRPr="005F7D29" w:rsidRDefault="0080741E">
            <w:pPr>
              <w:rPr>
                <w:color w:val="000000"/>
                <w:sz w:val="22"/>
                <w:szCs w:val="22"/>
              </w:rPr>
            </w:pPr>
            <w:r w:rsidRPr="005F7D29">
              <w:rPr>
                <w:color w:val="000000"/>
                <w:sz w:val="22"/>
                <w:szCs w:val="22"/>
              </w:rPr>
              <w:t>1.23</w:t>
            </w:r>
          </w:p>
        </w:tc>
        <w:tc>
          <w:tcPr>
            <w:tcW w:w="695" w:type="pct"/>
            <w:shd w:val="clear" w:color="auto" w:fill="auto"/>
            <w:noWrap/>
            <w:vAlign w:val="center"/>
            <w:hideMark/>
          </w:tcPr>
          <w:p w14:paraId="0B991CCC" w14:textId="77777777" w:rsidR="0080741E" w:rsidRPr="005F7D29" w:rsidRDefault="0080741E">
            <w:pPr>
              <w:rPr>
                <w:color w:val="000000"/>
                <w:sz w:val="22"/>
                <w:szCs w:val="22"/>
              </w:rPr>
            </w:pPr>
            <w:r w:rsidRPr="005F7D29">
              <w:rPr>
                <w:color w:val="000000"/>
                <w:sz w:val="22"/>
                <w:szCs w:val="22"/>
              </w:rPr>
              <w:t>1.46</w:t>
            </w:r>
          </w:p>
        </w:tc>
        <w:tc>
          <w:tcPr>
            <w:tcW w:w="695" w:type="pct"/>
            <w:shd w:val="clear" w:color="auto" w:fill="auto"/>
            <w:noWrap/>
            <w:vAlign w:val="center"/>
            <w:hideMark/>
          </w:tcPr>
          <w:p w14:paraId="0BF279FB" w14:textId="77777777" w:rsidR="0080741E" w:rsidRPr="005F7D29" w:rsidRDefault="0080741E">
            <w:pPr>
              <w:rPr>
                <w:color w:val="000000"/>
                <w:sz w:val="22"/>
                <w:szCs w:val="22"/>
              </w:rPr>
            </w:pPr>
            <w:r w:rsidRPr="005F7D29">
              <w:rPr>
                <w:color w:val="000000"/>
                <w:sz w:val="22"/>
                <w:szCs w:val="22"/>
              </w:rPr>
              <w:t>0.96</w:t>
            </w:r>
          </w:p>
        </w:tc>
        <w:tc>
          <w:tcPr>
            <w:tcW w:w="696" w:type="pct"/>
            <w:shd w:val="clear" w:color="auto" w:fill="auto"/>
            <w:noWrap/>
            <w:vAlign w:val="center"/>
            <w:hideMark/>
          </w:tcPr>
          <w:p w14:paraId="703E4AAD" w14:textId="77777777" w:rsidR="0080741E" w:rsidRPr="005F7D29" w:rsidRDefault="0080741E">
            <w:pPr>
              <w:rPr>
                <w:color w:val="000000"/>
                <w:sz w:val="22"/>
                <w:szCs w:val="22"/>
              </w:rPr>
            </w:pPr>
            <w:r w:rsidRPr="005F7D29">
              <w:rPr>
                <w:color w:val="000000"/>
                <w:sz w:val="22"/>
                <w:szCs w:val="22"/>
              </w:rPr>
              <w:t>1.79*</w:t>
            </w:r>
          </w:p>
        </w:tc>
      </w:tr>
      <w:tr w:rsidR="0080741E" w14:paraId="1A211052" w14:textId="77777777" w:rsidTr="00DC2123">
        <w:trPr>
          <w:trHeight w:val="320"/>
        </w:trPr>
        <w:tc>
          <w:tcPr>
            <w:tcW w:w="1524" w:type="pct"/>
            <w:shd w:val="clear" w:color="auto" w:fill="auto"/>
            <w:noWrap/>
            <w:vAlign w:val="center"/>
            <w:hideMark/>
          </w:tcPr>
          <w:p w14:paraId="12ABBA51" w14:textId="77777777" w:rsidR="0080741E" w:rsidRDefault="0080741E">
            <w:pPr>
              <w:rPr>
                <w:rFonts w:ascii="Calibri" w:hAnsi="Calibri" w:cs="Calibri"/>
                <w:color w:val="000000"/>
                <w:sz w:val="22"/>
                <w:szCs w:val="22"/>
              </w:rPr>
            </w:pPr>
          </w:p>
        </w:tc>
        <w:tc>
          <w:tcPr>
            <w:tcW w:w="695" w:type="pct"/>
            <w:shd w:val="clear" w:color="auto" w:fill="auto"/>
            <w:noWrap/>
            <w:vAlign w:val="center"/>
            <w:hideMark/>
          </w:tcPr>
          <w:p w14:paraId="61177D5B" w14:textId="77777777" w:rsidR="0080741E" w:rsidRPr="005F7D29" w:rsidRDefault="0080741E">
            <w:pPr>
              <w:rPr>
                <w:color w:val="000000"/>
                <w:sz w:val="22"/>
                <w:szCs w:val="22"/>
              </w:rPr>
            </w:pPr>
            <w:r w:rsidRPr="005F7D29">
              <w:rPr>
                <w:color w:val="000000"/>
                <w:sz w:val="22"/>
                <w:szCs w:val="22"/>
              </w:rPr>
              <w:t>[0.96,1.57]</w:t>
            </w:r>
          </w:p>
        </w:tc>
        <w:tc>
          <w:tcPr>
            <w:tcW w:w="695" w:type="pct"/>
            <w:shd w:val="clear" w:color="auto" w:fill="auto"/>
            <w:noWrap/>
            <w:vAlign w:val="center"/>
            <w:hideMark/>
          </w:tcPr>
          <w:p w14:paraId="5D30F448" w14:textId="77777777" w:rsidR="0080741E" w:rsidRPr="005F7D29" w:rsidRDefault="0080741E">
            <w:pPr>
              <w:rPr>
                <w:color w:val="000000"/>
                <w:sz w:val="22"/>
                <w:szCs w:val="22"/>
              </w:rPr>
            </w:pPr>
            <w:r w:rsidRPr="005F7D29">
              <w:rPr>
                <w:color w:val="000000"/>
                <w:sz w:val="22"/>
                <w:szCs w:val="22"/>
              </w:rPr>
              <w:t>[0.57,2.66]</w:t>
            </w:r>
          </w:p>
        </w:tc>
        <w:tc>
          <w:tcPr>
            <w:tcW w:w="695" w:type="pct"/>
            <w:shd w:val="clear" w:color="auto" w:fill="auto"/>
            <w:noWrap/>
            <w:vAlign w:val="center"/>
            <w:hideMark/>
          </w:tcPr>
          <w:p w14:paraId="3A186166" w14:textId="77777777" w:rsidR="0080741E" w:rsidRPr="005F7D29" w:rsidRDefault="0080741E">
            <w:pPr>
              <w:rPr>
                <w:color w:val="000000"/>
                <w:sz w:val="22"/>
                <w:szCs w:val="22"/>
              </w:rPr>
            </w:pPr>
            <w:r w:rsidRPr="005F7D29">
              <w:rPr>
                <w:color w:val="000000"/>
                <w:sz w:val="22"/>
                <w:szCs w:val="22"/>
              </w:rPr>
              <w:t>[0.95,2.26]</w:t>
            </w:r>
          </w:p>
        </w:tc>
        <w:tc>
          <w:tcPr>
            <w:tcW w:w="695" w:type="pct"/>
            <w:shd w:val="clear" w:color="auto" w:fill="auto"/>
            <w:noWrap/>
            <w:vAlign w:val="center"/>
            <w:hideMark/>
          </w:tcPr>
          <w:p w14:paraId="545D4777" w14:textId="77777777" w:rsidR="0080741E" w:rsidRPr="005F7D29" w:rsidRDefault="0080741E">
            <w:pPr>
              <w:rPr>
                <w:color w:val="000000"/>
                <w:sz w:val="22"/>
                <w:szCs w:val="22"/>
              </w:rPr>
            </w:pPr>
            <w:r w:rsidRPr="005F7D29">
              <w:rPr>
                <w:color w:val="000000"/>
                <w:sz w:val="22"/>
                <w:szCs w:val="22"/>
              </w:rPr>
              <w:t>[0.62,1.49]</w:t>
            </w:r>
          </w:p>
        </w:tc>
        <w:tc>
          <w:tcPr>
            <w:tcW w:w="696" w:type="pct"/>
            <w:shd w:val="clear" w:color="auto" w:fill="auto"/>
            <w:noWrap/>
            <w:vAlign w:val="center"/>
            <w:hideMark/>
          </w:tcPr>
          <w:p w14:paraId="198B9007" w14:textId="77777777" w:rsidR="0080741E" w:rsidRPr="005F7D29" w:rsidRDefault="0080741E">
            <w:pPr>
              <w:rPr>
                <w:color w:val="000000"/>
                <w:sz w:val="22"/>
                <w:szCs w:val="22"/>
              </w:rPr>
            </w:pPr>
            <w:r w:rsidRPr="005F7D29">
              <w:rPr>
                <w:color w:val="000000"/>
                <w:sz w:val="22"/>
                <w:szCs w:val="22"/>
              </w:rPr>
              <w:t>[1.04,3.08]</w:t>
            </w:r>
          </w:p>
        </w:tc>
      </w:tr>
      <w:tr w:rsidR="0080741E" w14:paraId="689763B2" w14:textId="77777777" w:rsidTr="00DC2123">
        <w:trPr>
          <w:trHeight w:val="320"/>
        </w:trPr>
        <w:tc>
          <w:tcPr>
            <w:tcW w:w="1524" w:type="pct"/>
            <w:shd w:val="clear" w:color="auto" w:fill="auto"/>
            <w:noWrap/>
            <w:vAlign w:val="center"/>
            <w:hideMark/>
          </w:tcPr>
          <w:p w14:paraId="017BE0FA" w14:textId="77777777" w:rsidR="0080741E" w:rsidRDefault="0080741E">
            <w:pPr>
              <w:rPr>
                <w:color w:val="000000"/>
                <w:sz w:val="22"/>
                <w:szCs w:val="22"/>
              </w:rPr>
            </w:pPr>
            <w:r>
              <w:rPr>
                <w:color w:val="000000"/>
                <w:sz w:val="22"/>
                <w:szCs w:val="22"/>
              </w:rPr>
              <w:t>Asthma</w:t>
            </w:r>
          </w:p>
        </w:tc>
        <w:tc>
          <w:tcPr>
            <w:tcW w:w="695" w:type="pct"/>
            <w:shd w:val="clear" w:color="auto" w:fill="auto"/>
            <w:noWrap/>
            <w:vAlign w:val="center"/>
            <w:hideMark/>
          </w:tcPr>
          <w:p w14:paraId="0872795E" w14:textId="77777777" w:rsidR="0080741E" w:rsidRPr="005F7D29" w:rsidRDefault="0080741E">
            <w:pPr>
              <w:rPr>
                <w:color w:val="000000"/>
                <w:sz w:val="22"/>
                <w:szCs w:val="22"/>
              </w:rPr>
            </w:pPr>
            <w:r w:rsidRPr="005F7D29">
              <w:rPr>
                <w:color w:val="000000"/>
                <w:sz w:val="22"/>
                <w:szCs w:val="22"/>
              </w:rPr>
              <w:t>1.34</w:t>
            </w:r>
          </w:p>
        </w:tc>
        <w:tc>
          <w:tcPr>
            <w:tcW w:w="695" w:type="pct"/>
            <w:shd w:val="clear" w:color="auto" w:fill="auto"/>
            <w:noWrap/>
            <w:vAlign w:val="center"/>
            <w:hideMark/>
          </w:tcPr>
          <w:p w14:paraId="2AA6B483" w14:textId="77777777" w:rsidR="0080741E" w:rsidRPr="005F7D29" w:rsidRDefault="0080741E">
            <w:pPr>
              <w:rPr>
                <w:color w:val="000000"/>
                <w:sz w:val="22"/>
                <w:szCs w:val="22"/>
              </w:rPr>
            </w:pPr>
            <w:r w:rsidRPr="005F7D29">
              <w:rPr>
                <w:color w:val="000000"/>
                <w:sz w:val="22"/>
                <w:szCs w:val="22"/>
              </w:rPr>
              <w:t>0.90</w:t>
            </w:r>
          </w:p>
        </w:tc>
        <w:tc>
          <w:tcPr>
            <w:tcW w:w="695" w:type="pct"/>
            <w:shd w:val="clear" w:color="auto" w:fill="auto"/>
            <w:noWrap/>
            <w:vAlign w:val="center"/>
            <w:hideMark/>
          </w:tcPr>
          <w:p w14:paraId="5867CEC2" w14:textId="77777777" w:rsidR="0080741E" w:rsidRPr="005F7D29" w:rsidRDefault="0080741E">
            <w:pPr>
              <w:rPr>
                <w:color w:val="000000"/>
                <w:sz w:val="22"/>
                <w:szCs w:val="22"/>
              </w:rPr>
            </w:pPr>
            <w:r w:rsidRPr="005F7D29">
              <w:rPr>
                <w:color w:val="000000"/>
                <w:sz w:val="22"/>
                <w:szCs w:val="22"/>
              </w:rPr>
              <w:t>1.85*</w:t>
            </w:r>
          </w:p>
        </w:tc>
        <w:tc>
          <w:tcPr>
            <w:tcW w:w="695" w:type="pct"/>
            <w:shd w:val="clear" w:color="auto" w:fill="auto"/>
            <w:noWrap/>
            <w:vAlign w:val="center"/>
            <w:hideMark/>
          </w:tcPr>
          <w:p w14:paraId="2173BD69" w14:textId="77777777" w:rsidR="0080741E" w:rsidRPr="005F7D29" w:rsidRDefault="0080741E">
            <w:pPr>
              <w:rPr>
                <w:color w:val="000000"/>
                <w:sz w:val="22"/>
                <w:szCs w:val="22"/>
              </w:rPr>
            </w:pPr>
            <w:r w:rsidRPr="005F7D29">
              <w:rPr>
                <w:color w:val="000000"/>
                <w:sz w:val="22"/>
                <w:szCs w:val="22"/>
              </w:rPr>
              <w:t>1.57*</w:t>
            </w:r>
          </w:p>
        </w:tc>
        <w:tc>
          <w:tcPr>
            <w:tcW w:w="696" w:type="pct"/>
            <w:shd w:val="clear" w:color="auto" w:fill="auto"/>
            <w:noWrap/>
            <w:vAlign w:val="center"/>
            <w:hideMark/>
          </w:tcPr>
          <w:p w14:paraId="70362787" w14:textId="77777777" w:rsidR="0080741E" w:rsidRPr="005F7D29" w:rsidRDefault="0080741E">
            <w:pPr>
              <w:rPr>
                <w:color w:val="000000"/>
                <w:sz w:val="22"/>
                <w:szCs w:val="22"/>
              </w:rPr>
            </w:pPr>
            <w:r w:rsidRPr="005F7D29">
              <w:rPr>
                <w:color w:val="000000"/>
                <w:sz w:val="22"/>
                <w:szCs w:val="22"/>
              </w:rPr>
              <w:t>1.18</w:t>
            </w:r>
          </w:p>
        </w:tc>
      </w:tr>
      <w:tr w:rsidR="0080741E" w14:paraId="6068CA57" w14:textId="77777777" w:rsidTr="00DC2123">
        <w:trPr>
          <w:trHeight w:val="320"/>
        </w:trPr>
        <w:tc>
          <w:tcPr>
            <w:tcW w:w="1524" w:type="pct"/>
            <w:shd w:val="clear" w:color="auto" w:fill="auto"/>
            <w:noWrap/>
            <w:vAlign w:val="center"/>
            <w:hideMark/>
          </w:tcPr>
          <w:p w14:paraId="12D89509" w14:textId="77777777" w:rsidR="0080741E" w:rsidRDefault="0080741E">
            <w:pPr>
              <w:rPr>
                <w:rFonts w:ascii="Calibri" w:hAnsi="Calibri" w:cs="Calibri"/>
                <w:color w:val="000000"/>
                <w:sz w:val="22"/>
                <w:szCs w:val="22"/>
              </w:rPr>
            </w:pPr>
          </w:p>
        </w:tc>
        <w:tc>
          <w:tcPr>
            <w:tcW w:w="695" w:type="pct"/>
            <w:shd w:val="clear" w:color="auto" w:fill="auto"/>
            <w:noWrap/>
            <w:vAlign w:val="center"/>
            <w:hideMark/>
          </w:tcPr>
          <w:p w14:paraId="19DA26EE" w14:textId="77777777" w:rsidR="0080741E" w:rsidRPr="005F7D29" w:rsidRDefault="0080741E">
            <w:pPr>
              <w:rPr>
                <w:color w:val="000000"/>
                <w:sz w:val="22"/>
                <w:szCs w:val="22"/>
              </w:rPr>
            </w:pPr>
            <w:r w:rsidRPr="005F7D29">
              <w:rPr>
                <w:color w:val="000000"/>
                <w:sz w:val="22"/>
                <w:szCs w:val="22"/>
              </w:rPr>
              <w:t>[1.00,1.79]</w:t>
            </w:r>
          </w:p>
        </w:tc>
        <w:tc>
          <w:tcPr>
            <w:tcW w:w="695" w:type="pct"/>
            <w:shd w:val="clear" w:color="auto" w:fill="auto"/>
            <w:noWrap/>
            <w:vAlign w:val="center"/>
            <w:hideMark/>
          </w:tcPr>
          <w:p w14:paraId="611435D3" w14:textId="77777777" w:rsidR="0080741E" w:rsidRPr="005F7D29" w:rsidRDefault="0080741E">
            <w:pPr>
              <w:rPr>
                <w:color w:val="000000"/>
                <w:sz w:val="22"/>
                <w:szCs w:val="22"/>
              </w:rPr>
            </w:pPr>
            <w:r w:rsidRPr="005F7D29">
              <w:rPr>
                <w:color w:val="000000"/>
                <w:sz w:val="22"/>
                <w:szCs w:val="22"/>
              </w:rPr>
              <w:t>[0.54,1.49]</w:t>
            </w:r>
          </w:p>
        </w:tc>
        <w:tc>
          <w:tcPr>
            <w:tcW w:w="695" w:type="pct"/>
            <w:shd w:val="clear" w:color="auto" w:fill="auto"/>
            <w:noWrap/>
            <w:vAlign w:val="center"/>
            <w:hideMark/>
          </w:tcPr>
          <w:p w14:paraId="5F61D6C9" w14:textId="77777777" w:rsidR="0080741E" w:rsidRPr="005F7D29" w:rsidRDefault="0080741E">
            <w:pPr>
              <w:rPr>
                <w:color w:val="000000"/>
                <w:sz w:val="22"/>
                <w:szCs w:val="22"/>
              </w:rPr>
            </w:pPr>
            <w:r w:rsidRPr="005F7D29">
              <w:rPr>
                <w:color w:val="000000"/>
                <w:sz w:val="22"/>
                <w:szCs w:val="22"/>
              </w:rPr>
              <w:t>[1.14,3.01]</w:t>
            </w:r>
          </w:p>
        </w:tc>
        <w:tc>
          <w:tcPr>
            <w:tcW w:w="695" w:type="pct"/>
            <w:shd w:val="clear" w:color="auto" w:fill="auto"/>
            <w:noWrap/>
            <w:vAlign w:val="center"/>
            <w:hideMark/>
          </w:tcPr>
          <w:p w14:paraId="4779D5E1" w14:textId="77777777" w:rsidR="0080741E" w:rsidRPr="005F7D29" w:rsidRDefault="0080741E">
            <w:pPr>
              <w:rPr>
                <w:color w:val="000000"/>
                <w:sz w:val="22"/>
                <w:szCs w:val="22"/>
              </w:rPr>
            </w:pPr>
            <w:r w:rsidRPr="005F7D29">
              <w:rPr>
                <w:color w:val="000000"/>
                <w:sz w:val="22"/>
                <w:szCs w:val="22"/>
              </w:rPr>
              <w:t>[1.07,2.31]</w:t>
            </w:r>
          </w:p>
        </w:tc>
        <w:tc>
          <w:tcPr>
            <w:tcW w:w="696" w:type="pct"/>
            <w:shd w:val="clear" w:color="auto" w:fill="auto"/>
            <w:noWrap/>
            <w:vAlign w:val="center"/>
            <w:hideMark/>
          </w:tcPr>
          <w:p w14:paraId="280EF20E" w14:textId="77777777" w:rsidR="0080741E" w:rsidRPr="005F7D29" w:rsidRDefault="0080741E">
            <w:pPr>
              <w:rPr>
                <w:color w:val="000000"/>
                <w:sz w:val="22"/>
                <w:szCs w:val="22"/>
              </w:rPr>
            </w:pPr>
            <w:r w:rsidRPr="005F7D29">
              <w:rPr>
                <w:color w:val="000000"/>
                <w:sz w:val="22"/>
                <w:szCs w:val="22"/>
              </w:rPr>
              <w:t>[0.70,1.97]</w:t>
            </w:r>
          </w:p>
        </w:tc>
      </w:tr>
      <w:tr w:rsidR="0080741E" w14:paraId="5307EAEB" w14:textId="77777777" w:rsidTr="00DC2123">
        <w:trPr>
          <w:trHeight w:val="320"/>
        </w:trPr>
        <w:tc>
          <w:tcPr>
            <w:tcW w:w="1524" w:type="pct"/>
            <w:shd w:val="clear" w:color="auto" w:fill="auto"/>
            <w:noWrap/>
            <w:vAlign w:val="center"/>
            <w:hideMark/>
          </w:tcPr>
          <w:p w14:paraId="2F2761D8" w14:textId="77777777" w:rsidR="0080741E" w:rsidRDefault="0080741E">
            <w:pPr>
              <w:rPr>
                <w:color w:val="000000"/>
                <w:sz w:val="22"/>
                <w:szCs w:val="22"/>
              </w:rPr>
            </w:pPr>
            <w:r>
              <w:rPr>
                <w:color w:val="000000"/>
                <w:sz w:val="22"/>
                <w:szCs w:val="22"/>
              </w:rPr>
              <w:t>Bladder problems/incontinence</w:t>
            </w:r>
          </w:p>
        </w:tc>
        <w:tc>
          <w:tcPr>
            <w:tcW w:w="695" w:type="pct"/>
            <w:shd w:val="clear" w:color="auto" w:fill="auto"/>
            <w:noWrap/>
            <w:vAlign w:val="center"/>
            <w:hideMark/>
          </w:tcPr>
          <w:p w14:paraId="14E16713" w14:textId="77777777" w:rsidR="0080741E" w:rsidRPr="005F7D29" w:rsidRDefault="0080741E">
            <w:pPr>
              <w:rPr>
                <w:color w:val="000000"/>
                <w:sz w:val="22"/>
                <w:szCs w:val="22"/>
              </w:rPr>
            </w:pPr>
            <w:r w:rsidRPr="005F7D29">
              <w:rPr>
                <w:color w:val="000000"/>
                <w:sz w:val="22"/>
                <w:szCs w:val="22"/>
              </w:rPr>
              <w:t>1.42</w:t>
            </w:r>
          </w:p>
        </w:tc>
        <w:tc>
          <w:tcPr>
            <w:tcW w:w="695" w:type="pct"/>
            <w:shd w:val="clear" w:color="auto" w:fill="auto"/>
            <w:noWrap/>
            <w:vAlign w:val="center"/>
            <w:hideMark/>
          </w:tcPr>
          <w:p w14:paraId="263C01F2" w14:textId="77777777" w:rsidR="0080741E" w:rsidRPr="005F7D29" w:rsidRDefault="0080741E">
            <w:pPr>
              <w:rPr>
                <w:color w:val="000000"/>
                <w:sz w:val="22"/>
                <w:szCs w:val="22"/>
              </w:rPr>
            </w:pPr>
            <w:r w:rsidRPr="005F7D29">
              <w:rPr>
                <w:color w:val="000000"/>
                <w:sz w:val="22"/>
                <w:szCs w:val="22"/>
              </w:rPr>
              <w:t>1.54</w:t>
            </w:r>
          </w:p>
        </w:tc>
        <w:tc>
          <w:tcPr>
            <w:tcW w:w="695" w:type="pct"/>
            <w:shd w:val="clear" w:color="auto" w:fill="auto"/>
            <w:noWrap/>
            <w:vAlign w:val="center"/>
            <w:hideMark/>
          </w:tcPr>
          <w:p w14:paraId="672363AC" w14:textId="77777777" w:rsidR="0080741E" w:rsidRPr="005F7D29" w:rsidRDefault="0080741E">
            <w:pPr>
              <w:rPr>
                <w:color w:val="000000"/>
                <w:sz w:val="22"/>
                <w:szCs w:val="22"/>
              </w:rPr>
            </w:pPr>
            <w:r w:rsidRPr="005F7D29">
              <w:rPr>
                <w:color w:val="000000"/>
                <w:sz w:val="22"/>
                <w:szCs w:val="22"/>
              </w:rPr>
              <w:t>3.06**</w:t>
            </w:r>
          </w:p>
        </w:tc>
        <w:tc>
          <w:tcPr>
            <w:tcW w:w="695" w:type="pct"/>
            <w:shd w:val="clear" w:color="auto" w:fill="auto"/>
            <w:noWrap/>
            <w:vAlign w:val="center"/>
            <w:hideMark/>
          </w:tcPr>
          <w:p w14:paraId="53B3B79E" w14:textId="77777777" w:rsidR="0080741E" w:rsidRPr="005F7D29" w:rsidRDefault="0080741E">
            <w:pPr>
              <w:rPr>
                <w:color w:val="000000"/>
                <w:sz w:val="22"/>
                <w:szCs w:val="22"/>
              </w:rPr>
            </w:pPr>
            <w:r w:rsidRPr="005F7D29">
              <w:rPr>
                <w:color w:val="000000"/>
                <w:sz w:val="22"/>
                <w:szCs w:val="22"/>
              </w:rPr>
              <w:t>0.78</w:t>
            </w:r>
          </w:p>
        </w:tc>
        <w:tc>
          <w:tcPr>
            <w:tcW w:w="696" w:type="pct"/>
            <w:shd w:val="clear" w:color="auto" w:fill="auto"/>
            <w:noWrap/>
            <w:vAlign w:val="center"/>
            <w:hideMark/>
          </w:tcPr>
          <w:p w14:paraId="30980516" w14:textId="77777777" w:rsidR="0080741E" w:rsidRPr="005F7D29" w:rsidRDefault="0080741E">
            <w:pPr>
              <w:rPr>
                <w:color w:val="000000"/>
                <w:sz w:val="22"/>
                <w:szCs w:val="22"/>
              </w:rPr>
            </w:pPr>
            <w:r w:rsidRPr="005F7D29">
              <w:rPr>
                <w:color w:val="000000"/>
                <w:sz w:val="22"/>
                <w:szCs w:val="22"/>
              </w:rPr>
              <w:t>1.30</w:t>
            </w:r>
          </w:p>
        </w:tc>
      </w:tr>
      <w:tr w:rsidR="0080741E" w14:paraId="14C86FD9" w14:textId="77777777" w:rsidTr="00DC2123">
        <w:trPr>
          <w:trHeight w:val="320"/>
        </w:trPr>
        <w:tc>
          <w:tcPr>
            <w:tcW w:w="1524" w:type="pct"/>
            <w:shd w:val="clear" w:color="auto" w:fill="auto"/>
            <w:noWrap/>
            <w:vAlign w:val="center"/>
            <w:hideMark/>
          </w:tcPr>
          <w:p w14:paraId="71CC0F9C" w14:textId="77777777" w:rsidR="0080741E" w:rsidRDefault="0080741E">
            <w:pPr>
              <w:rPr>
                <w:rFonts w:ascii="Calibri" w:hAnsi="Calibri" w:cs="Calibri"/>
                <w:color w:val="000000"/>
                <w:sz w:val="22"/>
                <w:szCs w:val="22"/>
              </w:rPr>
            </w:pPr>
          </w:p>
        </w:tc>
        <w:tc>
          <w:tcPr>
            <w:tcW w:w="695" w:type="pct"/>
            <w:shd w:val="clear" w:color="auto" w:fill="auto"/>
            <w:noWrap/>
            <w:vAlign w:val="center"/>
            <w:hideMark/>
          </w:tcPr>
          <w:p w14:paraId="3C7FD67F" w14:textId="77777777" w:rsidR="0080741E" w:rsidRPr="005F7D29" w:rsidRDefault="0080741E">
            <w:pPr>
              <w:rPr>
                <w:color w:val="000000"/>
                <w:sz w:val="22"/>
                <w:szCs w:val="22"/>
              </w:rPr>
            </w:pPr>
            <w:r w:rsidRPr="005F7D29">
              <w:rPr>
                <w:color w:val="000000"/>
                <w:sz w:val="22"/>
                <w:szCs w:val="22"/>
              </w:rPr>
              <w:t>[0.91,2.19]</w:t>
            </w:r>
          </w:p>
        </w:tc>
        <w:tc>
          <w:tcPr>
            <w:tcW w:w="695" w:type="pct"/>
            <w:shd w:val="clear" w:color="auto" w:fill="auto"/>
            <w:noWrap/>
            <w:vAlign w:val="center"/>
            <w:hideMark/>
          </w:tcPr>
          <w:p w14:paraId="0F54A5AC" w14:textId="77777777" w:rsidR="0080741E" w:rsidRPr="005F7D29" w:rsidRDefault="0080741E">
            <w:pPr>
              <w:rPr>
                <w:color w:val="000000"/>
                <w:sz w:val="22"/>
                <w:szCs w:val="22"/>
              </w:rPr>
            </w:pPr>
            <w:r w:rsidRPr="005F7D29">
              <w:rPr>
                <w:color w:val="000000"/>
                <w:sz w:val="22"/>
                <w:szCs w:val="22"/>
              </w:rPr>
              <w:t>[0.62,3.84]</w:t>
            </w:r>
          </w:p>
        </w:tc>
        <w:tc>
          <w:tcPr>
            <w:tcW w:w="695" w:type="pct"/>
            <w:shd w:val="clear" w:color="auto" w:fill="auto"/>
            <w:noWrap/>
            <w:vAlign w:val="center"/>
            <w:hideMark/>
          </w:tcPr>
          <w:p w14:paraId="3D6481AA" w14:textId="77777777" w:rsidR="0080741E" w:rsidRPr="005F7D29" w:rsidRDefault="0080741E">
            <w:pPr>
              <w:rPr>
                <w:color w:val="000000"/>
                <w:sz w:val="22"/>
                <w:szCs w:val="22"/>
              </w:rPr>
            </w:pPr>
            <w:r w:rsidRPr="005F7D29">
              <w:rPr>
                <w:color w:val="000000"/>
                <w:sz w:val="22"/>
                <w:szCs w:val="22"/>
              </w:rPr>
              <w:t>[1.34,6.98]</w:t>
            </w:r>
          </w:p>
        </w:tc>
        <w:tc>
          <w:tcPr>
            <w:tcW w:w="695" w:type="pct"/>
            <w:shd w:val="clear" w:color="auto" w:fill="auto"/>
            <w:noWrap/>
            <w:vAlign w:val="center"/>
            <w:hideMark/>
          </w:tcPr>
          <w:p w14:paraId="53CF29DA" w14:textId="77777777" w:rsidR="0080741E" w:rsidRPr="005F7D29" w:rsidRDefault="0080741E">
            <w:pPr>
              <w:rPr>
                <w:color w:val="000000"/>
                <w:sz w:val="22"/>
                <w:szCs w:val="22"/>
              </w:rPr>
            </w:pPr>
            <w:r w:rsidRPr="005F7D29">
              <w:rPr>
                <w:color w:val="000000"/>
                <w:sz w:val="22"/>
                <w:szCs w:val="22"/>
              </w:rPr>
              <w:t>[0.38,1.62]</w:t>
            </w:r>
          </w:p>
        </w:tc>
        <w:tc>
          <w:tcPr>
            <w:tcW w:w="696" w:type="pct"/>
            <w:shd w:val="clear" w:color="auto" w:fill="auto"/>
            <w:noWrap/>
            <w:vAlign w:val="center"/>
            <w:hideMark/>
          </w:tcPr>
          <w:p w14:paraId="4D857AE5" w14:textId="77777777" w:rsidR="0080741E" w:rsidRPr="005F7D29" w:rsidRDefault="0080741E">
            <w:pPr>
              <w:rPr>
                <w:color w:val="000000"/>
                <w:sz w:val="22"/>
                <w:szCs w:val="22"/>
              </w:rPr>
            </w:pPr>
            <w:r w:rsidRPr="005F7D29">
              <w:rPr>
                <w:color w:val="000000"/>
                <w:sz w:val="22"/>
                <w:szCs w:val="22"/>
              </w:rPr>
              <w:t>[0.47,3.56]</w:t>
            </w:r>
          </w:p>
        </w:tc>
      </w:tr>
      <w:tr w:rsidR="0080741E" w14:paraId="1E310499" w14:textId="77777777" w:rsidTr="00DC2123">
        <w:trPr>
          <w:trHeight w:val="320"/>
        </w:trPr>
        <w:tc>
          <w:tcPr>
            <w:tcW w:w="1524" w:type="pct"/>
            <w:shd w:val="clear" w:color="auto" w:fill="auto"/>
            <w:noWrap/>
            <w:vAlign w:val="center"/>
            <w:hideMark/>
          </w:tcPr>
          <w:p w14:paraId="68778456" w14:textId="77777777" w:rsidR="0080741E" w:rsidRDefault="0080741E">
            <w:pPr>
              <w:rPr>
                <w:color w:val="000000"/>
                <w:sz w:val="22"/>
                <w:szCs w:val="22"/>
              </w:rPr>
            </w:pPr>
            <w:r>
              <w:rPr>
                <w:color w:val="000000"/>
                <w:sz w:val="22"/>
                <w:szCs w:val="22"/>
              </w:rPr>
              <w:t>Bone, back, joint or muscle problems</w:t>
            </w:r>
          </w:p>
        </w:tc>
        <w:tc>
          <w:tcPr>
            <w:tcW w:w="695" w:type="pct"/>
            <w:shd w:val="clear" w:color="auto" w:fill="auto"/>
            <w:noWrap/>
            <w:vAlign w:val="center"/>
            <w:hideMark/>
          </w:tcPr>
          <w:p w14:paraId="4C1CD366" w14:textId="77777777" w:rsidR="0080741E" w:rsidRPr="005F7D29" w:rsidRDefault="0080741E">
            <w:pPr>
              <w:rPr>
                <w:color w:val="000000"/>
                <w:sz w:val="22"/>
                <w:szCs w:val="22"/>
              </w:rPr>
            </w:pPr>
            <w:r w:rsidRPr="005F7D29">
              <w:rPr>
                <w:color w:val="000000"/>
                <w:sz w:val="22"/>
                <w:szCs w:val="22"/>
              </w:rPr>
              <w:t>1.14</w:t>
            </w:r>
          </w:p>
        </w:tc>
        <w:tc>
          <w:tcPr>
            <w:tcW w:w="695" w:type="pct"/>
            <w:shd w:val="clear" w:color="auto" w:fill="auto"/>
            <w:noWrap/>
            <w:vAlign w:val="center"/>
            <w:hideMark/>
          </w:tcPr>
          <w:p w14:paraId="08E6C913" w14:textId="77777777" w:rsidR="0080741E" w:rsidRPr="005F7D29" w:rsidRDefault="0080741E">
            <w:pPr>
              <w:rPr>
                <w:color w:val="000000"/>
                <w:sz w:val="22"/>
                <w:szCs w:val="22"/>
              </w:rPr>
            </w:pPr>
            <w:r w:rsidRPr="005F7D29">
              <w:rPr>
                <w:color w:val="000000"/>
                <w:sz w:val="22"/>
                <w:szCs w:val="22"/>
              </w:rPr>
              <w:t>0.92</w:t>
            </w:r>
          </w:p>
        </w:tc>
        <w:tc>
          <w:tcPr>
            <w:tcW w:w="695" w:type="pct"/>
            <w:shd w:val="clear" w:color="auto" w:fill="auto"/>
            <w:noWrap/>
            <w:vAlign w:val="center"/>
            <w:hideMark/>
          </w:tcPr>
          <w:p w14:paraId="18BC894A" w14:textId="77777777" w:rsidR="0080741E" w:rsidRPr="005F7D29" w:rsidRDefault="0080741E">
            <w:pPr>
              <w:rPr>
                <w:color w:val="000000"/>
                <w:sz w:val="22"/>
                <w:szCs w:val="22"/>
              </w:rPr>
            </w:pPr>
            <w:r w:rsidRPr="005F7D29">
              <w:rPr>
                <w:color w:val="000000"/>
                <w:sz w:val="22"/>
                <w:szCs w:val="22"/>
              </w:rPr>
              <w:t>1.19</w:t>
            </w:r>
          </w:p>
        </w:tc>
        <w:tc>
          <w:tcPr>
            <w:tcW w:w="695" w:type="pct"/>
            <w:shd w:val="clear" w:color="auto" w:fill="auto"/>
            <w:noWrap/>
            <w:vAlign w:val="center"/>
            <w:hideMark/>
          </w:tcPr>
          <w:p w14:paraId="13EB95E1" w14:textId="77777777" w:rsidR="0080741E" w:rsidRPr="005F7D29" w:rsidRDefault="0080741E">
            <w:pPr>
              <w:rPr>
                <w:color w:val="000000"/>
                <w:sz w:val="22"/>
                <w:szCs w:val="22"/>
              </w:rPr>
            </w:pPr>
            <w:r w:rsidRPr="005F7D29">
              <w:rPr>
                <w:color w:val="000000"/>
                <w:sz w:val="22"/>
                <w:szCs w:val="22"/>
              </w:rPr>
              <w:t>1.13</w:t>
            </w:r>
          </w:p>
        </w:tc>
        <w:tc>
          <w:tcPr>
            <w:tcW w:w="696" w:type="pct"/>
            <w:shd w:val="clear" w:color="auto" w:fill="auto"/>
            <w:noWrap/>
            <w:vAlign w:val="center"/>
            <w:hideMark/>
          </w:tcPr>
          <w:p w14:paraId="4FE1A2D7" w14:textId="77777777" w:rsidR="0080741E" w:rsidRPr="005F7D29" w:rsidRDefault="0080741E">
            <w:pPr>
              <w:rPr>
                <w:color w:val="000000"/>
                <w:sz w:val="22"/>
                <w:szCs w:val="22"/>
              </w:rPr>
            </w:pPr>
            <w:r w:rsidRPr="005F7D29">
              <w:rPr>
                <w:color w:val="000000"/>
                <w:sz w:val="22"/>
                <w:szCs w:val="22"/>
              </w:rPr>
              <w:t>0.85</w:t>
            </w:r>
          </w:p>
        </w:tc>
      </w:tr>
      <w:tr w:rsidR="0080741E" w14:paraId="1EE871F6" w14:textId="77777777" w:rsidTr="00DC2123">
        <w:trPr>
          <w:trHeight w:val="320"/>
        </w:trPr>
        <w:tc>
          <w:tcPr>
            <w:tcW w:w="1524" w:type="pct"/>
            <w:shd w:val="clear" w:color="auto" w:fill="auto"/>
            <w:noWrap/>
            <w:vAlign w:val="center"/>
            <w:hideMark/>
          </w:tcPr>
          <w:p w14:paraId="598A2A09" w14:textId="77777777" w:rsidR="0080741E" w:rsidRDefault="0080741E">
            <w:pPr>
              <w:rPr>
                <w:rFonts w:ascii="Calibri" w:hAnsi="Calibri" w:cs="Calibri"/>
                <w:color w:val="000000"/>
                <w:sz w:val="22"/>
                <w:szCs w:val="22"/>
              </w:rPr>
            </w:pPr>
          </w:p>
        </w:tc>
        <w:tc>
          <w:tcPr>
            <w:tcW w:w="695" w:type="pct"/>
            <w:shd w:val="clear" w:color="auto" w:fill="auto"/>
            <w:noWrap/>
            <w:vAlign w:val="center"/>
            <w:hideMark/>
          </w:tcPr>
          <w:p w14:paraId="247B8DE9" w14:textId="77777777" w:rsidR="0080741E" w:rsidRPr="005F7D29" w:rsidRDefault="0080741E">
            <w:pPr>
              <w:rPr>
                <w:color w:val="000000"/>
                <w:sz w:val="22"/>
                <w:szCs w:val="22"/>
              </w:rPr>
            </w:pPr>
            <w:r w:rsidRPr="005F7D29">
              <w:rPr>
                <w:color w:val="000000"/>
                <w:sz w:val="22"/>
                <w:szCs w:val="22"/>
              </w:rPr>
              <w:t>[0.93,1.40]</w:t>
            </w:r>
          </w:p>
        </w:tc>
        <w:tc>
          <w:tcPr>
            <w:tcW w:w="695" w:type="pct"/>
            <w:shd w:val="clear" w:color="auto" w:fill="auto"/>
            <w:noWrap/>
            <w:vAlign w:val="center"/>
            <w:hideMark/>
          </w:tcPr>
          <w:p w14:paraId="32FFFA0A" w14:textId="77777777" w:rsidR="0080741E" w:rsidRPr="005F7D29" w:rsidRDefault="0080741E">
            <w:pPr>
              <w:rPr>
                <w:color w:val="000000"/>
                <w:sz w:val="22"/>
                <w:szCs w:val="22"/>
              </w:rPr>
            </w:pPr>
            <w:r w:rsidRPr="005F7D29">
              <w:rPr>
                <w:color w:val="000000"/>
                <w:sz w:val="22"/>
                <w:szCs w:val="22"/>
              </w:rPr>
              <w:t>[0.60,1.40]</w:t>
            </w:r>
          </w:p>
        </w:tc>
        <w:tc>
          <w:tcPr>
            <w:tcW w:w="695" w:type="pct"/>
            <w:shd w:val="clear" w:color="auto" w:fill="auto"/>
            <w:noWrap/>
            <w:vAlign w:val="center"/>
            <w:hideMark/>
          </w:tcPr>
          <w:p w14:paraId="212815AB" w14:textId="77777777" w:rsidR="0080741E" w:rsidRPr="005F7D29" w:rsidRDefault="0080741E">
            <w:pPr>
              <w:rPr>
                <w:color w:val="000000"/>
                <w:sz w:val="22"/>
                <w:szCs w:val="22"/>
              </w:rPr>
            </w:pPr>
            <w:r w:rsidRPr="005F7D29">
              <w:rPr>
                <w:color w:val="000000"/>
                <w:sz w:val="22"/>
                <w:szCs w:val="22"/>
              </w:rPr>
              <w:t>[0.91,1.57]</w:t>
            </w:r>
          </w:p>
        </w:tc>
        <w:tc>
          <w:tcPr>
            <w:tcW w:w="695" w:type="pct"/>
            <w:shd w:val="clear" w:color="auto" w:fill="auto"/>
            <w:noWrap/>
            <w:vAlign w:val="center"/>
            <w:hideMark/>
          </w:tcPr>
          <w:p w14:paraId="19D41844" w14:textId="77777777" w:rsidR="0080741E" w:rsidRPr="005F7D29" w:rsidRDefault="0080741E">
            <w:pPr>
              <w:rPr>
                <w:color w:val="000000"/>
                <w:sz w:val="22"/>
                <w:szCs w:val="22"/>
              </w:rPr>
            </w:pPr>
            <w:r w:rsidRPr="005F7D29">
              <w:rPr>
                <w:color w:val="000000"/>
                <w:sz w:val="22"/>
                <w:szCs w:val="22"/>
              </w:rPr>
              <w:t>[0.84,1.51]</w:t>
            </w:r>
          </w:p>
        </w:tc>
        <w:tc>
          <w:tcPr>
            <w:tcW w:w="696" w:type="pct"/>
            <w:shd w:val="clear" w:color="auto" w:fill="auto"/>
            <w:noWrap/>
            <w:vAlign w:val="center"/>
            <w:hideMark/>
          </w:tcPr>
          <w:p w14:paraId="78B3A5B1" w14:textId="77777777" w:rsidR="0080741E" w:rsidRPr="005F7D29" w:rsidRDefault="0080741E">
            <w:pPr>
              <w:rPr>
                <w:color w:val="000000"/>
                <w:sz w:val="22"/>
                <w:szCs w:val="22"/>
              </w:rPr>
            </w:pPr>
            <w:r w:rsidRPr="005F7D29">
              <w:rPr>
                <w:color w:val="000000"/>
                <w:sz w:val="22"/>
                <w:szCs w:val="22"/>
              </w:rPr>
              <w:t>[0.56,1.28]</w:t>
            </w:r>
          </w:p>
        </w:tc>
      </w:tr>
      <w:tr w:rsidR="0080741E" w14:paraId="51EF8DD5" w14:textId="77777777" w:rsidTr="00DC2123">
        <w:trPr>
          <w:trHeight w:val="320"/>
        </w:trPr>
        <w:tc>
          <w:tcPr>
            <w:tcW w:w="1524" w:type="pct"/>
            <w:shd w:val="clear" w:color="auto" w:fill="auto"/>
            <w:noWrap/>
            <w:vAlign w:val="center"/>
            <w:hideMark/>
          </w:tcPr>
          <w:p w14:paraId="5668AB2E" w14:textId="77777777" w:rsidR="0080741E" w:rsidRDefault="0080741E">
            <w:pPr>
              <w:rPr>
                <w:color w:val="000000"/>
                <w:sz w:val="22"/>
                <w:szCs w:val="22"/>
              </w:rPr>
            </w:pPr>
            <w:r>
              <w:rPr>
                <w:color w:val="000000"/>
                <w:sz w:val="22"/>
                <w:szCs w:val="22"/>
              </w:rPr>
              <w:t>Bowel/colon problems</w:t>
            </w:r>
          </w:p>
        </w:tc>
        <w:tc>
          <w:tcPr>
            <w:tcW w:w="695" w:type="pct"/>
            <w:shd w:val="clear" w:color="auto" w:fill="auto"/>
            <w:noWrap/>
            <w:vAlign w:val="center"/>
            <w:hideMark/>
          </w:tcPr>
          <w:p w14:paraId="087BE220" w14:textId="77777777" w:rsidR="0080741E" w:rsidRPr="005F7D29" w:rsidRDefault="0080741E">
            <w:pPr>
              <w:rPr>
                <w:color w:val="000000"/>
                <w:sz w:val="22"/>
                <w:szCs w:val="22"/>
              </w:rPr>
            </w:pPr>
            <w:r w:rsidRPr="005F7D29">
              <w:rPr>
                <w:color w:val="000000"/>
                <w:sz w:val="22"/>
                <w:szCs w:val="22"/>
              </w:rPr>
              <w:t>2.31***</w:t>
            </w:r>
          </w:p>
        </w:tc>
        <w:tc>
          <w:tcPr>
            <w:tcW w:w="695" w:type="pct"/>
            <w:shd w:val="clear" w:color="auto" w:fill="auto"/>
            <w:noWrap/>
            <w:vAlign w:val="center"/>
            <w:hideMark/>
          </w:tcPr>
          <w:p w14:paraId="139E9402" w14:textId="77777777" w:rsidR="0080741E" w:rsidRPr="005F7D29" w:rsidRDefault="0080741E">
            <w:pPr>
              <w:rPr>
                <w:color w:val="000000"/>
                <w:sz w:val="22"/>
                <w:szCs w:val="22"/>
              </w:rPr>
            </w:pPr>
            <w:r w:rsidRPr="005F7D29">
              <w:rPr>
                <w:color w:val="000000"/>
                <w:sz w:val="22"/>
                <w:szCs w:val="22"/>
              </w:rPr>
              <w:t>1.18</w:t>
            </w:r>
          </w:p>
        </w:tc>
        <w:tc>
          <w:tcPr>
            <w:tcW w:w="695" w:type="pct"/>
            <w:shd w:val="clear" w:color="auto" w:fill="auto"/>
            <w:noWrap/>
            <w:vAlign w:val="center"/>
            <w:hideMark/>
          </w:tcPr>
          <w:p w14:paraId="45A0D4E9" w14:textId="77777777" w:rsidR="0080741E" w:rsidRPr="005F7D29" w:rsidRDefault="0080741E">
            <w:pPr>
              <w:rPr>
                <w:color w:val="000000"/>
                <w:sz w:val="22"/>
                <w:szCs w:val="22"/>
              </w:rPr>
            </w:pPr>
            <w:r w:rsidRPr="005F7D29">
              <w:rPr>
                <w:color w:val="000000"/>
                <w:sz w:val="22"/>
                <w:szCs w:val="22"/>
              </w:rPr>
              <w:t>1.79*</w:t>
            </w:r>
          </w:p>
        </w:tc>
        <w:tc>
          <w:tcPr>
            <w:tcW w:w="695" w:type="pct"/>
            <w:shd w:val="clear" w:color="auto" w:fill="auto"/>
            <w:noWrap/>
            <w:vAlign w:val="center"/>
            <w:hideMark/>
          </w:tcPr>
          <w:p w14:paraId="4614D3B9" w14:textId="77777777" w:rsidR="0080741E" w:rsidRPr="005F7D29" w:rsidRDefault="0080741E">
            <w:pPr>
              <w:rPr>
                <w:color w:val="000000"/>
                <w:sz w:val="22"/>
                <w:szCs w:val="22"/>
              </w:rPr>
            </w:pPr>
            <w:r w:rsidRPr="005F7D29">
              <w:rPr>
                <w:color w:val="000000"/>
                <w:sz w:val="22"/>
                <w:szCs w:val="22"/>
              </w:rPr>
              <w:t>1.65*</w:t>
            </w:r>
          </w:p>
        </w:tc>
        <w:tc>
          <w:tcPr>
            <w:tcW w:w="696" w:type="pct"/>
            <w:shd w:val="clear" w:color="auto" w:fill="auto"/>
            <w:noWrap/>
            <w:vAlign w:val="center"/>
            <w:hideMark/>
          </w:tcPr>
          <w:p w14:paraId="280B3B52" w14:textId="77777777" w:rsidR="0080741E" w:rsidRPr="005F7D29" w:rsidRDefault="0080741E">
            <w:pPr>
              <w:rPr>
                <w:color w:val="000000"/>
                <w:sz w:val="22"/>
                <w:szCs w:val="22"/>
              </w:rPr>
            </w:pPr>
            <w:r w:rsidRPr="005F7D29">
              <w:rPr>
                <w:color w:val="000000"/>
                <w:sz w:val="22"/>
                <w:szCs w:val="22"/>
              </w:rPr>
              <w:t>1.11</w:t>
            </w:r>
          </w:p>
        </w:tc>
      </w:tr>
      <w:tr w:rsidR="0080741E" w14:paraId="5D0F5FC6" w14:textId="77777777" w:rsidTr="00DC2123">
        <w:trPr>
          <w:trHeight w:val="320"/>
        </w:trPr>
        <w:tc>
          <w:tcPr>
            <w:tcW w:w="1524" w:type="pct"/>
            <w:shd w:val="clear" w:color="auto" w:fill="auto"/>
            <w:noWrap/>
            <w:vAlign w:val="center"/>
            <w:hideMark/>
          </w:tcPr>
          <w:p w14:paraId="6E21046F" w14:textId="77777777" w:rsidR="0080741E" w:rsidRDefault="0080741E">
            <w:pPr>
              <w:rPr>
                <w:rFonts w:ascii="Calibri" w:hAnsi="Calibri" w:cs="Calibri"/>
                <w:color w:val="000000"/>
                <w:sz w:val="22"/>
                <w:szCs w:val="22"/>
              </w:rPr>
            </w:pPr>
          </w:p>
        </w:tc>
        <w:tc>
          <w:tcPr>
            <w:tcW w:w="695" w:type="pct"/>
            <w:shd w:val="clear" w:color="auto" w:fill="auto"/>
            <w:noWrap/>
            <w:vAlign w:val="center"/>
            <w:hideMark/>
          </w:tcPr>
          <w:p w14:paraId="03B41149" w14:textId="77777777" w:rsidR="0080741E" w:rsidRPr="005F7D29" w:rsidRDefault="0080741E">
            <w:pPr>
              <w:rPr>
                <w:color w:val="000000"/>
                <w:sz w:val="22"/>
                <w:szCs w:val="22"/>
              </w:rPr>
            </w:pPr>
            <w:r w:rsidRPr="005F7D29">
              <w:rPr>
                <w:color w:val="000000"/>
                <w:sz w:val="22"/>
                <w:szCs w:val="22"/>
              </w:rPr>
              <w:t>[1.75,3.05]</w:t>
            </w:r>
          </w:p>
        </w:tc>
        <w:tc>
          <w:tcPr>
            <w:tcW w:w="695" w:type="pct"/>
            <w:shd w:val="clear" w:color="auto" w:fill="auto"/>
            <w:noWrap/>
            <w:vAlign w:val="center"/>
            <w:hideMark/>
          </w:tcPr>
          <w:p w14:paraId="2E07D3D8" w14:textId="77777777" w:rsidR="0080741E" w:rsidRPr="005F7D29" w:rsidRDefault="0080741E">
            <w:pPr>
              <w:rPr>
                <w:color w:val="000000"/>
                <w:sz w:val="22"/>
                <w:szCs w:val="22"/>
              </w:rPr>
            </w:pPr>
            <w:r w:rsidRPr="005F7D29">
              <w:rPr>
                <w:color w:val="000000"/>
                <w:sz w:val="22"/>
                <w:szCs w:val="22"/>
              </w:rPr>
              <w:t>[0.52,2.69]</w:t>
            </w:r>
          </w:p>
        </w:tc>
        <w:tc>
          <w:tcPr>
            <w:tcW w:w="695" w:type="pct"/>
            <w:shd w:val="clear" w:color="auto" w:fill="auto"/>
            <w:noWrap/>
            <w:vAlign w:val="center"/>
            <w:hideMark/>
          </w:tcPr>
          <w:p w14:paraId="7D56D364" w14:textId="77777777" w:rsidR="0080741E" w:rsidRPr="005F7D29" w:rsidRDefault="0080741E">
            <w:pPr>
              <w:rPr>
                <w:color w:val="000000"/>
                <w:sz w:val="22"/>
                <w:szCs w:val="22"/>
              </w:rPr>
            </w:pPr>
            <w:r w:rsidRPr="005F7D29">
              <w:rPr>
                <w:color w:val="000000"/>
                <w:sz w:val="22"/>
                <w:szCs w:val="22"/>
              </w:rPr>
              <w:t>[1.03,3.09]</w:t>
            </w:r>
          </w:p>
        </w:tc>
        <w:tc>
          <w:tcPr>
            <w:tcW w:w="695" w:type="pct"/>
            <w:shd w:val="clear" w:color="auto" w:fill="auto"/>
            <w:noWrap/>
            <w:vAlign w:val="center"/>
            <w:hideMark/>
          </w:tcPr>
          <w:p w14:paraId="06F89FF0" w14:textId="77777777" w:rsidR="0080741E" w:rsidRPr="005F7D29" w:rsidRDefault="0080741E">
            <w:pPr>
              <w:rPr>
                <w:color w:val="000000"/>
                <w:sz w:val="22"/>
                <w:szCs w:val="22"/>
              </w:rPr>
            </w:pPr>
            <w:r w:rsidRPr="005F7D29">
              <w:rPr>
                <w:color w:val="000000"/>
                <w:sz w:val="22"/>
                <w:szCs w:val="22"/>
              </w:rPr>
              <w:t>[1.03,2.64]</w:t>
            </w:r>
          </w:p>
        </w:tc>
        <w:tc>
          <w:tcPr>
            <w:tcW w:w="696" w:type="pct"/>
            <w:shd w:val="clear" w:color="auto" w:fill="auto"/>
            <w:noWrap/>
            <w:vAlign w:val="center"/>
            <w:hideMark/>
          </w:tcPr>
          <w:p w14:paraId="0B1C705D" w14:textId="77777777" w:rsidR="0080741E" w:rsidRPr="005F7D29" w:rsidRDefault="0080741E">
            <w:pPr>
              <w:rPr>
                <w:color w:val="000000"/>
                <w:sz w:val="22"/>
                <w:szCs w:val="22"/>
              </w:rPr>
            </w:pPr>
            <w:r w:rsidRPr="005F7D29">
              <w:rPr>
                <w:color w:val="000000"/>
                <w:sz w:val="22"/>
                <w:szCs w:val="22"/>
              </w:rPr>
              <w:t>[0.59,2.09]</w:t>
            </w:r>
          </w:p>
        </w:tc>
      </w:tr>
      <w:tr w:rsidR="0080741E" w14:paraId="0A9D7D10" w14:textId="77777777" w:rsidTr="00DC2123">
        <w:trPr>
          <w:trHeight w:val="320"/>
        </w:trPr>
        <w:tc>
          <w:tcPr>
            <w:tcW w:w="1524" w:type="pct"/>
            <w:shd w:val="clear" w:color="auto" w:fill="auto"/>
            <w:noWrap/>
            <w:vAlign w:val="center"/>
            <w:hideMark/>
          </w:tcPr>
          <w:p w14:paraId="31DA0D6A" w14:textId="77777777" w:rsidR="0080741E" w:rsidRDefault="0080741E">
            <w:pPr>
              <w:rPr>
                <w:color w:val="000000"/>
                <w:sz w:val="22"/>
                <w:szCs w:val="22"/>
              </w:rPr>
            </w:pPr>
            <w:r>
              <w:rPr>
                <w:color w:val="000000"/>
                <w:sz w:val="22"/>
                <w:szCs w:val="22"/>
              </w:rPr>
              <w:t>Bronchitis/emphysema</w:t>
            </w:r>
          </w:p>
        </w:tc>
        <w:tc>
          <w:tcPr>
            <w:tcW w:w="695" w:type="pct"/>
            <w:shd w:val="clear" w:color="auto" w:fill="auto"/>
            <w:noWrap/>
            <w:vAlign w:val="center"/>
            <w:hideMark/>
          </w:tcPr>
          <w:p w14:paraId="15417739" w14:textId="77777777" w:rsidR="0080741E" w:rsidRPr="005F7D29" w:rsidRDefault="0080741E">
            <w:pPr>
              <w:rPr>
                <w:color w:val="000000"/>
                <w:sz w:val="22"/>
                <w:szCs w:val="22"/>
              </w:rPr>
            </w:pPr>
            <w:r w:rsidRPr="005F7D29">
              <w:rPr>
                <w:color w:val="000000"/>
                <w:sz w:val="22"/>
                <w:szCs w:val="22"/>
              </w:rPr>
              <w:t>1.92</w:t>
            </w:r>
          </w:p>
        </w:tc>
        <w:tc>
          <w:tcPr>
            <w:tcW w:w="695" w:type="pct"/>
            <w:shd w:val="clear" w:color="auto" w:fill="auto"/>
            <w:noWrap/>
            <w:vAlign w:val="center"/>
            <w:hideMark/>
          </w:tcPr>
          <w:p w14:paraId="0B8785C6" w14:textId="77777777" w:rsidR="0080741E" w:rsidRPr="005F7D29" w:rsidRDefault="0080741E">
            <w:pPr>
              <w:rPr>
                <w:color w:val="000000"/>
                <w:sz w:val="22"/>
                <w:szCs w:val="22"/>
              </w:rPr>
            </w:pPr>
            <w:r w:rsidRPr="005F7D29">
              <w:rPr>
                <w:color w:val="000000"/>
                <w:sz w:val="22"/>
                <w:szCs w:val="22"/>
              </w:rPr>
              <w:t>1.41</w:t>
            </w:r>
          </w:p>
        </w:tc>
        <w:tc>
          <w:tcPr>
            <w:tcW w:w="695" w:type="pct"/>
            <w:shd w:val="clear" w:color="auto" w:fill="auto"/>
            <w:noWrap/>
            <w:vAlign w:val="center"/>
            <w:hideMark/>
          </w:tcPr>
          <w:p w14:paraId="6923BC04" w14:textId="77777777" w:rsidR="0080741E" w:rsidRPr="005F7D29" w:rsidRDefault="0080741E">
            <w:pPr>
              <w:rPr>
                <w:color w:val="000000"/>
                <w:sz w:val="22"/>
                <w:szCs w:val="22"/>
              </w:rPr>
            </w:pPr>
            <w:r w:rsidRPr="005F7D29">
              <w:rPr>
                <w:color w:val="000000"/>
                <w:sz w:val="22"/>
                <w:szCs w:val="22"/>
              </w:rPr>
              <w:t>0.98</w:t>
            </w:r>
          </w:p>
        </w:tc>
        <w:tc>
          <w:tcPr>
            <w:tcW w:w="695" w:type="pct"/>
            <w:shd w:val="clear" w:color="auto" w:fill="auto"/>
            <w:noWrap/>
            <w:vAlign w:val="center"/>
            <w:hideMark/>
          </w:tcPr>
          <w:p w14:paraId="1AF0E369" w14:textId="77777777" w:rsidR="0080741E" w:rsidRPr="005F7D29" w:rsidRDefault="0080741E">
            <w:pPr>
              <w:rPr>
                <w:color w:val="000000"/>
                <w:sz w:val="22"/>
                <w:szCs w:val="22"/>
              </w:rPr>
            </w:pPr>
            <w:r w:rsidRPr="005F7D29">
              <w:rPr>
                <w:color w:val="000000"/>
                <w:sz w:val="22"/>
                <w:szCs w:val="22"/>
              </w:rPr>
              <w:t>1.69</w:t>
            </w:r>
          </w:p>
        </w:tc>
        <w:tc>
          <w:tcPr>
            <w:tcW w:w="696" w:type="pct"/>
            <w:shd w:val="clear" w:color="auto" w:fill="auto"/>
            <w:noWrap/>
            <w:vAlign w:val="center"/>
            <w:hideMark/>
          </w:tcPr>
          <w:p w14:paraId="2650F396" w14:textId="77777777" w:rsidR="0080741E" w:rsidRPr="005F7D29" w:rsidRDefault="0080741E">
            <w:pPr>
              <w:rPr>
                <w:color w:val="000000"/>
                <w:sz w:val="22"/>
                <w:szCs w:val="22"/>
              </w:rPr>
            </w:pPr>
            <w:r w:rsidRPr="005F7D29">
              <w:rPr>
                <w:color w:val="000000"/>
                <w:sz w:val="22"/>
                <w:szCs w:val="22"/>
              </w:rPr>
              <w:t>1.95</w:t>
            </w:r>
          </w:p>
        </w:tc>
      </w:tr>
      <w:tr w:rsidR="0080741E" w14:paraId="1CD6AB56" w14:textId="77777777" w:rsidTr="00DC2123">
        <w:trPr>
          <w:trHeight w:val="320"/>
        </w:trPr>
        <w:tc>
          <w:tcPr>
            <w:tcW w:w="1524" w:type="pct"/>
            <w:shd w:val="clear" w:color="auto" w:fill="auto"/>
            <w:noWrap/>
            <w:vAlign w:val="center"/>
            <w:hideMark/>
          </w:tcPr>
          <w:p w14:paraId="56D391CC" w14:textId="77777777" w:rsidR="0080741E" w:rsidRDefault="0080741E">
            <w:pPr>
              <w:rPr>
                <w:rFonts w:ascii="Calibri" w:hAnsi="Calibri" w:cs="Calibri"/>
                <w:color w:val="000000"/>
                <w:sz w:val="22"/>
                <w:szCs w:val="22"/>
              </w:rPr>
            </w:pPr>
          </w:p>
        </w:tc>
        <w:tc>
          <w:tcPr>
            <w:tcW w:w="695" w:type="pct"/>
            <w:shd w:val="clear" w:color="auto" w:fill="auto"/>
            <w:noWrap/>
            <w:vAlign w:val="center"/>
            <w:hideMark/>
          </w:tcPr>
          <w:p w14:paraId="0D8D27CA" w14:textId="77777777" w:rsidR="0080741E" w:rsidRPr="005F7D29" w:rsidRDefault="0080741E">
            <w:pPr>
              <w:rPr>
                <w:color w:val="000000"/>
                <w:sz w:val="22"/>
                <w:szCs w:val="22"/>
              </w:rPr>
            </w:pPr>
            <w:r w:rsidRPr="005F7D29">
              <w:rPr>
                <w:color w:val="000000"/>
                <w:sz w:val="22"/>
                <w:szCs w:val="22"/>
              </w:rPr>
              <w:t>[0.87,4.27]</w:t>
            </w:r>
          </w:p>
        </w:tc>
        <w:tc>
          <w:tcPr>
            <w:tcW w:w="695" w:type="pct"/>
            <w:shd w:val="clear" w:color="auto" w:fill="auto"/>
            <w:noWrap/>
            <w:vAlign w:val="center"/>
            <w:hideMark/>
          </w:tcPr>
          <w:p w14:paraId="7B3C1A57" w14:textId="77777777" w:rsidR="0080741E" w:rsidRPr="005F7D29" w:rsidRDefault="0080741E">
            <w:pPr>
              <w:rPr>
                <w:color w:val="000000"/>
                <w:sz w:val="22"/>
                <w:szCs w:val="22"/>
              </w:rPr>
            </w:pPr>
            <w:r w:rsidRPr="005F7D29">
              <w:rPr>
                <w:color w:val="000000"/>
                <w:sz w:val="22"/>
                <w:szCs w:val="22"/>
              </w:rPr>
              <w:t>[0.43,4.61]</w:t>
            </w:r>
          </w:p>
        </w:tc>
        <w:tc>
          <w:tcPr>
            <w:tcW w:w="695" w:type="pct"/>
            <w:shd w:val="clear" w:color="auto" w:fill="auto"/>
            <w:noWrap/>
            <w:vAlign w:val="center"/>
            <w:hideMark/>
          </w:tcPr>
          <w:p w14:paraId="4BCB7105" w14:textId="77777777" w:rsidR="0080741E" w:rsidRPr="005F7D29" w:rsidRDefault="0080741E">
            <w:pPr>
              <w:rPr>
                <w:color w:val="000000"/>
                <w:sz w:val="22"/>
                <w:szCs w:val="22"/>
              </w:rPr>
            </w:pPr>
            <w:r w:rsidRPr="005F7D29">
              <w:rPr>
                <w:color w:val="000000"/>
                <w:sz w:val="22"/>
                <w:szCs w:val="22"/>
              </w:rPr>
              <w:t>[0.25,3.84]</w:t>
            </w:r>
          </w:p>
        </w:tc>
        <w:tc>
          <w:tcPr>
            <w:tcW w:w="695" w:type="pct"/>
            <w:shd w:val="clear" w:color="auto" w:fill="auto"/>
            <w:noWrap/>
            <w:vAlign w:val="center"/>
            <w:hideMark/>
          </w:tcPr>
          <w:p w14:paraId="56BB9891" w14:textId="77777777" w:rsidR="0080741E" w:rsidRPr="005F7D29" w:rsidRDefault="0080741E">
            <w:pPr>
              <w:rPr>
                <w:color w:val="000000"/>
                <w:sz w:val="22"/>
                <w:szCs w:val="22"/>
              </w:rPr>
            </w:pPr>
            <w:r w:rsidRPr="005F7D29">
              <w:rPr>
                <w:color w:val="000000"/>
                <w:sz w:val="22"/>
                <w:szCs w:val="22"/>
              </w:rPr>
              <w:t>[0.38,7.49]</w:t>
            </w:r>
          </w:p>
        </w:tc>
        <w:tc>
          <w:tcPr>
            <w:tcW w:w="696" w:type="pct"/>
            <w:shd w:val="clear" w:color="auto" w:fill="auto"/>
            <w:noWrap/>
            <w:vAlign w:val="center"/>
            <w:hideMark/>
          </w:tcPr>
          <w:p w14:paraId="75D8E503" w14:textId="77777777" w:rsidR="0080741E" w:rsidRPr="005F7D29" w:rsidRDefault="0080741E">
            <w:pPr>
              <w:rPr>
                <w:color w:val="000000"/>
                <w:sz w:val="22"/>
                <w:szCs w:val="22"/>
              </w:rPr>
            </w:pPr>
            <w:r w:rsidRPr="005F7D29">
              <w:rPr>
                <w:color w:val="000000"/>
                <w:sz w:val="22"/>
                <w:szCs w:val="22"/>
              </w:rPr>
              <w:t>[0.73,5.22]</w:t>
            </w:r>
          </w:p>
        </w:tc>
      </w:tr>
      <w:tr w:rsidR="0080741E" w14:paraId="2AE15BB1" w14:textId="77777777" w:rsidTr="00DC2123">
        <w:trPr>
          <w:trHeight w:val="320"/>
        </w:trPr>
        <w:tc>
          <w:tcPr>
            <w:tcW w:w="1524" w:type="pct"/>
            <w:shd w:val="clear" w:color="auto" w:fill="auto"/>
            <w:noWrap/>
            <w:vAlign w:val="center"/>
            <w:hideMark/>
          </w:tcPr>
          <w:p w14:paraId="7277D6D5" w14:textId="77777777" w:rsidR="0080741E" w:rsidRDefault="0080741E">
            <w:pPr>
              <w:rPr>
                <w:color w:val="000000"/>
                <w:sz w:val="22"/>
                <w:szCs w:val="22"/>
              </w:rPr>
            </w:pPr>
            <w:r>
              <w:rPr>
                <w:color w:val="000000"/>
                <w:sz w:val="22"/>
                <w:szCs w:val="22"/>
              </w:rPr>
              <w:t>Cancer</w:t>
            </w:r>
          </w:p>
        </w:tc>
        <w:tc>
          <w:tcPr>
            <w:tcW w:w="695" w:type="pct"/>
            <w:shd w:val="clear" w:color="auto" w:fill="auto"/>
            <w:noWrap/>
            <w:vAlign w:val="center"/>
            <w:hideMark/>
          </w:tcPr>
          <w:p w14:paraId="7A79AC5A" w14:textId="77777777" w:rsidR="0080741E" w:rsidRPr="005F7D29" w:rsidRDefault="0080741E">
            <w:pPr>
              <w:rPr>
                <w:color w:val="000000"/>
                <w:sz w:val="22"/>
                <w:szCs w:val="22"/>
              </w:rPr>
            </w:pPr>
            <w:r w:rsidRPr="005F7D29">
              <w:rPr>
                <w:color w:val="000000"/>
                <w:sz w:val="22"/>
                <w:szCs w:val="22"/>
              </w:rPr>
              <w:t>1.32*</w:t>
            </w:r>
          </w:p>
        </w:tc>
        <w:tc>
          <w:tcPr>
            <w:tcW w:w="695" w:type="pct"/>
            <w:shd w:val="clear" w:color="auto" w:fill="auto"/>
            <w:noWrap/>
            <w:vAlign w:val="center"/>
            <w:hideMark/>
          </w:tcPr>
          <w:p w14:paraId="28D5E604" w14:textId="77777777" w:rsidR="0080741E" w:rsidRPr="005F7D29" w:rsidRDefault="0080741E">
            <w:pPr>
              <w:rPr>
                <w:color w:val="000000"/>
                <w:sz w:val="22"/>
                <w:szCs w:val="22"/>
              </w:rPr>
            </w:pPr>
            <w:r w:rsidRPr="005F7D29">
              <w:rPr>
                <w:color w:val="000000"/>
                <w:sz w:val="22"/>
                <w:szCs w:val="22"/>
              </w:rPr>
              <w:t>1.22</w:t>
            </w:r>
          </w:p>
        </w:tc>
        <w:tc>
          <w:tcPr>
            <w:tcW w:w="695" w:type="pct"/>
            <w:shd w:val="clear" w:color="auto" w:fill="auto"/>
            <w:noWrap/>
            <w:vAlign w:val="center"/>
            <w:hideMark/>
          </w:tcPr>
          <w:p w14:paraId="30E601E5" w14:textId="77777777" w:rsidR="0080741E" w:rsidRPr="005F7D29" w:rsidRDefault="0080741E">
            <w:pPr>
              <w:rPr>
                <w:color w:val="000000"/>
                <w:sz w:val="22"/>
                <w:szCs w:val="22"/>
              </w:rPr>
            </w:pPr>
            <w:r w:rsidRPr="005F7D29">
              <w:rPr>
                <w:color w:val="000000"/>
                <w:sz w:val="22"/>
                <w:szCs w:val="22"/>
              </w:rPr>
              <w:t>1.05</w:t>
            </w:r>
          </w:p>
        </w:tc>
        <w:tc>
          <w:tcPr>
            <w:tcW w:w="695" w:type="pct"/>
            <w:shd w:val="clear" w:color="auto" w:fill="auto"/>
            <w:noWrap/>
            <w:vAlign w:val="center"/>
            <w:hideMark/>
          </w:tcPr>
          <w:p w14:paraId="02E36AE3" w14:textId="77777777" w:rsidR="0080741E" w:rsidRPr="005F7D29" w:rsidRDefault="0080741E">
            <w:pPr>
              <w:rPr>
                <w:color w:val="000000"/>
                <w:sz w:val="22"/>
                <w:szCs w:val="22"/>
              </w:rPr>
            </w:pPr>
            <w:r w:rsidRPr="005F7D29">
              <w:rPr>
                <w:color w:val="000000"/>
                <w:sz w:val="22"/>
                <w:szCs w:val="22"/>
              </w:rPr>
              <w:t>1.23</w:t>
            </w:r>
          </w:p>
        </w:tc>
        <w:tc>
          <w:tcPr>
            <w:tcW w:w="696" w:type="pct"/>
            <w:shd w:val="clear" w:color="auto" w:fill="auto"/>
            <w:noWrap/>
            <w:vAlign w:val="center"/>
            <w:hideMark/>
          </w:tcPr>
          <w:p w14:paraId="69883EE2" w14:textId="77777777" w:rsidR="0080741E" w:rsidRPr="005F7D29" w:rsidRDefault="0080741E">
            <w:pPr>
              <w:rPr>
                <w:color w:val="000000"/>
                <w:sz w:val="22"/>
                <w:szCs w:val="22"/>
              </w:rPr>
            </w:pPr>
            <w:r w:rsidRPr="005F7D29">
              <w:rPr>
                <w:color w:val="000000"/>
                <w:sz w:val="22"/>
                <w:szCs w:val="22"/>
              </w:rPr>
              <w:t>0.83</w:t>
            </w:r>
          </w:p>
        </w:tc>
      </w:tr>
      <w:tr w:rsidR="0080741E" w14:paraId="73393B23" w14:textId="77777777" w:rsidTr="00DC2123">
        <w:trPr>
          <w:trHeight w:val="320"/>
        </w:trPr>
        <w:tc>
          <w:tcPr>
            <w:tcW w:w="1524" w:type="pct"/>
            <w:shd w:val="clear" w:color="auto" w:fill="auto"/>
            <w:noWrap/>
            <w:vAlign w:val="center"/>
            <w:hideMark/>
          </w:tcPr>
          <w:p w14:paraId="22875BE3" w14:textId="77777777" w:rsidR="0080741E" w:rsidRDefault="0080741E">
            <w:pPr>
              <w:rPr>
                <w:rFonts w:ascii="Calibri" w:hAnsi="Calibri" w:cs="Calibri"/>
                <w:color w:val="000000"/>
                <w:sz w:val="22"/>
                <w:szCs w:val="22"/>
              </w:rPr>
            </w:pPr>
          </w:p>
        </w:tc>
        <w:tc>
          <w:tcPr>
            <w:tcW w:w="695" w:type="pct"/>
            <w:shd w:val="clear" w:color="auto" w:fill="auto"/>
            <w:noWrap/>
            <w:vAlign w:val="center"/>
            <w:hideMark/>
          </w:tcPr>
          <w:p w14:paraId="3DDCCAFD" w14:textId="77777777" w:rsidR="0080741E" w:rsidRPr="005F7D29" w:rsidRDefault="0080741E">
            <w:pPr>
              <w:rPr>
                <w:color w:val="000000"/>
                <w:sz w:val="22"/>
                <w:szCs w:val="22"/>
              </w:rPr>
            </w:pPr>
            <w:r w:rsidRPr="005F7D29">
              <w:rPr>
                <w:color w:val="000000"/>
                <w:sz w:val="22"/>
                <w:szCs w:val="22"/>
              </w:rPr>
              <w:t>[1.05,1.66]</w:t>
            </w:r>
          </w:p>
        </w:tc>
        <w:tc>
          <w:tcPr>
            <w:tcW w:w="695" w:type="pct"/>
            <w:shd w:val="clear" w:color="auto" w:fill="auto"/>
            <w:noWrap/>
            <w:vAlign w:val="center"/>
            <w:hideMark/>
          </w:tcPr>
          <w:p w14:paraId="5A64163D" w14:textId="77777777" w:rsidR="0080741E" w:rsidRPr="005F7D29" w:rsidRDefault="0080741E">
            <w:pPr>
              <w:rPr>
                <w:color w:val="000000"/>
                <w:sz w:val="22"/>
                <w:szCs w:val="22"/>
              </w:rPr>
            </w:pPr>
            <w:r w:rsidRPr="005F7D29">
              <w:rPr>
                <w:color w:val="000000"/>
                <w:sz w:val="22"/>
                <w:szCs w:val="22"/>
              </w:rPr>
              <w:t>[0.74,2.01]</w:t>
            </w:r>
          </w:p>
        </w:tc>
        <w:tc>
          <w:tcPr>
            <w:tcW w:w="695" w:type="pct"/>
            <w:shd w:val="clear" w:color="auto" w:fill="auto"/>
            <w:noWrap/>
            <w:vAlign w:val="center"/>
            <w:hideMark/>
          </w:tcPr>
          <w:p w14:paraId="4CB60331" w14:textId="77777777" w:rsidR="0080741E" w:rsidRPr="005F7D29" w:rsidRDefault="0080741E">
            <w:pPr>
              <w:rPr>
                <w:color w:val="000000"/>
                <w:sz w:val="22"/>
                <w:szCs w:val="22"/>
              </w:rPr>
            </w:pPr>
            <w:r w:rsidRPr="005F7D29">
              <w:rPr>
                <w:color w:val="000000"/>
                <w:sz w:val="22"/>
                <w:szCs w:val="22"/>
              </w:rPr>
              <w:t>[0.69,1.61]</w:t>
            </w:r>
          </w:p>
        </w:tc>
        <w:tc>
          <w:tcPr>
            <w:tcW w:w="695" w:type="pct"/>
            <w:shd w:val="clear" w:color="auto" w:fill="auto"/>
            <w:noWrap/>
            <w:vAlign w:val="center"/>
            <w:hideMark/>
          </w:tcPr>
          <w:p w14:paraId="7DA55141" w14:textId="77777777" w:rsidR="0080741E" w:rsidRPr="005F7D29" w:rsidRDefault="0080741E">
            <w:pPr>
              <w:rPr>
                <w:color w:val="000000"/>
                <w:sz w:val="22"/>
                <w:szCs w:val="22"/>
              </w:rPr>
            </w:pPr>
            <w:r w:rsidRPr="005F7D29">
              <w:rPr>
                <w:color w:val="000000"/>
                <w:sz w:val="22"/>
                <w:szCs w:val="22"/>
              </w:rPr>
              <w:t>[0.88,1.72]</w:t>
            </w:r>
          </w:p>
        </w:tc>
        <w:tc>
          <w:tcPr>
            <w:tcW w:w="696" w:type="pct"/>
            <w:shd w:val="clear" w:color="auto" w:fill="auto"/>
            <w:noWrap/>
            <w:vAlign w:val="center"/>
            <w:hideMark/>
          </w:tcPr>
          <w:p w14:paraId="4A2B1E61" w14:textId="77777777" w:rsidR="0080741E" w:rsidRPr="005F7D29" w:rsidRDefault="0080741E">
            <w:pPr>
              <w:rPr>
                <w:color w:val="000000"/>
                <w:sz w:val="22"/>
                <w:szCs w:val="22"/>
              </w:rPr>
            </w:pPr>
            <w:r w:rsidRPr="005F7D29">
              <w:rPr>
                <w:color w:val="000000"/>
                <w:sz w:val="22"/>
                <w:szCs w:val="22"/>
              </w:rPr>
              <w:t>[0.44,1.54]</w:t>
            </w:r>
          </w:p>
        </w:tc>
      </w:tr>
      <w:tr w:rsidR="0080741E" w14:paraId="36706B97" w14:textId="77777777" w:rsidTr="00DC2123">
        <w:trPr>
          <w:trHeight w:val="320"/>
        </w:trPr>
        <w:tc>
          <w:tcPr>
            <w:tcW w:w="1524" w:type="pct"/>
            <w:shd w:val="clear" w:color="auto" w:fill="auto"/>
            <w:noWrap/>
            <w:vAlign w:val="center"/>
            <w:hideMark/>
          </w:tcPr>
          <w:p w14:paraId="759EADFD" w14:textId="77777777" w:rsidR="0080741E" w:rsidRDefault="0080741E">
            <w:pPr>
              <w:rPr>
                <w:color w:val="000000"/>
                <w:sz w:val="22"/>
                <w:szCs w:val="22"/>
              </w:rPr>
            </w:pPr>
            <w:r>
              <w:rPr>
                <w:color w:val="000000"/>
                <w:sz w:val="22"/>
                <w:szCs w:val="22"/>
              </w:rPr>
              <w:t>Cataracts/eyesight problems</w:t>
            </w:r>
          </w:p>
        </w:tc>
        <w:tc>
          <w:tcPr>
            <w:tcW w:w="695" w:type="pct"/>
            <w:shd w:val="clear" w:color="auto" w:fill="auto"/>
            <w:noWrap/>
            <w:vAlign w:val="center"/>
            <w:hideMark/>
          </w:tcPr>
          <w:p w14:paraId="6385C1E9" w14:textId="77777777" w:rsidR="0080741E" w:rsidRPr="005F7D29" w:rsidRDefault="0080741E">
            <w:pPr>
              <w:rPr>
                <w:color w:val="000000"/>
                <w:sz w:val="22"/>
                <w:szCs w:val="22"/>
              </w:rPr>
            </w:pPr>
            <w:r w:rsidRPr="005F7D29">
              <w:rPr>
                <w:color w:val="000000"/>
                <w:sz w:val="22"/>
                <w:szCs w:val="22"/>
              </w:rPr>
              <w:t>1.58*</w:t>
            </w:r>
          </w:p>
        </w:tc>
        <w:tc>
          <w:tcPr>
            <w:tcW w:w="695" w:type="pct"/>
            <w:shd w:val="clear" w:color="auto" w:fill="auto"/>
            <w:noWrap/>
            <w:vAlign w:val="center"/>
            <w:hideMark/>
          </w:tcPr>
          <w:p w14:paraId="1D6D035B" w14:textId="77777777" w:rsidR="0080741E" w:rsidRPr="005F7D29" w:rsidRDefault="0080741E">
            <w:pPr>
              <w:rPr>
                <w:color w:val="000000"/>
                <w:sz w:val="22"/>
                <w:szCs w:val="22"/>
              </w:rPr>
            </w:pPr>
            <w:r w:rsidRPr="005F7D29">
              <w:rPr>
                <w:color w:val="000000"/>
                <w:sz w:val="22"/>
                <w:szCs w:val="22"/>
              </w:rPr>
              <w:t>1.02</w:t>
            </w:r>
          </w:p>
        </w:tc>
        <w:tc>
          <w:tcPr>
            <w:tcW w:w="695" w:type="pct"/>
            <w:shd w:val="clear" w:color="auto" w:fill="auto"/>
            <w:noWrap/>
            <w:vAlign w:val="center"/>
            <w:hideMark/>
          </w:tcPr>
          <w:p w14:paraId="7A266943" w14:textId="77777777" w:rsidR="0080741E" w:rsidRPr="005F7D29" w:rsidRDefault="0080741E">
            <w:pPr>
              <w:rPr>
                <w:color w:val="000000"/>
                <w:sz w:val="22"/>
                <w:szCs w:val="22"/>
              </w:rPr>
            </w:pPr>
            <w:r w:rsidRPr="005F7D29">
              <w:rPr>
                <w:color w:val="000000"/>
                <w:sz w:val="22"/>
                <w:szCs w:val="22"/>
              </w:rPr>
              <w:t>0.80</w:t>
            </w:r>
          </w:p>
        </w:tc>
        <w:tc>
          <w:tcPr>
            <w:tcW w:w="695" w:type="pct"/>
            <w:shd w:val="clear" w:color="auto" w:fill="auto"/>
            <w:noWrap/>
            <w:vAlign w:val="center"/>
            <w:hideMark/>
          </w:tcPr>
          <w:p w14:paraId="2EA119D0" w14:textId="77777777" w:rsidR="0080741E" w:rsidRPr="005F7D29" w:rsidRDefault="0080741E">
            <w:pPr>
              <w:rPr>
                <w:color w:val="000000"/>
                <w:sz w:val="22"/>
                <w:szCs w:val="22"/>
              </w:rPr>
            </w:pPr>
            <w:r w:rsidRPr="005F7D29">
              <w:rPr>
                <w:color w:val="000000"/>
                <w:sz w:val="22"/>
                <w:szCs w:val="22"/>
              </w:rPr>
              <w:t>1.11</w:t>
            </w:r>
          </w:p>
        </w:tc>
        <w:tc>
          <w:tcPr>
            <w:tcW w:w="696" w:type="pct"/>
            <w:shd w:val="clear" w:color="auto" w:fill="auto"/>
            <w:noWrap/>
            <w:vAlign w:val="center"/>
            <w:hideMark/>
          </w:tcPr>
          <w:p w14:paraId="75681EBF" w14:textId="77777777" w:rsidR="0080741E" w:rsidRPr="005F7D29" w:rsidRDefault="0080741E">
            <w:pPr>
              <w:rPr>
                <w:color w:val="000000"/>
                <w:sz w:val="22"/>
                <w:szCs w:val="22"/>
              </w:rPr>
            </w:pPr>
            <w:r w:rsidRPr="005F7D29">
              <w:rPr>
                <w:color w:val="000000"/>
                <w:sz w:val="22"/>
                <w:szCs w:val="22"/>
              </w:rPr>
              <w:t>1.92</w:t>
            </w:r>
          </w:p>
        </w:tc>
      </w:tr>
      <w:tr w:rsidR="0080741E" w14:paraId="46A56E7B" w14:textId="77777777" w:rsidTr="00DC2123">
        <w:trPr>
          <w:trHeight w:val="320"/>
        </w:trPr>
        <w:tc>
          <w:tcPr>
            <w:tcW w:w="1524" w:type="pct"/>
            <w:shd w:val="clear" w:color="auto" w:fill="auto"/>
            <w:noWrap/>
            <w:vAlign w:val="center"/>
            <w:hideMark/>
          </w:tcPr>
          <w:p w14:paraId="11DC5068" w14:textId="77777777" w:rsidR="0080741E" w:rsidRDefault="0080741E">
            <w:pPr>
              <w:rPr>
                <w:rFonts w:ascii="Calibri" w:hAnsi="Calibri" w:cs="Calibri"/>
                <w:color w:val="000000"/>
                <w:sz w:val="22"/>
                <w:szCs w:val="22"/>
              </w:rPr>
            </w:pPr>
          </w:p>
        </w:tc>
        <w:tc>
          <w:tcPr>
            <w:tcW w:w="695" w:type="pct"/>
            <w:shd w:val="clear" w:color="auto" w:fill="auto"/>
            <w:noWrap/>
            <w:vAlign w:val="center"/>
            <w:hideMark/>
          </w:tcPr>
          <w:p w14:paraId="4C05635F" w14:textId="77777777" w:rsidR="0080741E" w:rsidRPr="005F7D29" w:rsidRDefault="0080741E">
            <w:pPr>
              <w:rPr>
                <w:color w:val="000000"/>
                <w:sz w:val="22"/>
                <w:szCs w:val="22"/>
              </w:rPr>
            </w:pPr>
            <w:r w:rsidRPr="005F7D29">
              <w:rPr>
                <w:color w:val="000000"/>
                <w:sz w:val="22"/>
                <w:szCs w:val="22"/>
              </w:rPr>
              <w:t>[1.10,2.27]</w:t>
            </w:r>
          </w:p>
        </w:tc>
        <w:tc>
          <w:tcPr>
            <w:tcW w:w="695" w:type="pct"/>
            <w:shd w:val="clear" w:color="auto" w:fill="auto"/>
            <w:noWrap/>
            <w:vAlign w:val="center"/>
            <w:hideMark/>
          </w:tcPr>
          <w:p w14:paraId="05C21931" w14:textId="77777777" w:rsidR="0080741E" w:rsidRPr="005F7D29" w:rsidRDefault="0080741E">
            <w:pPr>
              <w:rPr>
                <w:color w:val="000000"/>
                <w:sz w:val="22"/>
                <w:szCs w:val="22"/>
              </w:rPr>
            </w:pPr>
            <w:r w:rsidRPr="005F7D29">
              <w:rPr>
                <w:color w:val="000000"/>
                <w:sz w:val="22"/>
                <w:szCs w:val="22"/>
              </w:rPr>
              <w:t>[0.38,2.75]</w:t>
            </w:r>
          </w:p>
        </w:tc>
        <w:tc>
          <w:tcPr>
            <w:tcW w:w="695" w:type="pct"/>
            <w:shd w:val="clear" w:color="auto" w:fill="auto"/>
            <w:noWrap/>
            <w:vAlign w:val="center"/>
            <w:hideMark/>
          </w:tcPr>
          <w:p w14:paraId="024D32F0" w14:textId="77777777" w:rsidR="0080741E" w:rsidRPr="005F7D29" w:rsidRDefault="0080741E">
            <w:pPr>
              <w:rPr>
                <w:color w:val="000000"/>
                <w:sz w:val="22"/>
                <w:szCs w:val="22"/>
              </w:rPr>
            </w:pPr>
            <w:r w:rsidRPr="005F7D29">
              <w:rPr>
                <w:color w:val="000000"/>
                <w:sz w:val="22"/>
                <w:szCs w:val="22"/>
              </w:rPr>
              <w:t>[0.41,1.56]</w:t>
            </w:r>
          </w:p>
        </w:tc>
        <w:tc>
          <w:tcPr>
            <w:tcW w:w="695" w:type="pct"/>
            <w:shd w:val="clear" w:color="auto" w:fill="auto"/>
            <w:noWrap/>
            <w:vAlign w:val="center"/>
            <w:hideMark/>
          </w:tcPr>
          <w:p w14:paraId="66A7D543" w14:textId="77777777" w:rsidR="0080741E" w:rsidRPr="005F7D29" w:rsidRDefault="0080741E">
            <w:pPr>
              <w:rPr>
                <w:color w:val="000000"/>
                <w:sz w:val="22"/>
                <w:szCs w:val="22"/>
              </w:rPr>
            </w:pPr>
            <w:r w:rsidRPr="005F7D29">
              <w:rPr>
                <w:color w:val="000000"/>
                <w:sz w:val="22"/>
                <w:szCs w:val="22"/>
              </w:rPr>
              <w:t>[0.55,2.23]</w:t>
            </w:r>
          </w:p>
        </w:tc>
        <w:tc>
          <w:tcPr>
            <w:tcW w:w="696" w:type="pct"/>
            <w:shd w:val="clear" w:color="auto" w:fill="auto"/>
            <w:noWrap/>
            <w:vAlign w:val="center"/>
            <w:hideMark/>
          </w:tcPr>
          <w:p w14:paraId="4FAD4E66" w14:textId="77777777" w:rsidR="0080741E" w:rsidRPr="005F7D29" w:rsidRDefault="0080741E">
            <w:pPr>
              <w:rPr>
                <w:color w:val="000000"/>
                <w:sz w:val="22"/>
                <w:szCs w:val="22"/>
              </w:rPr>
            </w:pPr>
            <w:r w:rsidRPr="005F7D29">
              <w:rPr>
                <w:color w:val="000000"/>
                <w:sz w:val="22"/>
                <w:szCs w:val="22"/>
              </w:rPr>
              <w:t>[0.95,3.90]</w:t>
            </w:r>
          </w:p>
        </w:tc>
      </w:tr>
      <w:tr w:rsidR="0080741E" w14:paraId="13CEDEE2" w14:textId="77777777" w:rsidTr="00DC2123">
        <w:trPr>
          <w:trHeight w:val="320"/>
        </w:trPr>
        <w:tc>
          <w:tcPr>
            <w:tcW w:w="1524" w:type="pct"/>
            <w:shd w:val="clear" w:color="auto" w:fill="auto"/>
            <w:noWrap/>
            <w:vAlign w:val="center"/>
            <w:hideMark/>
          </w:tcPr>
          <w:p w14:paraId="538C2CD7" w14:textId="77777777" w:rsidR="0080741E" w:rsidRDefault="0080741E">
            <w:pPr>
              <w:rPr>
                <w:color w:val="000000"/>
                <w:sz w:val="22"/>
                <w:szCs w:val="22"/>
              </w:rPr>
            </w:pPr>
            <w:r>
              <w:rPr>
                <w:color w:val="000000"/>
                <w:sz w:val="22"/>
                <w:szCs w:val="22"/>
              </w:rPr>
              <w:t>Diabetes</w:t>
            </w:r>
          </w:p>
        </w:tc>
        <w:tc>
          <w:tcPr>
            <w:tcW w:w="695" w:type="pct"/>
            <w:shd w:val="clear" w:color="auto" w:fill="auto"/>
            <w:noWrap/>
            <w:vAlign w:val="center"/>
            <w:hideMark/>
          </w:tcPr>
          <w:p w14:paraId="43A10ADF" w14:textId="77777777" w:rsidR="0080741E" w:rsidRPr="005F7D29" w:rsidRDefault="0080741E">
            <w:pPr>
              <w:rPr>
                <w:color w:val="000000"/>
                <w:sz w:val="22"/>
                <w:szCs w:val="22"/>
              </w:rPr>
            </w:pPr>
            <w:r w:rsidRPr="005F7D29">
              <w:rPr>
                <w:color w:val="000000"/>
                <w:sz w:val="22"/>
                <w:szCs w:val="22"/>
              </w:rPr>
              <w:t>1.10</w:t>
            </w:r>
          </w:p>
        </w:tc>
        <w:tc>
          <w:tcPr>
            <w:tcW w:w="695" w:type="pct"/>
            <w:shd w:val="clear" w:color="auto" w:fill="auto"/>
            <w:noWrap/>
            <w:vAlign w:val="center"/>
            <w:hideMark/>
          </w:tcPr>
          <w:p w14:paraId="142AF3E4" w14:textId="77777777" w:rsidR="0080741E" w:rsidRPr="005F7D29" w:rsidRDefault="0080741E">
            <w:pPr>
              <w:rPr>
                <w:color w:val="000000"/>
                <w:sz w:val="22"/>
                <w:szCs w:val="22"/>
              </w:rPr>
            </w:pPr>
            <w:r w:rsidRPr="005F7D29">
              <w:rPr>
                <w:color w:val="000000"/>
                <w:sz w:val="22"/>
                <w:szCs w:val="22"/>
              </w:rPr>
              <w:t>1.38</w:t>
            </w:r>
          </w:p>
        </w:tc>
        <w:tc>
          <w:tcPr>
            <w:tcW w:w="695" w:type="pct"/>
            <w:shd w:val="clear" w:color="auto" w:fill="auto"/>
            <w:noWrap/>
            <w:vAlign w:val="center"/>
            <w:hideMark/>
          </w:tcPr>
          <w:p w14:paraId="4EDB345D" w14:textId="77777777" w:rsidR="0080741E" w:rsidRPr="005F7D29" w:rsidRDefault="0080741E">
            <w:pPr>
              <w:rPr>
                <w:color w:val="000000"/>
                <w:sz w:val="22"/>
                <w:szCs w:val="22"/>
              </w:rPr>
            </w:pPr>
            <w:r w:rsidRPr="005F7D29">
              <w:rPr>
                <w:color w:val="000000"/>
                <w:sz w:val="22"/>
                <w:szCs w:val="22"/>
              </w:rPr>
              <w:t>1.87*</w:t>
            </w:r>
          </w:p>
        </w:tc>
        <w:tc>
          <w:tcPr>
            <w:tcW w:w="695" w:type="pct"/>
            <w:shd w:val="clear" w:color="auto" w:fill="auto"/>
            <w:noWrap/>
            <w:vAlign w:val="center"/>
            <w:hideMark/>
          </w:tcPr>
          <w:p w14:paraId="4A74B903" w14:textId="77777777" w:rsidR="0080741E" w:rsidRPr="005F7D29" w:rsidRDefault="0080741E">
            <w:pPr>
              <w:rPr>
                <w:color w:val="000000"/>
                <w:sz w:val="22"/>
                <w:szCs w:val="22"/>
              </w:rPr>
            </w:pPr>
            <w:r w:rsidRPr="005F7D29">
              <w:rPr>
                <w:color w:val="000000"/>
                <w:sz w:val="22"/>
                <w:szCs w:val="22"/>
              </w:rPr>
              <w:t>1.05</w:t>
            </w:r>
          </w:p>
        </w:tc>
        <w:tc>
          <w:tcPr>
            <w:tcW w:w="696" w:type="pct"/>
            <w:shd w:val="clear" w:color="auto" w:fill="auto"/>
            <w:noWrap/>
            <w:vAlign w:val="center"/>
            <w:hideMark/>
          </w:tcPr>
          <w:p w14:paraId="7AEA9123" w14:textId="77777777" w:rsidR="0080741E" w:rsidRPr="005F7D29" w:rsidRDefault="0080741E">
            <w:pPr>
              <w:rPr>
                <w:color w:val="000000"/>
                <w:sz w:val="22"/>
                <w:szCs w:val="22"/>
              </w:rPr>
            </w:pPr>
            <w:r w:rsidRPr="005F7D29">
              <w:rPr>
                <w:color w:val="000000"/>
                <w:sz w:val="22"/>
                <w:szCs w:val="22"/>
              </w:rPr>
              <w:t>1.87</w:t>
            </w:r>
          </w:p>
        </w:tc>
      </w:tr>
      <w:tr w:rsidR="0080741E" w14:paraId="58287278" w14:textId="77777777" w:rsidTr="00DC2123">
        <w:trPr>
          <w:trHeight w:val="320"/>
        </w:trPr>
        <w:tc>
          <w:tcPr>
            <w:tcW w:w="1524" w:type="pct"/>
            <w:shd w:val="clear" w:color="auto" w:fill="auto"/>
            <w:noWrap/>
            <w:vAlign w:val="center"/>
            <w:hideMark/>
          </w:tcPr>
          <w:p w14:paraId="02493EA0" w14:textId="77777777" w:rsidR="0080741E" w:rsidRDefault="0080741E">
            <w:pPr>
              <w:rPr>
                <w:rFonts w:ascii="Calibri" w:hAnsi="Calibri" w:cs="Calibri"/>
                <w:color w:val="000000"/>
                <w:sz w:val="22"/>
                <w:szCs w:val="22"/>
              </w:rPr>
            </w:pPr>
          </w:p>
        </w:tc>
        <w:tc>
          <w:tcPr>
            <w:tcW w:w="695" w:type="pct"/>
            <w:shd w:val="clear" w:color="auto" w:fill="auto"/>
            <w:noWrap/>
            <w:vAlign w:val="center"/>
            <w:hideMark/>
          </w:tcPr>
          <w:p w14:paraId="4EF42E48" w14:textId="77777777" w:rsidR="0080741E" w:rsidRPr="005F7D29" w:rsidRDefault="0080741E">
            <w:pPr>
              <w:rPr>
                <w:color w:val="000000"/>
                <w:sz w:val="22"/>
                <w:szCs w:val="22"/>
              </w:rPr>
            </w:pPr>
            <w:r w:rsidRPr="005F7D29">
              <w:rPr>
                <w:color w:val="000000"/>
                <w:sz w:val="22"/>
                <w:szCs w:val="22"/>
              </w:rPr>
              <w:t>[0.78,1.54]</w:t>
            </w:r>
          </w:p>
        </w:tc>
        <w:tc>
          <w:tcPr>
            <w:tcW w:w="695" w:type="pct"/>
            <w:shd w:val="clear" w:color="auto" w:fill="auto"/>
            <w:noWrap/>
            <w:vAlign w:val="center"/>
            <w:hideMark/>
          </w:tcPr>
          <w:p w14:paraId="08A055CE" w14:textId="77777777" w:rsidR="0080741E" w:rsidRPr="005F7D29" w:rsidRDefault="0080741E">
            <w:pPr>
              <w:rPr>
                <w:color w:val="000000"/>
                <w:sz w:val="22"/>
                <w:szCs w:val="22"/>
              </w:rPr>
            </w:pPr>
            <w:r w:rsidRPr="005F7D29">
              <w:rPr>
                <w:color w:val="000000"/>
                <w:sz w:val="22"/>
                <w:szCs w:val="22"/>
              </w:rPr>
              <w:t>[0.66,2.87]</w:t>
            </w:r>
          </w:p>
        </w:tc>
        <w:tc>
          <w:tcPr>
            <w:tcW w:w="695" w:type="pct"/>
            <w:shd w:val="clear" w:color="auto" w:fill="auto"/>
            <w:noWrap/>
            <w:vAlign w:val="center"/>
            <w:hideMark/>
          </w:tcPr>
          <w:p w14:paraId="0A087B8F" w14:textId="77777777" w:rsidR="0080741E" w:rsidRPr="005F7D29" w:rsidRDefault="0080741E">
            <w:pPr>
              <w:rPr>
                <w:color w:val="000000"/>
                <w:sz w:val="22"/>
                <w:szCs w:val="22"/>
              </w:rPr>
            </w:pPr>
            <w:r w:rsidRPr="005F7D29">
              <w:rPr>
                <w:color w:val="000000"/>
                <w:sz w:val="22"/>
                <w:szCs w:val="22"/>
              </w:rPr>
              <w:t>[1.02,3.42]</w:t>
            </w:r>
          </w:p>
        </w:tc>
        <w:tc>
          <w:tcPr>
            <w:tcW w:w="695" w:type="pct"/>
            <w:shd w:val="clear" w:color="auto" w:fill="auto"/>
            <w:noWrap/>
            <w:vAlign w:val="center"/>
            <w:hideMark/>
          </w:tcPr>
          <w:p w14:paraId="0278C783" w14:textId="77777777" w:rsidR="0080741E" w:rsidRPr="005F7D29" w:rsidRDefault="0080741E">
            <w:pPr>
              <w:rPr>
                <w:color w:val="000000"/>
                <w:sz w:val="22"/>
                <w:szCs w:val="22"/>
              </w:rPr>
            </w:pPr>
            <w:r w:rsidRPr="005F7D29">
              <w:rPr>
                <w:color w:val="000000"/>
                <w:sz w:val="22"/>
                <w:szCs w:val="22"/>
              </w:rPr>
              <w:t>[0.53,2.07]</w:t>
            </w:r>
          </w:p>
        </w:tc>
        <w:tc>
          <w:tcPr>
            <w:tcW w:w="696" w:type="pct"/>
            <w:shd w:val="clear" w:color="auto" w:fill="auto"/>
            <w:noWrap/>
            <w:vAlign w:val="center"/>
            <w:hideMark/>
          </w:tcPr>
          <w:p w14:paraId="6E8AA6A8" w14:textId="77777777" w:rsidR="0080741E" w:rsidRPr="005F7D29" w:rsidRDefault="0080741E">
            <w:pPr>
              <w:rPr>
                <w:color w:val="000000"/>
                <w:sz w:val="22"/>
                <w:szCs w:val="22"/>
              </w:rPr>
            </w:pPr>
            <w:r w:rsidRPr="005F7D29">
              <w:rPr>
                <w:color w:val="000000"/>
                <w:sz w:val="22"/>
                <w:szCs w:val="22"/>
              </w:rPr>
              <w:t>[0.98,3.57]</w:t>
            </w:r>
          </w:p>
        </w:tc>
      </w:tr>
      <w:tr w:rsidR="0080741E" w14:paraId="1419D4C5" w14:textId="77777777" w:rsidTr="00DC2123">
        <w:trPr>
          <w:trHeight w:val="320"/>
        </w:trPr>
        <w:tc>
          <w:tcPr>
            <w:tcW w:w="1524" w:type="pct"/>
            <w:shd w:val="clear" w:color="auto" w:fill="auto"/>
            <w:noWrap/>
            <w:vAlign w:val="center"/>
            <w:hideMark/>
          </w:tcPr>
          <w:p w14:paraId="22BC44AE" w14:textId="77777777" w:rsidR="0080741E" w:rsidRDefault="0080741E">
            <w:pPr>
              <w:rPr>
                <w:color w:val="000000"/>
                <w:sz w:val="22"/>
                <w:szCs w:val="22"/>
              </w:rPr>
            </w:pPr>
            <w:r>
              <w:rPr>
                <w:color w:val="000000"/>
                <w:sz w:val="22"/>
                <w:szCs w:val="22"/>
              </w:rPr>
              <w:t>Ear/hearing problems</w:t>
            </w:r>
          </w:p>
        </w:tc>
        <w:tc>
          <w:tcPr>
            <w:tcW w:w="695" w:type="pct"/>
            <w:shd w:val="clear" w:color="auto" w:fill="auto"/>
            <w:noWrap/>
            <w:vAlign w:val="center"/>
            <w:hideMark/>
          </w:tcPr>
          <w:p w14:paraId="2BA38DF2" w14:textId="77777777" w:rsidR="0080741E" w:rsidRPr="005F7D29" w:rsidRDefault="0080741E">
            <w:pPr>
              <w:rPr>
                <w:color w:val="000000"/>
                <w:sz w:val="22"/>
                <w:szCs w:val="22"/>
              </w:rPr>
            </w:pPr>
            <w:r w:rsidRPr="005F7D29">
              <w:rPr>
                <w:color w:val="000000"/>
                <w:sz w:val="22"/>
                <w:szCs w:val="22"/>
              </w:rPr>
              <w:t>1.60</w:t>
            </w:r>
          </w:p>
        </w:tc>
        <w:tc>
          <w:tcPr>
            <w:tcW w:w="695" w:type="pct"/>
            <w:shd w:val="clear" w:color="auto" w:fill="auto"/>
            <w:noWrap/>
            <w:vAlign w:val="center"/>
            <w:hideMark/>
          </w:tcPr>
          <w:p w14:paraId="3C894260" w14:textId="77777777" w:rsidR="0080741E" w:rsidRPr="005F7D29" w:rsidRDefault="0080741E">
            <w:pPr>
              <w:rPr>
                <w:color w:val="000000"/>
                <w:sz w:val="22"/>
                <w:szCs w:val="22"/>
              </w:rPr>
            </w:pPr>
            <w:r w:rsidRPr="005F7D29">
              <w:rPr>
                <w:color w:val="000000"/>
                <w:sz w:val="22"/>
                <w:szCs w:val="22"/>
              </w:rPr>
              <w:t>1.49</w:t>
            </w:r>
          </w:p>
        </w:tc>
        <w:tc>
          <w:tcPr>
            <w:tcW w:w="695" w:type="pct"/>
            <w:shd w:val="clear" w:color="auto" w:fill="auto"/>
            <w:noWrap/>
            <w:vAlign w:val="center"/>
            <w:hideMark/>
          </w:tcPr>
          <w:p w14:paraId="78C41EF5" w14:textId="77777777" w:rsidR="0080741E" w:rsidRPr="005F7D29" w:rsidRDefault="0080741E">
            <w:pPr>
              <w:rPr>
                <w:color w:val="000000"/>
                <w:sz w:val="22"/>
                <w:szCs w:val="22"/>
              </w:rPr>
            </w:pPr>
            <w:r w:rsidRPr="005F7D29">
              <w:rPr>
                <w:color w:val="000000"/>
                <w:sz w:val="22"/>
                <w:szCs w:val="22"/>
              </w:rPr>
              <w:t>1.50</w:t>
            </w:r>
          </w:p>
        </w:tc>
        <w:tc>
          <w:tcPr>
            <w:tcW w:w="695" w:type="pct"/>
            <w:shd w:val="clear" w:color="auto" w:fill="auto"/>
            <w:noWrap/>
            <w:vAlign w:val="center"/>
            <w:hideMark/>
          </w:tcPr>
          <w:p w14:paraId="16E4A527" w14:textId="77777777" w:rsidR="0080741E" w:rsidRPr="005F7D29" w:rsidRDefault="0080741E">
            <w:pPr>
              <w:rPr>
                <w:color w:val="000000"/>
                <w:sz w:val="22"/>
                <w:szCs w:val="22"/>
              </w:rPr>
            </w:pPr>
            <w:r w:rsidRPr="005F7D29">
              <w:rPr>
                <w:color w:val="000000"/>
                <w:sz w:val="22"/>
                <w:szCs w:val="22"/>
              </w:rPr>
              <w:t>1.54</w:t>
            </w:r>
          </w:p>
        </w:tc>
        <w:tc>
          <w:tcPr>
            <w:tcW w:w="696" w:type="pct"/>
            <w:shd w:val="clear" w:color="auto" w:fill="auto"/>
            <w:noWrap/>
            <w:vAlign w:val="center"/>
            <w:hideMark/>
          </w:tcPr>
          <w:p w14:paraId="5CA07E4A" w14:textId="77777777" w:rsidR="0080741E" w:rsidRPr="005F7D29" w:rsidRDefault="0080741E">
            <w:pPr>
              <w:rPr>
                <w:color w:val="000000"/>
                <w:sz w:val="22"/>
                <w:szCs w:val="22"/>
              </w:rPr>
            </w:pPr>
            <w:r w:rsidRPr="005F7D29">
              <w:rPr>
                <w:color w:val="000000"/>
                <w:sz w:val="22"/>
                <w:szCs w:val="22"/>
              </w:rPr>
              <w:t>1.38</w:t>
            </w:r>
          </w:p>
        </w:tc>
      </w:tr>
      <w:tr w:rsidR="0080741E" w14:paraId="007D1FE6" w14:textId="77777777" w:rsidTr="00DC2123">
        <w:trPr>
          <w:trHeight w:val="320"/>
        </w:trPr>
        <w:tc>
          <w:tcPr>
            <w:tcW w:w="1524" w:type="pct"/>
            <w:shd w:val="clear" w:color="auto" w:fill="auto"/>
            <w:noWrap/>
            <w:vAlign w:val="center"/>
            <w:hideMark/>
          </w:tcPr>
          <w:p w14:paraId="3E045505" w14:textId="77777777" w:rsidR="0080741E" w:rsidRDefault="0080741E">
            <w:pPr>
              <w:rPr>
                <w:rFonts w:ascii="Calibri" w:hAnsi="Calibri" w:cs="Calibri"/>
                <w:color w:val="000000"/>
                <w:sz w:val="22"/>
                <w:szCs w:val="22"/>
              </w:rPr>
            </w:pPr>
          </w:p>
        </w:tc>
        <w:tc>
          <w:tcPr>
            <w:tcW w:w="695" w:type="pct"/>
            <w:shd w:val="clear" w:color="auto" w:fill="auto"/>
            <w:noWrap/>
            <w:vAlign w:val="center"/>
            <w:hideMark/>
          </w:tcPr>
          <w:p w14:paraId="473E7749" w14:textId="77777777" w:rsidR="0080741E" w:rsidRPr="005F7D29" w:rsidRDefault="0080741E">
            <w:pPr>
              <w:rPr>
                <w:color w:val="000000"/>
                <w:sz w:val="22"/>
                <w:szCs w:val="22"/>
              </w:rPr>
            </w:pPr>
            <w:r w:rsidRPr="005F7D29">
              <w:rPr>
                <w:color w:val="000000"/>
                <w:sz w:val="22"/>
                <w:szCs w:val="22"/>
              </w:rPr>
              <w:t>[0.94,2.70]</w:t>
            </w:r>
          </w:p>
        </w:tc>
        <w:tc>
          <w:tcPr>
            <w:tcW w:w="695" w:type="pct"/>
            <w:shd w:val="clear" w:color="auto" w:fill="auto"/>
            <w:noWrap/>
            <w:vAlign w:val="center"/>
            <w:hideMark/>
          </w:tcPr>
          <w:p w14:paraId="4272F686" w14:textId="77777777" w:rsidR="0080741E" w:rsidRPr="005F7D29" w:rsidRDefault="0080741E">
            <w:pPr>
              <w:rPr>
                <w:color w:val="000000"/>
                <w:sz w:val="22"/>
                <w:szCs w:val="22"/>
              </w:rPr>
            </w:pPr>
            <w:r w:rsidRPr="005F7D29">
              <w:rPr>
                <w:color w:val="000000"/>
                <w:sz w:val="22"/>
                <w:szCs w:val="22"/>
              </w:rPr>
              <w:t>[0.50,4.44]</w:t>
            </w:r>
          </w:p>
        </w:tc>
        <w:tc>
          <w:tcPr>
            <w:tcW w:w="695" w:type="pct"/>
            <w:shd w:val="clear" w:color="auto" w:fill="auto"/>
            <w:noWrap/>
            <w:vAlign w:val="center"/>
            <w:hideMark/>
          </w:tcPr>
          <w:p w14:paraId="4F6845B3" w14:textId="77777777" w:rsidR="0080741E" w:rsidRPr="005F7D29" w:rsidRDefault="0080741E">
            <w:pPr>
              <w:rPr>
                <w:color w:val="000000"/>
                <w:sz w:val="22"/>
                <w:szCs w:val="22"/>
              </w:rPr>
            </w:pPr>
            <w:r w:rsidRPr="005F7D29">
              <w:rPr>
                <w:color w:val="000000"/>
                <w:sz w:val="22"/>
                <w:szCs w:val="22"/>
              </w:rPr>
              <w:t>[0.71,3.15]</w:t>
            </w:r>
          </w:p>
        </w:tc>
        <w:tc>
          <w:tcPr>
            <w:tcW w:w="695" w:type="pct"/>
            <w:shd w:val="clear" w:color="auto" w:fill="auto"/>
            <w:noWrap/>
            <w:vAlign w:val="center"/>
            <w:hideMark/>
          </w:tcPr>
          <w:p w14:paraId="6E46C7C1" w14:textId="77777777" w:rsidR="0080741E" w:rsidRPr="005F7D29" w:rsidRDefault="0080741E">
            <w:pPr>
              <w:rPr>
                <w:color w:val="000000"/>
                <w:sz w:val="22"/>
                <w:szCs w:val="22"/>
              </w:rPr>
            </w:pPr>
            <w:r w:rsidRPr="005F7D29">
              <w:rPr>
                <w:color w:val="000000"/>
                <w:sz w:val="22"/>
                <w:szCs w:val="22"/>
              </w:rPr>
              <w:t>[0.68,3.49]</w:t>
            </w:r>
          </w:p>
        </w:tc>
        <w:tc>
          <w:tcPr>
            <w:tcW w:w="696" w:type="pct"/>
            <w:shd w:val="clear" w:color="auto" w:fill="auto"/>
            <w:noWrap/>
            <w:vAlign w:val="center"/>
            <w:hideMark/>
          </w:tcPr>
          <w:p w14:paraId="2C6A2E40" w14:textId="77777777" w:rsidR="0080741E" w:rsidRPr="005F7D29" w:rsidRDefault="0080741E">
            <w:pPr>
              <w:rPr>
                <w:color w:val="000000"/>
                <w:sz w:val="22"/>
                <w:szCs w:val="22"/>
              </w:rPr>
            </w:pPr>
            <w:r w:rsidRPr="005F7D29">
              <w:rPr>
                <w:color w:val="000000"/>
                <w:sz w:val="22"/>
                <w:szCs w:val="22"/>
              </w:rPr>
              <w:t>[0.45,4.24]</w:t>
            </w:r>
          </w:p>
        </w:tc>
      </w:tr>
      <w:tr w:rsidR="0080741E" w14:paraId="0E073A01" w14:textId="77777777" w:rsidTr="00DC2123">
        <w:trPr>
          <w:trHeight w:val="320"/>
        </w:trPr>
        <w:tc>
          <w:tcPr>
            <w:tcW w:w="1524" w:type="pct"/>
            <w:shd w:val="clear" w:color="auto" w:fill="auto"/>
            <w:noWrap/>
            <w:vAlign w:val="center"/>
            <w:hideMark/>
          </w:tcPr>
          <w:p w14:paraId="5B3D7B71" w14:textId="77777777" w:rsidR="0080741E" w:rsidRDefault="0080741E">
            <w:pPr>
              <w:rPr>
                <w:color w:val="000000"/>
                <w:sz w:val="22"/>
                <w:szCs w:val="22"/>
              </w:rPr>
            </w:pPr>
            <w:r>
              <w:rPr>
                <w:color w:val="000000"/>
                <w:sz w:val="22"/>
                <w:szCs w:val="22"/>
              </w:rPr>
              <w:t>Epilepsy/fits</w:t>
            </w:r>
          </w:p>
        </w:tc>
        <w:tc>
          <w:tcPr>
            <w:tcW w:w="695" w:type="pct"/>
            <w:shd w:val="clear" w:color="auto" w:fill="auto"/>
            <w:noWrap/>
            <w:vAlign w:val="center"/>
            <w:hideMark/>
          </w:tcPr>
          <w:p w14:paraId="60B5836E" w14:textId="77777777" w:rsidR="0080741E" w:rsidRPr="005F7D29" w:rsidRDefault="0080741E">
            <w:pPr>
              <w:rPr>
                <w:color w:val="000000"/>
                <w:sz w:val="22"/>
                <w:szCs w:val="22"/>
              </w:rPr>
            </w:pPr>
            <w:r w:rsidRPr="005F7D29">
              <w:rPr>
                <w:color w:val="000000"/>
                <w:sz w:val="22"/>
                <w:szCs w:val="22"/>
              </w:rPr>
              <w:t>1.19</w:t>
            </w:r>
          </w:p>
        </w:tc>
        <w:tc>
          <w:tcPr>
            <w:tcW w:w="695" w:type="pct"/>
            <w:shd w:val="clear" w:color="auto" w:fill="auto"/>
            <w:noWrap/>
            <w:vAlign w:val="center"/>
            <w:hideMark/>
          </w:tcPr>
          <w:p w14:paraId="2E7FEF0D" w14:textId="77777777" w:rsidR="0080741E" w:rsidRPr="005F7D29" w:rsidRDefault="0080741E">
            <w:pPr>
              <w:rPr>
                <w:color w:val="000000"/>
                <w:sz w:val="22"/>
                <w:szCs w:val="22"/>
              </w:rPr>
            </w:pPr>
            <w:r w:rsidRPr="005F7D29">
              <w:rPr>
                <w:color w:val="000000"/>
                <w:sz w:val="22"/>
                <w:szCs w:val="22"/>
              </w:rPr>
              <w:t>1.89</w:t>
            </w:r>
          </w:p>
        </w:tc>
        <w:tc>
          <w:tcPr>
            <w:tcW w:w="695" w:type="pct"/>
            <w:shd w:val="clear" w:color="auto" w:fill="auto"/>
            <w:noWrap/>
            <w:vAlign w:val="center"/>
            <w:hideMark/>
          </w:tcPr>
          <w:p w14:paraId="7D028243" w14:textId="77777777" w:rsidR="0080741E" w:rsidRPr="005F7D29" w:rsidRDefault="0080741E">
            <w:pPr>
              <w:rPr>
                <w:color w:val="000000"/>
                <w:sz w:val="22"/>
                <w:szCs w:val="22"/>
              </w:rPr>
            </w:pPr>
            <w:r w:rsidRPr="005F7D29">
              <w:rPr>
                <w:color w:val="000000"/>
                <w:sz w:val="22"/>
                <w:szCs w:val="22"/>
              </w:rPr>
              <w:t>1.17</w:t>
            </w:r>
          </w:p>
        </w:tc>
        <w:tc>
          <w:tcPr>
            <w:tcW w:w="695" w:type="pct"/>
            <w:shd w:val="clear" w:color="auto" w:fill="auto"/>
            <w:noWrap/>
            <w:vAlign w:val="center"/>
            <w:hideMark/>
          </w:tcPr>
          <w:p w14:paraId="644C3B8D" w14:textId="77777777" w:rsidR="0080741E" w:rsidRPr="005F7D29" w:rsidRDefault="0080741E">
            <w:pPr>
              <w:rPr>
                <w:color w:val="000000"/>
                <w:sz w:val="22"/>
                <w:szCs w:val="22"/>
              </w:rPr>
            </w:pPr>
            <w:r w:rsidRPr="005F7D29">
              <w:rPr>
                <w:color w:val="000000"/>
                <w:sz w:val="22"/>
                <w:szCs w:val="22"/>
              </w:rPr>
              <w:t>1.24</w:t>
            </w:r>
          </w:p>
        </w:tc>
        <w:tc>
          <w:tcPr>
            <w:tcW w:w="696" w:type="pct"/>
            <w:shd w:val="clear" w:color="auto" w:fill="auto"/>
            <w:noWrap/>
            <w:vAlign w:val="center"/>
            <w:hideMark/>
          </w:tcPr>
          <w:p w14:paraId="5B9569C3" w14:textId="77777777" w:rsidR="0080741E" w:rsidRPr="005F7D29" w:rsidRDefault="0080741E">
            <w:pPr>
              <w:rPr>
                <w:color w:val="000000"/>
                <w:sz w:val="22"/>
                <w:szCs w:val="22"/>
              </w:rPr>
            </w:pPr>
            <w:r w:rsidRPr="005F7D29">
              <w:rPr>
                <w:color w:val="000000"/>
                <w:sz w:val="22"/>
                <w:szCs w:val="22"/>
              </w:rPr>
              <w:t>0.95</w:t>
            </w:r>
          </w:p>
        </w:tc>
      </w:tr>
      <w:tr w:rsidR="0080741E" w14:paraId="09E8B194" w14:textId="77777777" w:rsidTr="00DC2123">
        <w:trPr>
          <w:trHeight w:val="320"/>
        </w:trPr>
        <w:tc>
          <w:tcPr>
            <w:tcW w:w="1524" w:type="pct"/>
            <w:shd w:val="clear" w:color="auto" w:fill="auto"/>
            <w:noWrap/>
            <w:vAlign w:val="center"/>
            <w:hideMark/>
          </w:tcPr>
          <w:p w14:paraId="4648FBE0" w14:textId="77777777" w:rsidR="0080741E" w:rsidRDefault="0080741E">
            <w:pPr>
              <w:rPr>
                <w:rFonts w:ascii="Calibri" w:hAnsi="Calibri" w:cs="Calibri"/>
                <w:color w:val="000000"/>
                <w:sz w:val="22"/>
                <w:szCs w:val="22"/>
              </w:rPr>
            </w:pPr>
          </w:p>
        </w:tc>
        <w:tc>
          <w:tcPr>
            <w:tcW w:w="695" w:type="pct"/>
            <w:shd w:val="clear" w:color="auto" w:fill="auto"/>
            <w:noWrap/>
            <w:vAlign w:val="center"/>
            <w:hideMark/>
          </w:tcPr>
          <w:p w14:paraId="78F38D19" w14:textId="77777777" w:rsidR="0080741E" w:rsidRPr="005F7D29" w:rsidRDefault="0080741E">
            <w:pPr>
              <w:rPr>
                <w:color w:val="000000"/>
                <w:sz w:val="22"/>
                <w:szCs w:val="22"/>
              </w:rPr>
            </w:pPr>
            <w:r w:rsidRPr="005F7D29">
              <w:rPr>
                <w:color w:val="000000"/>
                <w:sz w:val="22"/>
                <w:szCs w:val="22"/>
              </w:rPr>
              <w:t>[0.50,2.81]</w:t>
            </w:r>
          </w:p>
        </w:tc>
        <w:tc>
          <w:tcPr>
            <w:tcW w:w="695" w:type="pct"/>
            <w:shd w:val="clear" w:color="auto" w:fill="auto"/>
            <w:noWrap/>
            <w:vAlign w:val="center"/>
            <w:hideMark/>
          </w:tcPr>
          <w:p w14:paraId="3278F849" w14:textId="77777777" w:rsidR="0080741E" w:rsidRPr="005F7D29" w:rsidRDefault="0080741E">
            <w:pPr>
              <w:rPr>
                <w:color w:val="000000"/>
                <w:sz w:val="22"/>
                <w:szCs w:val="22"/>
              </w:rPr>
            </w:pPr>
            <w:r w:rsidRPr="005F7D29">
              <w:rPr>
                <w:color w:val="000000"/>
                <w:sz w:val="22"/>
                <w:szCs w:val="22"/>
              </w:rPr>
              <w:t>[0.69,5.16]</w:t>
            </w:r>
          </w:p>
        </w:tc>
        <w:tc>
          <w:tcPr>
            <w:tcW w:w="695" w:type="pct"/>
            <w:shd w:val="clear" w:color="auto" w:fill="auto"/>
            <w:noWrap/>
            <w:vAlign w:val="center"/>
            <w:hideMark/>
          </w:tcPr>
          <w:p w14:paraId="65D9DA44" w14:textId="77777777" w:rsidR="0080741E" w:rsidRPr="005F7D29" w:rsidRDefault="0080741E">
            <w:pPr>
              <w:rPr>
                <w:color w:val="000000"/>
                <w:sz w:val="22"/>
                <w:szCs w:val="22"/>
              </w:rPr>
            </w:pPr>
            <w:r w:rsidRPr="005F7D29">
              <w:rPr>
                <w:color w:val="000000"/>
                <w:sz w:val="22"/>
                <w:szCs w:val="22"/>
              </w:rPr>
              <w:t>[0.36,3.74]</w:t>
            </w:r>
          </w:p>
        </w:tc>
        <w:tc>
          <w:tcPr>
            <w:tcW w:w="695" w:type="pct"/>
            <w:shd w:val="clear" w:color="auto" w:fill="auto"/>
            <w:noWrap/>
            <w:vAlign w:val="center"/>
            <w:hideMark/>
          </w:tcPr>
          <w:p w14:paraId="7197430F" w14:textId="77777777" w:rsidR="0080741E" w:rsidRPr="005F7D29" w:rsidRDefault="0080741E">
            <w:pPr>
              <w:rPr>
                <w:color w:val="000000"/>
                <w:sz w:val="22"/>
                <w:szCs w:val="22"/>
              </w:rPr>
            </w:pPr>
            <w:r w:rsidRPr="005F7D29">
              <w:rPr>
                <w:color w:val="000000"/>
                <w:sz w:val="22"/>
                <w:szCs w:val="22"/>
              </w:rPr>
              <w:t>[0.42,3.60]</w:t>
            </w:r>
          </w:p>
        </w:tc>
        <w:tc>
          <w:tcPr>
            <w:tcW w:w="696" w:type="pct"/>
            <w:shd w:val="clear" w:color="auto" w:fill="auto"/>
            <w:noWrap/>
            <w:vAlign w:val="center"/>
            <w:hideMark/>
          </w:tcPr>
          <w:p w14:paraId="52F486EA" w14:textId="77777777" w:rsidR="0080741E" w:rsidRPr="005F7D29" w:rsidRDefault="0080741E">
            <w:pPr>
              <w:rPr>
                <w:color w:val="000000"/>
                <w:sz w:val="22"/>
                <w:szCs w:val="22"/>
              </w:rPr>
            </w:pPr>
            <w:r w:rsidRPr="005F7D29">
              <w:rPr>
                <w:color w:val="000000"/>
                <w:sz w:val="22"/>
                <w:szCs w:val="22"/>
              </w:rPr>
              <w:t>[0.24,3.83]</w:t>
            </w:r>
          </w:p>
        </w:tc>
      </w:tr>
      <w:tr w:rsidR="0080741E" w14:paraId="60E496D4" w14:textId="77777777" w:rsidTr="00DC2123">
        <w:trPr>
          <w:trHeight w:val="320"/>
        </w:trPr>
        <w:tc>
          <w:tcPr>
            <w:tcW w:w="1524" w:type="pct"/>
            <w:shd w:val="clear" w:color="auto" w:fill="auto"/>
            <w:noWrap/>
            <w:vAlign w:val="center"/>
            <w:hideMark/>
          </w:tcPr>
          <w:p w14:paraId="3EF123D4" w14:textId="77777777" w:rsidR="0080741E" w:rsidRDefault="0080741E">
            <w:pPr>
              <w:rPr>
                <w:color w:val="000000"/>
                <w:sz w:val="22"/>
                <w:szCs w:val="22"/>
              </w:rPr>
            </w:pPr>
            <w:r>
              <w:rPr>
                <w:color w:val="000000"/>
                <w:sz w:val="22"/>
                <w:szCs w:val="22"/>
              </w:rPr>
              <w:t>Heart attack/angina</w:t>
            </w:r>
          </w:p>
        </w:tc>
        <w:tc>
          <w:tcPr>
            <w:tcW w:w="695" w:type="pct"/>
            <w:shd w:val="clear" w:color="auto" w:fill="auto"/>
            <w:noWrap/>
            <w:vAlign w:val="center"/>
            <w:hideMark/>
          </w:tcPr>
          <w:p w14:paraId="43F8442C" w14:textId="77777777" w:rsidR="0080741E" w:rsidRPr="005F7D29" w:rsidRDefault="0080741E">
            <w:pPr>
              <w:rPr>
                <w:color w:val="000000"/>
                <w:sz w:val="22"/>
                <w:szCs w:val="22"/>
              </w:rPr>
            </w:pPr>
            <w:r w:rsidRPr="005F7D29">
              <w:rPr>
                <w:color w:val="000000"/>
                <w:sz w:val="22"/>
                <w:szCs w:val="22"/>
              </w:rPr>
              <w:t>2.37***</w:t>
            </w:r>
          </w:p>
        </w:tc>
        <w:tc>
          <w:tcPr>
            <w:tcW w:w="695" w:type="pct"/>
            <w:shd w:val="clear" w:color="auto" w:fill="auto"/>
            <w:noWrap/>
            <w:vAlign w:val="center"/>
            <w:hideMark/>
          </w:tcPr>
          <w:p w14:paraId="265C22C1" w14:textId="77777777" w:rsidR="0080741E" w:rsidRPr="005F7D29" w:rsidRDefault="0080741E">
            <w:pPr>
              <w:rPr>
                <w:color w:val="000000"/>
                <w:sz w:val="22"/>
                <w:szCs w:val="22"/>
              </w:rPr>
            </w:pPr>
            <w:r w:rsidRPr="005F7D29">
              <w:rPr>
                <w:color w:val="000000"/>
                <w:sz w:val="22"/>
                <w:szCs w:val="22"/>
              </w:rPr>
              <w:t>0.50</w:t>
            </w:r>
          </w:p>
        </w:tc>
        <w:tc>
          <w:tcPr>
            <w:tcW w:w="695" w:type="pct"/>
            <w:shd w:val="clear" w:color="auto" w:fill="auto"/>
            <w:noWrap/>
            <w:vAlign w:val="center"/>
            <w:hideMark/>
          </w:tcPr>
          <w:p w14:paraId="37AE06A1" w14:textId="77777777" w:rsidR="0080741E" w:rsidRPr="005F7D29" w:rsidRDefault="0080741E">
            <w:pPr>
              <w:rPr>
                <w:color w:val="000000"/>
                <w:sz w:val="22"/>
                <w:szCs w:val="22"/>
              </w:rPr>
            </w:pPr>
            <w:r w:rsidRPr="005F7D29">
              <w:rPr>
                <w:color w:val="000000"/>
                <w:sz w:val="22"/>
                <w:szCs w:val="22"/>
              </w:rPr>
              <w:t>0.70</w:t>
            </w:r>
          </w:p>
        </w:tc>
        <w:tc>
          <w:tcPr>
            <w:tcW w:w="695" w:type="pct"/>
            <w:shd w:val="clear" w:color="auto" w:fill="auto"/>
            <w:noWrap/>
            <w:vAlign w:val="center"/>
            <w:hideMark/>
          </w:tcPr>
          <w:p w14:paraId="2A411107" w14:textId="77777777" w:rsidR="0080741E" w:rsidRPr="005F7D29" w:rsidRDefault="0080741E">
            <w:pPr>
              <w:rPr>
                <w:color w:val="000000"/>
                <w:sz w:val="22"/>
                <w:szCs w:val="22"/>
              </w:rPr>
            </w:pPr>
            <w:r w:rsidRPr="005F7D29">
              <w:rPr>
                <w:color w:val="000000"/>
                <w:sz w:val="22"/>
                <w:szCs w:val="22"/>
              </w:rPr>
              <w:t>0.76</w:t>
            </w:r>
          </w:p>
        </w:tc>
        <w:tc>
          <w:tcPr>
            <w:tcW w:w="696" w:type="pct"/>
            <w:shd w:val="clear" w:color="auto" w:fill="auto"/>
            <w:noWrap/>
            <w:vAlign w:val="center"/>
            <w:hideMark/>
          </w:tcPr>
          <w:p w14:paraId="1D36F869" w14:textId="77777777" w:rsidR="0080741E" w:rsidRPr="005F7D29" w:rsidRDefault="0080741E">
            <w:pPr>
              <w:rPr>
                <w:color w:val="000000"/>
                <w:sz w:val="22"/>
                <w:szCs w:val="22"/>
              </w:rPr>
            </w:pPr>
            <w:r w:rsidRPr="005F7D29">
              <w:rPr>
                <w:color w:val="000000"/>
                <w:sz w:val="22"/>
                <w:szCs w:val="22"/>
              </w:rPr>
              <w:t>1.03</w:t>
            </w:r>
          </w:p>
        </w:tc>
      </w:tr>
      <w:tr w:rsidR="0080741E" w14:paraId="1E777DD7" w14:textId="77777777" w:rsidTr="00DC2123">
        <w:trPr>
          <w:trHeight w:val="320"/>
        </w:trPr>
        <w:tc>
          <w:tcPr>
            <w:tcW w:w="1524" w:type="pct"/>
            <w:shd w:val="clear" w:color="auto" w:fill="auto"/>
            <w:noWrap/>
            <w:vAlign w:val="center"/>
            <w:hideMark/>
          </w:tcPr>
          <w:p w14:paraId="3C7B362E" w14:textId="77777777" w:rsidR="0080741E" w:rsidRDefault="0080741E">
            <w:pPr>
              <w:rPr>
                <w:rFonts w:ascii="Calibri" w:hAnsi="Calibri" w:cs="Calibri"/>
                <w:color w:val="000000"/>
                <w:sz w:val="22"/>
                <w:szCs w:val="22"/>
              </w:rPr>
            </w:pPr>
          </w:p>
        </w:tc>
        <w:tc>
          <w:tcPr>
            <w:tcW w:w="695" w:type="pct"/>
            <w:shd w:val="clear" w:color="auto" w:fill="auto"/>
            <w:noWrap/>
            <w:vAlign w:val="center"/>
            <w:hideMark/>
          </w:tcPr>
          <w:p w14:paraId="5DDA6384" w14:textId="77777777" w:rsidR="0080741E" w:rsidRPr="005F7D29" w:rsidRDefault="0080741E">
            <w:pPr>
              <w:rPr>
                <w:color w:val="000000"/>
                <w:sz w:val="22"/>
                <w:szCs w:val="22"/>
              </w:rPr>
            </w:pPr>
            <w:r w:rsidRPr="005F7D29">
              <w:rPr>
                <w:color w:val="000000"/>
                <w:sz w:val="22"/>
                <w:szCs w:val="22"/>
              </w:rPr>
              <w:t>[1.44,3.88]</w:t>
            </w:r>
          </w:p>
        </w:tc>
        <w:tc>
          <w:tcPr>
            <w:tcW w:w="695" w:type="pct"/>
            <w:shd w:val="clear" w:color="auto" w:fill="auto"/>
            <w:noWrap/>
            <w:vAlign w:val="center"/>
            <w:hideMark/>
          </w:tcPr>
          <w:p w14:paraId="1E28B2DF" w14:textId="77777777" w:rsidR="0080741E" w:rsidRPr="005F7D29" w:rsidRDefault="0080741E">
            <w:pPr>
              <w:rPr>
                <w:color w:val="000000"/>
                <w:sz w:val="22"/>
                <w:szCs w:val="22"/>
              </w:rPr>
            </w:pPr>
            <w:r w:rsidRPr="005F7D29">
              <w:rPr>
                <w:color w:val="000000"/>
                <w:sz w:val="22"/>
                <w:szCs w:val="22"/>
              </w:rPr>
              <w:t>[0.11,2.19]</w:t>
            </w:r>
          </w:p>
        </w:tc>
        <w:tc>
          <w:tcPr>
            <w:tcW w:w="695" w:type="pct"/>
            <w:shd w:val="clear" w:color="auto" w:fill="auto"/>
            <w:noWrap/>
            <w:vAlign w:val="center"/>
            <w:hideMark/>
          </w:tcPr>
          <w:p w14:paraId="1A62C86A" w14:textId="77777777" w:rsidR="0080741E" w:rsidRPr="005F7D29" w:rsidRDefault="0080741E">
            <w:pPr>
              <w:rPr>
                <w:color w:val="000000"/>
                <w:sz w:val="22"/>
                <w:szCs w:val="22"/>
              </w:rPr>
            </w:pPr>
            <w:r w:rsidRPr="005F7D29">
              <w:rPr>
                <w:color w:val="000000"/>
                <w:sz w:val="22"/>
                <w:szCs w:val="22"/>
              </w:rPr>
              <w:t>[0.33,1.48]</w:t>
            </w:r>
          </w:p>
        </w:tc>
        <w:tc>
          <w:tcPr>
            <w:tcW w:w="695" w:type="pct"/>
            <w:shd w:val="clear" w:color="auto" w:fill="auto"/>
            <w:noWrap/>
            <w:vAlign w:val="center"/>
            <w:hideMark/>
          </w:tcPr>
          <w:p w14:paraId="5AAF5536" w14:textId="77777777" w:rsidR="0080741E" w:rsidRPr="005F7D29" w:rsidRDefault="0080741E">
            <w:pPr>
              <w:rPr>
                <w:color w:val="000000"/>
                <w:sz w:val="22"/>
                <w:szCs w:val="22"/>
              </w:rPr>
            </w:pPr>
            <w:r w:rsidRPr="005F7D29">
              <w:rPr>
                <w:color w:val="000000"/>
                <w:sz w:val="22"/>
                <w:szCs w:val="22"/>
              </w:rPr>
              <w:t>[0.28,2.03]</w:t>
            </w:r>
          </w:p>
        </w:tc>
        <w:tc>
          <w:tcPr>
            <w:tcW w:w="696" w:type="pct"/>
            <w:shd w:val="clear" w:color="auto" w:fill="auto"/>
            <w:noWrap/>
            <w:vAlign w:val="center"/>
            <w:hideMark/>
          </w:tcPr>
          <w:p w14:paraId="1364D621" w14:textId="77777777" w:rsidR="0080741E" w:rsidRPr="005F7D29" w:rsidRDefault="0080741E">
            <w:pPr>
              <w:rPr>
                <w:color w:val="000000"/>
                <w:sz w:val="22"/>
                <w:szCs w:val="22"/>
              </w:rPr>
            </w:pPr>
            <w:r w:rsidRPr="005F7D29">
              <w:rPr>
                <w:color w:val="000000"/>
                <w:sz w:val="22"/>
                <w:szCs w:val="22"/>
              </w:rPr>
              <w:t>[0.34,3.12]</w:t>
            </w:r>
          </w:p>
        </w:tc>
      </w:tr>
      <w:tr w:rsidR="0080741E" w14:paraId="318093D8" w14:textId="77777777" w:rsidTr="00DC2123">
        <w:trPr>
          <w:trHeight w:val="320"/>
        </w:trPr>
        <w:tc>
          <w:tcPr>
            <w:tcW w:w="1524" w:type="pct"/>
            <w:shd w:val="clear" w:color="auto" w:fill="auto"/>
            <w:noWrap/>
            <w:vAlign w:val="center"/>
            <w:hideMark/>
          </w:tcPr>
          <w:p w14:paraId="69237061" w14:textId="77777777" w:rsidR="0080741E" w:rsidRDefault="0080741E">
            <w:pPr>
              <w:rPr>
                <w:color w:val="000000"/>
                <w:sz w:val="22"/>
                <w:szCs w:val="22"/>
              </w:rPr>
            </w:pPr>
            <w:r>
              <w:rPr>
                <w:color w:val="000000"/>
                <w:sz w:val="22"/>
                <w:szCs w:val="22"/>
              </w:rPr>
              <w:t>High blood pressure</w:t>
            </w:r>
          </w:p>
        </w:tc>
        <w:tc>
          <w:tcPr>
            <w:tcW w:w="695" w:type="pct"/>
            <w:shd w:val="clear" w:color="auto" w:fill="auto"/>
            <w:noWrap/>
            <w:vAlign w:val="center"/>
            <w:hideMark/>
          </w:tcPr>
          <w:p w14:paraId="0F9B19D3" w14:textId="77777777" w:rsidR="0080741E" w:rsidRPr="005F7D29" w:rsidRDefault="0080741E">
            <w:pPr>
              <w:rPr>
                <w:color w:val="000000"/>
                <w:sz w:val="22"/>
                <w:szCs w:val="22"/>
              </w:rPr>
            </w:pPr>
            <w:r w:rsidRPr="005F7D29">
              <w:rPr>
                <w:color w:val="000000"/>
                <w:sz w:val="22"/>
                <w:szCs w:val="22"/>
              </w:rPr>
              <w:t>1.34*</w:t>
            </w:r>
          </w:p>
        </w:tc>
        <w:tc>
          <w:tcPr>
            <w:tcW w:w="695" w:type="pct"/>
            <w:shd w:val="clear" w:color="auto" w:fill="auto"/>
            <w:noWrap/>
            <w:vAlign w:val="center"/>
            <w:hideMark/>
          </w:tcPr>
          <w:p w14:paraId="4C3A6C4C" w14:textId="77777777" w:rsidR="0080741E" w:rsidRPr="005F7D29" w:rsidRDefault="0080741E">
            <w:pPr>
              <w:rPr>
                <w:color w:val="000000"/>
                <w:sz w:val="22"/>
                <w:szCs w:val="22"/>
              </w:rPr>
            </w:pPr>
            <w:r w:rsidRPr="005F7D29">
              <w:rPr>
                <w:color w:val="000000"/>
                <w:sz w:val="22"/>
                <w:szCs w:val="22"/>
              </w:rPr>
              <w:t>1.47</w:t>
            </w:r>
          </w:p>
        </w:tc>
        <w:tc>
          <w:tcPr>
            <w:tcW w:w="695" w:type="pct"/>
            <w:shd w:val="clear" w:color="auto" w:fill="auto"/>
            <w:noWrap/>
            <w:vAlign w:val="center"/>
            <w:hideMark/>
          </w:tcPr>
          <w:p w14:paraId="785985BC" w14:textId="77777777" w:rsidR="0080741E" w:rsidRPr="005F7D29" w:rsidRDefault="0080741E">
            <w:pPr>
              <w:rPr>
                <w:color w:val="000000"/>
                <w:sz w:val="22"/>
                <w:szCs w:val="22"/>
              </w:rPr>
            </w:pPr>
            <w:r w:rsidRPr="005F7D29">
              <w:rPr>
                <w:color w:val="000000"/>
                <w:sz w:val="22"/>
                <w:szCs w:val="22"/>
              </w:rPr>
              <w:t>1.50*</w:t>
            </w:r>
          </w:p>
        </w:tc>
        <w:tc>
          <w:tcPr>
            <w:tcW w:w="695" w:type="pct"/>
            <w:shd w:val="clear" w:color="auto" w:fill="auto"/>
            <w:noWrap/>
            <w:vAlign w:val="center"/>
            <w:hideMark/>
          </w:tcPr>
          <w:p w14:paraId="1D6C6D3E" w14:textId="77777777" w:rsidR="0080741E" w:rsidRPr="005F7D29" w:rsidRDefault="0080741E">
            <w:pPr>
              <w:rPr>
                <w:color w:val="000000"/>
                <w:sz w:val="22"/>
                <w:szCs w:val="22"/>
              </w:rPr>
            </w:pPr>
            <w:r w:rsidRPr="005F7D29">
              <w:rPr>
                <w:color w:val="000000"/>
                <w:sz w:val="22"/>
                <w:szCs w:val="22"/>
              </w:rPr>
              <w:t>1.10</w:t>
            </w:r>
          </w:p>
        </w:tc>
        <w:tc>
          <w:tcPr>
            <w:tcW w:w="696" w:type="pct"/>
            <w:shd w:val="clear" w:color="auto" w:fill="auto"/>
            <w:noWrap/>
            <w:vAlign w:val="center"/>
            <w:hideMark/>
          </w:tcPr>
          <w:p w14:paraId="63A7A562" w14:textId="77777777" w:rsidR="0080741E" w:rsidRPr="005F7D29" w:rsidRDefault="0080741E">
            <w:pPr>
              <w:rPr>
                <w:color w:val="000000"/>
                <w:sz w:val="22"/>
                <w:szCs w:val="22"/>
              </w:rPr>
            </w:pPr>
            <w:r w:rsidRPr="005F7D29">
              <w:rPr>
                <w:color w:val="000000"/>
                <w:sz w:val="22"/>
                <w:szCs w:val="22"/>
              </w:rPr>
              <w:t>1.42</w:t>
            </w:r>
          </w:p>
        </w:tc>
      </w:tr>
      <w:tr w:rsidR="0080741E" w14:paraId="4685149B" w14:textId="77777777" w:rsidTr="00DC2123">
        <w:trPr>
          <w:trHeight w:val="320"/>
        </w:trPr>
        <w:tc>
          <w:tcPr>
            <w:tcW w:w="1524" w:type="pct"/>
            <w:shd w:val="clear" w:color="auto" w:fill="auto"/>
            <w:noWrap/>
            <w:vAlign w:val="center"/>
            <w:hideMark/>
          </w:tcPr>
          <w:p w14:paraId="2CB486E2" w14:textId="77777777" w:rsidR="0080741E" w:rsidRDefault="0080741E">
            <w:pPr>
              <w:rPr>
                <w:rFonts w:ascii="Calibri" w:hAnsi="Calibri" w:cs="Calibri"/>
                <w:color w:val="000000"/>
                <w:sz w:val="22"/>
                <w:szCs w:val="22"/>
              </w:rPr>
            </w:pPr>
          </w:p>
        </w:tc>
        <w:tc>
          <w:tcPr>
            <w:tcW w:w="695" w:type="pct"/>
            <w:shd w:val="clear" w:color="auto" w:fill="auto"/>
            <w:noWrap/>
            <w:vAlign w:val="center"/>
            <w:hideMark/>
          </w:tcPr>
          <w:p w14:paraId="24A75589" w14:textId="77777777" w:rsidR="0080741E" w:rsidRPr="005F7D29" w:rsidRDefault="0080741E">
            <w:pPr>
              <w:rPr>
                <w:color w:val="000000"/>
                <w:sz w:val="22"/>
                <w:szCs w:val="22"/>
              </w:rPr>
            </w:pPr>
            <w:r w:rsidRPr="005F7D29">
              <w:rPr>
                <w:color w:val="000000"/>
                <w:sz w:val="22"/>
                <w:szCs w:val="22"/>
              </w:rPr>
              <w:t>[1.05,1.73]</w:t>
            </w:r>
          </w:p>
        </w:tc>
        <w:tc>
          <w:tcPr>
            <w:tcW w:w="695" w:type="pct"/>
            <w:shd w:val="clear" w:color="auto" w:fill="auto"/>
            <w:noWrap/>
            <w:vAlign w:val="center"/>
            <w:hideMark/>
          </w:tcPr>
          <w:p w14:paraId="42891C8C" w14:textId="77777777" w:rsidR="0080741E" w:rsidRPr="005F7D29" w:rsidRDefault="0080741E">
            <w:pPr>
              <w:rPr>
                <w:color w:val="000000"/>
                <w:sz w:val="22"/>
                <w:szCs w:val="22"/>
              </w:rPr>
            </w:pPr>
            <w:r w:rsidRPr="005F7D29">
              <w:rPr>
                <w:color w:val="000000"/>
                <w:sz w:val="22"/>
                <w:szCs w:val="22"/>
              </w:rPr>
              <w:t>[0.82,2.64]</w:t>
            </w:r>
          </w:p>
        </w:tc>
        <w:tc>
          <w:tcPr>
            <w:tcW w:w="695" w:type="pct"/>
            <w:shd w:val="clear" w:color="auto" w:fill="auto"/>
            <w:noWrap/>
            <w:vAlign w:val="center"/>
            <w:hideMark/>
          </w:tcPr>
          <w:p w14:paraId="2118EE0B" w14:textId="77777777" w:rsidR="0080741E" w:rsidRPr="005F7D29" w:rsidRDefault="0080741E">
            <w:pPr>
              <w:rPr>
                <w:color w:val="000000"/>
                <w:sz w:val="22"/>
                <w:szCs w:val="22"/>
              </w:rPr>
            </w:pPr>
            <w:r w:rsidRPr="005F7D29">
              <w:rPr>
                <w:color w:val="000000"/>
                <w:sz w:val="22"/>
                <w:szCs w:val="22"/>
              </w:rPr>
              <w:t>[1.06,2.11]</w:t>
            </w:r>
          </w:p>
        </w:tc>
        <w:tc>
          <w:tcPr>
            <w:tcW w:w="695" w:type="pct"/>
            <w:shd w:val="clear" w:color="auto" w:fill="auto"/>
            <w:noWrap/>
            <w:vAlign w:val="center"/>
            <w:hideMark/>
          </w:tcPr>
          <w:p w14:paraId="5470E4E7" w14:textId="77777777" w:rsidR="0080741E" w:rsidRPr="005F7D29" w:rsidRDefault="0080741E">
            <w:pPr>
              <w:rPr>
                <w:color w:val="000000"/>
                <w:sz w:val="22"/>
                <w:szCs w:val="22"/>
              </w:rPr>
            </w:pPr>
            <w:r w:rsidRPr="005F7D29">
              <w:rPr>
                <w:color w:val="000000"/>
                <w:sz w:val="22"/>
                <w:szCs w:val="22"/>
              </w:rPr>
              <w:t>[0.78,1.55]</w:t>
            </w:r>
          </w:p>
        </w:tc>
        <w:tc>
          <w:tcPr>
            <w:tcW w:w="696" w:type="pct"/>
            <w:shd w:val="clear" w:color="auto" w:fill="auto"/>
            <w:noWrap/>
            <w:vAlign w:val="center"/>
            <w:hideMark/>
          </w:tcPr>
          <w:p w14:paraId="0A0A41A5" w14:textId="77777777" w:rsidR="0080741E" w:rsidRPr="005F7D29" w:rsidRDefault="0080741E">
            <w:pPr>
              <w:rPr>
                <w:color w:val="000000"/>
                <w:sz w:val="22"/>
                <w:szCs w:val="22"/>
              </w:rPr>
            </w:pPr>
            <w:r w:rsidRPr="005F7D29">
              <w:rPr>
                <w:color w:val="000000"/>
                <w:sz w:val="22"/>
                <w:szCs w:val="22"/>
              </w:rPr>
              <w:t>[0.84,2.39]</w:t>
            </w:r>
          </w:p>
        </w:tc>
      </w:tr>
      <w:tr w:rsidR="0080741E" w14:paraId="723D8E61" w14:textId="77777777" w:rsidTr="00DC2123">
        <w:trPr>
          <w:trHeight w:val="320"/>
        </w:trPr>
        <w:tc>
          <w:tcPr>
            <w:tcW w:w="1524" w:type="pct"/>
            <w:shd w:val="clear" w:color="auto" w:fill="auto"/>
            <w:noWrap/>
            <w:vAlign w:val="center"/>
            <w:hideMark/>
          </w:tcPr>
          <w:p w14:paraId="7A746AF4" w14:textId="77777777" w:rsidR="0080741E" w:rsidRDefault="0080741E">
            <w:pPr>
              <w:rPr>
                <w:color w:val="000000"/>
                <w:sz w:val="22"/>
                <w:szCs w:val="22"/>
              </w:rPr>
            </w:pPr>
            <w:r>
              <w:rPr>
                <w:color w:val="000000"/>
                <w:sz w:val="22"/>
                <w:szCs w:val="22"/>
              </w:rPr>
              <w:t>Infectious disease</w:t>
            </w:r>
          </w:p>
        </w:tc>
        <w:tc>
          <w:tcPr>
            <w:tcW w:w="695" w:type="pct"/>
            <w:shd w:val="clear" w:color="auto" w:fill="auto"/>
            <w:noWrap/>
            <w:vAlign w:val="center"/>
            <w:hideMark/>
          </w:tcPr>
          <w:p w14:paraId="5F37FB04" w14:textId="77777777" w:rsidR="0080741E" w:rsidRPr="005F7D29" w:rsidRDefault="0080741E">
            <w:pPr>
              <w:rPr>
                <w:color w:val="000000"/>
                <w:sz w:val="22"/>
                <w:szCs w:val="22"/>
              </w:rPr>
            </w:pPr>
            <w:r w:rsidRPr="005F7D29">
              <w:rPr>
                <w:color w:val="000000"/>
                <w:sz w:val="22"/>
                <w:szCs w:val="22"/>
              </w:rPr>
              <w:t>2.31</w:t>
            </w:r>
          </w:p>
        </w:tc>
        <w:tc>
          <w:tcPr>
            <w:tcW w:w="695" w:type="pct"/>
            <w:shd w:val="clear" w:color="auto" w:fill="auto"/>
            <w:noWrap/>
            <w:vAlign w:val="center"/>
            <w:hideMark/>
          </w:tcPr>
          <w:p w14:paraId="01A5A358" w14:textId="77777777" w:rsidR="0080741E" w:rsidRPr="005F7D29" w:rsidRDefault="0080741E">
            <w:pPr>
              <w:rPr>
                <w:color w:val="000000"/>
                <w:sz w:val="22"/>
                <w:szCs w:val="22"/>
              </w:rPr>
            </w:pPr>
            <w:r w:rsidRPr="005F7D29">
              <w:rPr>
                <w:color w:val="000000"/>
                <w:sz w:val="22"/>
                <w:szCs w:val="22"/>
              </w:rPr>
              <w:t>1.34</w:t>
            </w:r>
          </w:p>
        </w:tc>
        <w:tc>
          <w:tcPr>
            <w:tcW w:w="695" w:type="pct"/>
            <w:shd w:val="clear" w:color="auto" w:fill="auto"/>
            <w:noWrap/>
            <w:vAlign w:val="center"/>
            <w:hideMark/>
          </w:tcPr>
          <w:p w14:paraId="4A78271B" w14:textId="77777777" w:rsidR="0080741E" w:rsidRPr="005F7D29" w:rsidRDefault="0080741E">
            <w:pPr>
              <w:rPr>
                <w:color w:val="000000"/>
                <w:sz w:val="22"/>
                <w:szCs w:val="22"/>
              </w:rPr>
            </w:pPr>
            <w:r w:rsidRPr="005F7D29">
              <w:rPr>
                <w:color w:val="000000"/>
                <w:sz w:val="22"/>
                <w:szCs w:val="22"/>
              </w:rPr>
              <w:t>0.48</w:t>
            </w:r>
          </w:p>
        </w:tc>
        <w:tc>
          <w:tcPr>
            <w:tcW w:w="695" w:type="pct"/>
            <w:shd w:val="clear" w:color="auto" w:fill="auto"/>
            <w:noWrap/>
            <w:vAlign w:val="center"/>
            <w:hideMark/>
          </w:tcPr>
          <w:p w14:paraId="7E81233A" w14:textId="77777777" w:rsidR="0080741E" w:rsidRPr="005F7D29" w:rsidRDefault="0080741E">
            <w:pPr>
              <w:rPr>
                <w:color w:val="000000"/>
                <w:sz w:val="22"/>
                <w:szCs w:val="22"/>
              </w:rPr>
            </w:pPr>
            <w:r w:rsidRPr="005F7D29">
              <w:rPr>
                <w:color w:val="000000"/>
                <w:sz w:val="22"/>
                <w:szCs w:val="22"/>
              </w:rPr>
              <w:t>1.76</w:t>
            </w:r>
          </w:p>
        </w:tc>
        <w:tc>
          <w:tcPr>
            <w:tcW w:w="696" w:type="pct"/>
            <w:shd w:val="clear" w:color="auto" w:fill="auto"/>
            <w:noWrap/>
            <w:vAlign w:val="center"/>
            <w:hideMark/>
          </w:tcPr>
          <w:p w14:paraId="3B316D5E" w14:textId="77777777" w:rsidR="0080741E" w:rsidRPr="005F7D29" w:rsidRDefault="0080741E">
            <w:pPr>
              <w:rPr>
                <w:color w:val="000000"/>
                <w:sz w:val="22"/>
                <w:szCs w:val="22"/>
              </w:rPr>
            </w:pPr>
            <w:r w:rsidRPr="005F7D29">
              <w:rPr>
                <w:color w:val="000000"/>
                <w:sz w:val="22"/>
                <w:szCs w:val="22"/>
              </w:rPr>
              <w:t>0.38</w:t>
            </w:r>
          </w:p>
        </w:tc>
      </w:tr>
      <w:tr w:rsidR="0080741E" w14:paraId="66F7A56F" w14:textId="77777777" w:rsidTr="00DC2123">
        <w:trPr>
          <w:trHeight w:val="320"/>
        </w:trPr>
        <w:tc>
          <w:tcPr>
            <w:tcW w:w="1524" w:type="pct"/>
            <w:shd w:val="clear" w:color="auto" w:fill="auto"/>
            <w:noWrap/>
            <w:vAlign w:val="center"/>
            <w:hideMark/>
          </w:tcPr>
          <w:p w14:paraId="3E8C1A45" w14:textId="77777777" w:rsidR="0080741E" w:rsidRDefault="0080741E">
            <w:pPr>
              <w:rPr>
                <w:rFonts w:ascii="Calibri" w:hAnsi="Calibri" w:cs="Calibri"/>
                <w:color w:val="000000"/>
                <w:sz w:val="22"/>
                <w:szCs w:val="22"/>
              </w:rPr>
            </w:pPr>
          </w:p>
        </w:tc>
        <w:tc>
          <w:tcPr>
            <w:tcW w:w="695" w:type="pct"/>
            <w:shd w:val="clear" w:color="auto" w:fill="auto"/>
            <w:noWrap/>
            <w:vAlign w:val="center"/>
            <w:hideMark/>
          </w:tcPr>
          <w:p w14:paraId="1FD8ACCC" w14:textId="77777777" w:rsidR="0080741E" w:rsidRPr="005F7D29" w:rsidRDefault="0080741E">
            <w:pPr>
              <w:rPr>
                <w:color w:val="000000"/>
                <w:sz w:val="22"/>
                <w:szCs w:val="22"/>
              </w:rPr>
            </w:pPr>
            <w:r w:rsidRPr="005F7D29">
              <w:rPr>
                <w:color w:val="000000"/>
                <w:sz w:val="22"/>
                <w:szCs w:val="22"/>
              </w:rPr>
              <w:t>[0.97,5.50]</w:t>
            </w:r>
          </w:p>
        </w:tc>
        <w:tc>
          <w:tcPr>
            <w:tcW w:w="695" w:type="pct"/>
            <w:shd w:val="clear" w:color="auto" w:fill="auto"/>
            <w:noWrap/>
            <w:vAlign w:val="center"/>
            <w:hideMark/>
          </w:tcPr>
          <w:p w14:paraId="5669DEE2" w14:textId="77777777" w:rsidR="0080741E" w:rsidRPr="005F7D29" w:rsidRDefault="0080741E">
            <w:pPr>
              <w:rPr>
                <w:color w:val="000000"/>
                <w:sz w:val="22"/>
                <w:szCs w:val="22"/>
              </w:rPr>
            </w:pPr>
            <w:r w:rsidRPr="005F7D29">
              <w:rPr>
                <w:color w:val="000000"/>
                <w:sz w:val="22"/>
                <w:szCs w:val="22"/>
              </w:rPr>
              <w:t>[0.36,4.92]</w:t>
            </w:r>
          </w:p>
        </w:tc>
        <w:tc>
          <w:tcPr>
            <w:tcW w:w="695" w:type="pct"/>
            <w:shd w:val="clear" w:color="auto" w:fill="auto"/>
            <w:noWrap/>
            <w:vAlign w:val="center"/>
            <w:hideMark/>
          </w:tcPr>
          <w:p w14:paraId="36985699" w14:textId="77777777" w:rsidR="0080741E" w:rsidRPr="005F7D29" w:rsidRDefault="0080741E">
            <w:pPr>
              <w:rPr>
                <w:color w:val="000000"/>
                <w:sz w:val="22"/>
                <w:szCs w:val="22"/>
              </w:rPr>
            </w:pPr>
            <w:r w:rsidRPr="005F7D29">
              <w:rPr>
                <w:color w:val="000000"/>
                <w:sz w:val="22"/>
                <w:szCs w:val="22"/>
              </w:rPr>
              <w:t>[0.09,2.49]</w:t>
            </w:r>
          </w:p>
        </w:tc>
        <w:tc>
          <w:tcPr>
            <w:tcW w:w="695" w:type="pct"/>
            <w:shd w:val="clear" w:color="auto" w:fill="auto"/>
            <w:noWrap/>
            <w:vAlign w:val="center"/>
            <w:hideMark/>
          </w:tcPr>
          <w:p w14:paraId="0D3F04E6" w14:textId="77777777" w:rsidR="0080741E" w:rsidRPr="005F7D29" w:rsidRDefault="0080741E">
            <w:pPr>
              <w:rPr>
                <w:color w:val="000000"/>
                <w:sz w:val="22"/>
                <w:szCs w:val="22"/>
              </w:rPr>
            </w:pPr>
            <w:r w:rsidRPr="005F7D29">
              <w:rPr>
                <w:color w:val="000000"/>
                <w:sz w:val="22"/>
                <w:szCs w:val="22"/>
              </w:rPr>
              <w:t>[0.58,5.30]</w:t>
            </w:r>
          </w:p>
        </w:tc>
        <w:tc>
          <w:tcPr>
            <w:tcW w:w="696" w:type="pct"/>
            <w:shd w:val="clear" w:color="auto" w:fill="auto"/>
            <w:noWrap/>
            <w:vAlign w:val="center"/>
            <w:hideMark/>
          </w:tcPr>
          <w:p w14:paraId="45ABB2D0" w14:textId="77777777" w:rsidR="0080741E" w:rsidRPr="005F7D29" w:rsidRDefault="0080741E">
            <w:pPr>
              <w:rPr>
                <w:color w:val="000000"/>
                <w:sz w:val="22"/>
                <w:szCs w:val="22"/>
              </w:rPr>
            </w:pPr>
            <w:r w:rsidRPr="005F7D29">
              <w:rPr>
                <w:color w:val="000000"/>
                <w:sz w:val="22"/>
                <w:szCs w:val="22"/>
              </w:rPr>
              <w:t>[0.09,1.52]</w:t>
            </w:r>
          </w:p>
        </w:tc>
      </w:tr>
      <w:tr w:rsidR="0080741E" w14:paraId="6EBD8314" w14:textId="77777777" w:rsidTr="00DC2123">
        <w:trPr>
          <w:trHeight w:val="320"/>
        </w:trPr>
        <w:tc>
          <w:tcPr>
            <w:tcW w:w="1524" w:type="pct"/>
            <w:shd w:val="clear" w:color="auto" w:fill="auto"/>
            <w:noWrap/>
            <w:vAlign w:val="center"/>
            <w:hideMark/>
          </w:tcPr>
          <w:p w14:paraId="4592854A" w14:textId="77777777" w:rsidR="0080741E" w:rsidRDefault="0080741E">
            <w:pPr>
              <w:rPr>
                <w:color w:val="000000"/>
                <w:sz w:val="22"/>
                <w:szCs w:val="22"/>
              </w:rPr>
            </w:pPr>
            <w:r>
              <w:rPr>
                <w:color w:val="000000"/>
                <w:sz w:val="22"/>
                <w:szCs w:val="22"/>
              </w:rPr>
              <w:t>Liver problems</w:t>
            </w:r>
          </w:p>
        </w:tc>
        <w:tc>
          <w:tcPr>
            <w:tcW w:w="695" w:type="pct"/>
            <w:shd w:val="clear" w:color="auto" w:fill="auto"/>
            <w:noWrap/>
            <w:vAlign w:val="center"/>
            <w:hideMark/>
          </w:tcPr>
          <w:p w14:paraId="21104C4A" w14:textId="77777777" w:rsidR="0080741E" w:rsidRPr="005F7D29" w:rsidRDefault="0080741E">
            <w:pPr>
              <w:rPr>
                <w:color w:val="000000"/>
                <w:sz w:val="22"/>
                <w:szCs w:val="22"/>
              </w:rPr>
            </w:pPr>
            <w:r w:rsidRPr="005F7D29">
              <w:rPr>
                <w:color w:val="000000"/>
                <w:sz w:val="22"/>
                <w:szCs w:val="22"/>
              </w:rPr>
              <w:t>2.95**</w:t>
            </w:r>
          </w:p>
        </w:tc>
        <w:tc>
          <w:tcPr>
            <w:tcW w:w="695" w:type="pct"/>
            <w:shd w:val="clear" w:color="auto" w:fill="auto"/>
            <w:noWrap/>
            <w:vAlign w:val="center"/>
            <w:hideMark/>
          </w:tcPr>
          <w:p w14:paraId="094B75A6" w14:textId="77777777" w:rsidR="0080741E" w:rsidRPr="005F7D29" w:rsidRDefault="0080741E">
            <w:pPr>
              <w:rPr>
                <w:color w:val="000000"/>
                <w:sz w:val="22"/>
                <w:szCs w:val="22"/>
              </w:rPr>
            </w:pPr>
            <w:r w:rsidRPr="005F7D29">
              <w:rPr>
                <w:color w:val="000000"/>
                <w:sz w:val="22"/>
                <w:szCs w:val="22"/>
              </w:rPr>
              <w:t>1.55</w:t>
            </w:r>
          </w:p>
        </w:tc>
        <w:tc>
          <w:tcPr>
            <w:tcW w:w="695" w:type="pct"/>
            <w:shd w:val="clear" w:color="auto" w:fill="auto"/>
            <w:noWrap/>
            <w:vAlign w:val="center"/>
            <w:hideMark/>
          </w:tcPr>
          <w:p w14:paraId="2EED0EB6" w14:textId="77777777" w:rsidR="0080741E" w:rsidRPr="005F7D29" w:rsidRDefault="0080741E">
            <w:pPr>
              <w:rPr>
                <w:color w:val="000000"/>
                <w:sz w:val="22"/>
                <w:szCs w:val="22"/>
              </w:rPr>
            </w:pPr>
            <w:r w:rsidRPr="005F7D29">
              <w:rPr>
                <w:color w:val="000000"/>
                <w:sz w:val="22"/>
                <w:szCs w:val="22"/>
              </w:rPr>
              <w:t>0.98</w:t>
            </w:r>
          </w:p>
        </w:tc>
        <w:tc>
          <w:tcPr>
            <w:tcW w:w="695" w:type="pct"/>
            <w:shd w:val="clear" w:color="auto" w:fill="auto"/>
            <w:noWrap/>
            <w:vAlign w:val="center"/>
            <w:hideMark/>
          </w:tcPr>
          <w:p w14:paraId="575A38CD" w14:textId="77777777" w:rsidR="0080741E" w:rsidRPr="005F7D29" w:rsidRDefault="0080741E">
            <w:pPr>
              <w:rPr>
                <w:color w:val="000000"/>
                <w:sz w:val="22"/>
                <w:szCs w:val="22"/>
              </w:rPr>
            </w:pPr>
            <w:r w:rsidRPr="005F7D29">
              <w:rPr>
                <w:color w:val="000000"/>
                <w:sz w:val="22"/>
                <w:szCs w:val="22"/>
              </w:rPr>
              <w:t>0.61</w:t>
            </w:r>
          </w:p>
        </w:tc>
        <w:tc>
          <w:tcPr>
            <w:tcW w:w="696" w:type="pct"/>
            <w:shd w:val="clear" w:color="auto" w:fill="auto"/>
            <w:noWrap/>
            <w:vAlign w:val="center"/>
            <w:hideMark/>
          </w:tcPr>
          <w:p w14:paraId="3B4204C3" w14:textId="77777777" w:rsidR="0080741E" w:rsidRPr="005F7D29" w:rsidRDefault="0080741E">
            <w:pPr>
              <w:rPr>
                <w:color w:val="000000"/>
                <w:sz w:val="22"/>
                <w:szCs w:val="22"/>
              </w:rPr>
            </w:pPr>
            <w:r w:rsidRPr="005F7D29">
              <w:rPr>
                <w:color w:val="000000"/>
                <w:sz w:val="22"/>
                <w:szCs w:val="22"/>
              </w:rPr>
              <w:t>4.88*</w:t>
            </w:r>
          </w:p>
        </w:tc>
      </w:tr>
      <w:tr w:rsidR="0080741E" w14:paraId="2588DC8E" w14:textId="77777777" w:rsidTr="00DC2123">
        <w:trPr>
          <w:trHeight w:val="320"/>
        </w:trPr>
        <w:tc>
          <w:tcPr>
            <w:tcW w:w="1524" w:type="pct"/>
            <w:shd w:val="clear" w:color="auto" w:fill="auto"/>
            <w:noWrap/>
            <w:vAlign w:val="center"/>
            <w:hideMark/>
          </w:tcPr>
          <w:p w14:paraId="775A9916" w14:textId="77777777" w:rsidR="0080741E" w:rsidRDefault="0080741E">
            <w:pPr>
              <w:rPr>
                <w:rFonts w:ascii="Calibri" w:hAnsi="Calibri" w:cs="Calibri"/>
                <w:color w:val="000000"/>
                <w:sz w:val="22"/>
                <w:szCs w:val="22"/>
              </w:rPr>
            </w:pPr>
          </w:p>
        </w:tc>
        <w:tc>
          <w:tcPr>
            <w:tcW w:w="695" w:type="pct"/>
            <w:shd w:val="clear" w:color="auto" w:fill="auto"/>
            <w:noWrap/>
            <w:vAlign w:val="center"/>
            <w:hideMark/>
          </w:tcPr>
          <w:p w14:paraId="69AFE6E3" w14:textId="77777777" w:rsidR="0080741E" w:rsidRPr="005F7D29" w:rsidRDefault="0080741E">
            <w:pPr>
              <w:rPr>
                <w:color w:val="000000"/>
                <w:sz w:val="22"/>
                <w:szCs w:val="22"/>
              </w:rPr>
            </w:pPr>
            <w:r w:rsidRPr="005F7D29">
              <w:rPr>
                <w:color w:val="000000"/>
                <w:sz w:val="22"/>
                <w:szCs w:val="22"/>
              </w:rPr>
              <w:t>[1.38,6.28]</w:t>
            </w:r>
          </w:p>
        </w:tc>
        <w:tc>
          <w:tcPr>
            <w:tcW w:w="695" w:type="pct"/>
            <w:shd w:val="clear" w:color="auto" w:fill="auto"/>
            <w:noWrap/>
            <w:vAlign w:val="center"/>
            <w:hideMark/>
          </w:tcPr>
          <w:p w14:paraId="1C398316" w14:textId="77777777" w:rsidR="0080741E" w:rsidRPr="005F7D29" w:rsidRDefault="0080741E">
            <w:pPr>
              <w:rPr>
                <w:color w:val="000000"/>
                <w:sz w:val="22"/>
                <w:szCs w:val="22"/>
              </w:rPr>
            </w:pPr>
            <w:r w:rsidRPr="005F7D29">
              <w:rPr>
                <w:color w:val="000000"/>
                <w:sz w:val="22"/>
                <w:szCs w:val="22"/>
              </w:rPr>
              <w:t>[0.33,7.16]</w:t>
            </w:r>
          </w:p>
        </w:tc>
        <w:tc>
          <w:tcPr>
            <w:tcW w:w="695" w:type="pct"/>
            <w:shd w:val="clear" w:color="auto" w:fill="auto"/>
            <w:noWrap/>
            <w:vAlign w:val="center"/>
            <w:hideMark/>
          </w:tcPr>
          <w:p w14:paraId="656696B1" w14:textId="77777777" w:rsidR="0080741E" w:rsidRPr="005F7D29" w:rsidRDefault="0080741E">
            <w:pPr>
              <w:rPr>
                <w:color w:val="000000"/>
                <w:sz w:val="22"/>
                <w:szCs w:val="22"/>
              </w:rPr>
            </w:pPr>
            <w:r w:rsidRPr="005F7D29">
              <w:rPr>
                <w:color w:val="000000"/>
                <w:sz w:val="22"/>
                <w:szCs w:val="22"/>
              </w:rPr>
              <w:t>[0.49,1.94]</w:t>
            </w:r>
          </w:p>
        </w:tc>
        <w:tc>
          <w:tcPr>
            <w:tcW w:w="695" w:type="pct"/>
            <w:shd w:val="clear" w:color="auto" w:fill="auto"/>
            <w:noWrap/>
            <w:vAlign w:val="center"/>
            <w:hideMark/>
          </w:tcPr>
          <w:p w14:paraId="2BAFEAE1" w14:textId="77777777" w:rsidR="0080741E" w:rsidRPr="005F7D29" w:rsidRDefault="0080741E">
            <w:pPr>
              <w:rPr>
                <w:color w:val="000000"/>
                <w:sz w:val="22"/>
                <w:szCs w:val="22"/>
              </w:rPr>
            </w:pPr>
            <w:r w:rsidRPr="005F7D29">
              <w:rPr>
                <w:color w:val="000000"/>
                <w:sz w:val="22"/>
                <w:szCs w:val="22"/>
              </w:rPr>
              <w:t>[0.17,2.20]</w:t>
            </w:r>
          </w:p>
        </w:tc>
        <w:tc>
          <w:tcPr>
            <w:tcW w:w="696" w:type="pct"/>
            <w:shd w:val="clear" w:color="auto" w:fill="auto"/>
            <w:noWrap/>
            <w:vAlign w:val="center"/>
            <w:hideMark/>
          </w:tcPr>
          <w:p w14:paraId="16D286C4" w14:textId="77777777" w:rsidR="0080741E" w:rsidRPr="005F7D29" w:rsidRDefault="0080741E">
            <w:pPr>
              <w:rPr>
                <w:color w:val="000000"/>
                <w:sz w:val="22"/>
                <w:szCs w:val="22"/>
              </w:rPr>
            </w:pPr>
            <w:r w:rsidRPr="005F7D29">
              <w:rPr>
                <w:color w:val="000000"/>
                <w:sz w:val="22"/>
                <w:szCs w:val="22"/>
              </w:rPr>
              <w:t>[1.40,17.06]</w:t>
            </w:r>
          </w:p>
        </w:tc>
      </w:tr>
      <w:tr w:rsidR="0080741E" w14:paraId="6964F512" w14:textId="77777777" w:rsidTr="00DC2123">
        <w:trPr>
          <w:trHeight w:val="320"/>
        </w:trPr>
        <w:tc>
          <w:tcPr>
            <w:tcW w:w="1524" w:type="pct"/>
            <w:shd w:val="clear" w:color="auto" w:fill="auto"/>
            <w:noWrap/>
            <w:vAlign w:val="center"/>
            <w:hideMark/>
          </w:tcPr>
          <w:p w14:paraId="0E81F4C7" w14:textId="77777777" w:rsidR="0080741E" w:rsidRDefault="0080741E">
            <w:pPr>
              <w:rPr>
                <w:color w:val="000000"/>
                <w:sz w:val="22"/>
                <w:szCs w:val="22"/>
              </w:rPr>
            </w:pPr>
            <w:r>
              <w:rPr>
                <w:color w:val="000000"/>
                <w:sz w:val="22"/>
                <w:szCs w:val="22"/>
              </w:rPr>
              <w:t>Migraine or frequent headaches</w:t>
            </w:r>
          </w:p>
        </w:tc>
        <w:tc>
          <w:tcPr>
            <w:tcW w:w="695" w:type="pct"/>
            <w:shd w:val="clear" w:color="auto" w:fill="auto"/>
            <w:noWrap/>
            <w:vAlign w:val="center"/>
            <w:hideMark/>
          </w:tcPr>
          <w:p w14:paraId="2A982AD2" w14:textId="77777777" w:rsidR="0080741E" w:rsidRPr="005F7D29" w:rsidRDefault="0080741E">
            <w:pPr>
              <w:rPr>
                <w:color w:val="000000"/>
                <w:sz w:val="22"/>
                <w:szCs w:val="22"/>
              </w:rPr>
            </w:pPr>
            <w:r w:rsidRPr="005F7D29">
              <w:rPr>
                <w:color w:val="000000"/>
                <w:sz w:val="22"/>
                <w:szCs w:val="22"/>
              </w:rPr>
              <w:t>1.36*</w:t>
            </w:r>
          </w:p>
        </w:tc>
        <w:tc>
          <w:tcPr>
            <w:tcW w:w="695" w:type="pct"/>
            <w:shd w:val="clear" w:color="auto" w:fill="auto"/>
            <w:noWrap/>
            <w:vAlign w:val="center"/>
            <w:hideMark/>
          </w:tcPr>
          <w:p w14:paraId="2AAF7A6E" w14:textId="77777777" w:rsidR="0080741E" w:rsidRPr="005F7D29" w:rsidRDefault="0080741E">
            <w:pPr>
              <w:rPr>
                <w:color w:val="000000"/>
                <w:sz w:val="22"/>
                <w:szCs w:val="22"/>
              </w:rPr>
            </w:pPr>
            <w:r w:rsidRPr="005F7D29">
              <w:rPr>
                <w:color w:val="000000"/>
                <w:sz w:val="22"/>
                <w:szCs w:val="22"/>
              </w:rPr>
              <w:t>1.04</w:t>
            </w:r>
          </w:p>
        </w:tc>
        <w:tc>
          <w:tcPr>
            <w:tcW w:w="695" w:type="pct"/>
            <w:shd w:val="clear" w:color="auto" w:fill="auto"/>
            <w:noWrap/>
            <w:vAlign w:val="center"/>
            <w:hideMark/>
          </w:tcPr>
          <w:p w14:paraId="28F89405" w14:textId="77777777" w:rsidR="0080741E" w:rsidRPr="005F7D29" w:rsidRDefault="0080741E">
            <w:pPr>
              <w:rPr>
                <w:color w:val="000000"/>
                <w:sz w:val="22"/>
                <w:szCs w:val="22"/>
              </w:rPr>
            </w:pPr>
            <w:r w:rsidRPr="005F7D29">
              <w:rPr>
                <w:color w:val="000000"/>
                <w:sz w:val="22"/>
                <w:szCs w:val="22"/>
              </w:rPr>
              <w:t>1.32</w:t>
            </w:r>
          </w:p>
        </w:tc>
        <w:tc>
          <w:tcPr>
            <w:tcW w:w="695" w:type="pct"/>
            <w:shd w:val="clear" w:color="auto" w:fill="auto"/>
            <w:noWrap/>
            <w:vAlign w:val="center"/>
            <w:hideMark/>
          </w:tcPr>
          <w:p w14:paraId="63535749" w14:textId="77777777" w:rsidR="0080741E" w:rsidRPr="005F7D29" w:rsidRDefault="0080741E">
            <w:pPr>
              <w:rPr>
                <w:color w:val="000000"/>
                <w:sz w:val="22"/>
                <w:szCs w:val="22"/>
              </w:rPr>
            </w:pPr>
            <w:r w:rsidRPr="005F7D29">
              <w:rPr>
                <w:color w:val="000000"/>
                <w:sz w:val="22"/>
                <w:szCs w:val="22"/>
              </w:rPr>
              <w:t>1.51*</w:t>
            </w:r>
          </w:p>
        </w:tc>
        <w:tc>
          <w:tcPr>
            <w:tcW w:w="696" w:type="pct"/>
            <w:shd w:val="clear" w:color="auto" w:fill="auto"/>
            <w:noWrap/>
            <w:vAlign w:val="center"/>
            <w:hideMark/>
          </w:tcPr>
          <w:p w14:paraId="0F4872B3" w14:textId="77777777" w:rsidR="0080741E" w:rsidRPr="005F7D29" w:rsidRDefault="0080741E">
            <w:pPr>
              <w:rPr>
                <w:color w:val="000000"/>
                <w:sz w:val="22"/>
                <w:szCs w:val="22"/>
              </w:rPr>
            </w:pPr>
            <w:r w:rsidRPr="005F7D29">
              <w:rPr>
                <w:color w:val="000000"/>
                <w:sz w:val="22"/>
                <w:szCs w:val="22"/>
              </w:rPr>
              <w:t>0.95</w:t>
            </w:r>
          </w:p>
        </w:tc>
      </w:tr>
      <w:tr w:rsidR="0080741E" w14:paraId="71ABEB4B" w14:textId="77777777" w:rsidTr="00DC2123">
        <w:trPr>
          <w:trHeight w:val="320"/>
        </w:trPr>
        <w:tc>
          <w:tcPr>
            <w:tcW w:w="1524" w:type="pct"/>
            <w:shd w:val="clear" w:color="auto" w:fill="auto"/>
            <w:noWrap/>
            <w:vAlign w:val="center"/>
            <w:hideMark/>
          </w:tcPr>
          <w:p w14:paraId="611AAEA5" w14:textId="77777777" w:rsidR="0080741E" w:rsidRDefault="0080741E">
            <w:pPr>
              <w:rPr>
                <w:rFonts w:ascii="Calibri" w:hAnsi="Calibri" w:cs="Calibri"/>
                <w:color w:val="000000"/>
                <w:sz w:val="22"/>
                <w:szCs w:val="22"/>
              </w:rPr>
            </w:pPr>
          </w:p>
        </w:tc>
        <w:tc>
          <w:tcPr>
            <w:tcW w:w="695" w:type="pct"/>
            <w:shd w:val="clear" w:color="auto" w:fill="auto"/>
            <w:noWrap/>
            <w:vAlign w:val="center"/>
            <w:hideMark/>
          </w:tcPr>
          <w:p w14:paraId="57AADA7D" w14:textId="77777777" w:rsidR="0080741E" w:rsidRPr="005F7D29" w:rsidRDefault="0080741E">
            <w:pPr>
              <w:rPr>
                <w:color w:val="000000"/>
                <w:sz w:val="22"/>
                <w:szCs w:val="22"/>
              </w:rPr>
            </w:pPr>
            <w:r w:rsidRPr="005F7D29">
              <w:rPr>
                <w:color w:val="000000"/>
                <w:sz w:val="22"/>
                <w:szCs w:val="22"/>
              </w:rPr>
              <w:t>[1.03,1.79]</w:t>
            </w:r>
          </w:p>
        </w:tc>
        <w:tc>
          <w:tcPr>
            <w:tcW w:w="695" w:type="pct"/>
            <w:shd w:val="clear" w:color="auto" w:fill="auto"/>
            <w:noWrap/>
            <w:vAlign w:val="center"/>
            <w:hideMark/>
          </w:tcPr>
          <w:p w14:paraId="508CD27D" w14:textId="77777777" w:rsidR="0080741E" w:rsidRPr="005F7D29" w:rsidRDefault="0080741E">
            <w:pPr>
              <w:rPr>
                <w:color w:val="000000"/>
                <w:sz w:val="22"/>
                <w:szCs w:val="22"/>
              </w:rPr>
            </w:pPr>
            <w:r w:rsidRPr="005F7D29">
              <w:rPr>
                <w:color w:val="000000"/>
                <w:sz w:val="22"/>
                <w:szCs w:val="22"/>
              </w:rPr>
              <w:t>[0.57,1.90]</w:t>
            </w:r>
          </w:p>
        </w:tc>
        <w:tc>
          <w:tcPr>
            <w:tcW w:w="695" w:type="pct"/>
            <w:shd w:val="clear" w:color="auto" w:fill="auto"/>
            <w:noWrap/>
            <w:vAlign w:val="center"/>
            <w:hideMark/>
          </w:tcPr>
          <w:p w14:paraId="4573E086" w14:textId="77777777" w:rsidR="0080741E" w:rsidRPr="005F7D29" w:rsidRDefault="0080741E">
            <w:pPr>
              <w:rPr>
                <w:color w:val="000000"/>
                <w:sz w:val="22"/>
                <w:szCs w:val="22"/>
              </w:rPr>
            </w:pPr>
            <w:r w:rsidRPr="005F7D29">
              <w:rPr>
                <w:color w:val="000000"/>
                <w:sz w:val="22"/>
                <w:szCs w:val="22"/>
              </w:rPr>
              <w:t>[0.85,2.05]</w:t>
            </w:r>
          </w:p>
        </w:tc>
        <w:tc>
          <w:tcPr>
            <w:tcW w:w="695" w:type="pct"/>
            <w:shd w:val="clear" w:color="auto" w:fill="auto"/>
            <w:noWrap/>
            <w:vAlign w:val="center"/>
            <w:hideMark/>
          </w:tcPr>
          <w:p w14:paraId="097949BA" w14:textId="77777777" w:rsidR="0080741E" w:rsidRPr="005F7D29" w:rsidRDefault="0080741E">
            <w:pPr>
              <w:rPr>
                <w:color w:val="000000"/>
                <w:sz w:val="22"/>
                <w:szCs w:val="22"/>
              </w:rPr>
            </w:pPr>
            <w:r w:rsidRPr="005F7D29">
              <w:rPr>
                <w:color w:val="000000"/>
                <w:sz w:val="22"/>
                <w:szCs w:val="22"/>
              </w:rPr>
              <w:t>[1.00,2.28]</w:t>
            </w:r>
          </w:p>
        </w:tc>
        <w:tc>
          <w:tcPr>
            <w:tcW w:w="696" w:type="pct"/>
            <w:shd w:val="clear" w:color="auto" w:fill="auto"/>
            <w:noWrap/>
            <w:vAlign w:val="center"/>
            <w:hideMark/>
          </w:tcPr>
          <w:p w14:paraId="0D0E1E45" w14:textId="77777777" w:rsidR="0080741E" w:rsidRPr="005F7D29" w:rsidRDefault="0080741E">
            <w:pPr>
              <w:rPr>
                <w:color w:val="000000"/>
                <w:sz w:val="22"/>
                <w:szCs w:val="22"/>
              </w:rPr>
            </w:pPr>
            <w:r w:rsidRPr="005F7D29">
              <w:rPr>
                <w:color w:val="000000"/>
                <w:sz w:val="22"/>
                <w:szCs w:val="22"/>
              </w:rPr>
              <w:t>[0.59,1.51]</w:t>
            </w:r>
          </w:p>
        </w:tc>
      </w:tr>
      <w:tr w:rsidR="0080741E" w14:paraId="451D5C8F" w14:textId="77777777" w:rsidTr="00DC2123">
        <w:trPr>
          <w:trHeight w:val="320"/>
        </w:trPr>
        <w:tc>
          <w:tcPr>
            <w:tcW w:w="1524" w:type="pct"/>
            <w:shd w:val="clear" w:color="auto" w:fill="auto"/>
            <w:noWrap/>
            <w:vAlign w:val="center"/>
            <w:hideMark/>
          </w:tcPr>
          <w:p w14:paraId="6B6E9F38" w14:textId="77777777" w:rsidR="0080741E" w:rsidRDefault="0080741E">
            <w:pPr>
              <w:rPr>
                <w:color w:val="000000"/>
                <w:sz w:val="22"/>
                <w:szCs w:val="22"/>
              </w:rPr>
            </w:pPr>
            <w:r>
              <w:rPr>
                <w:color w:val="000000"/>
                <w:sz w:val="22"/>
                <w:szCs w:val="22"/>
              </w:rPr>
              <w:t>Skin problems</w:t>
            </w:r>
          </w:p>
        </w:tc>
        <w:tc>
          <w:tcPr>
            <w:tcW w:w="695" w:type="pct"/>
            <w:shd w:val="clear" w:color="auto" w:fill="auto"/>
            <w:noWrap/>
            <w:vAlign w:val="center"/>
            <w:hideMark/>
          </w:tcPr>
          <w:p w14:paraId="0DDF14AB" w14:textId="77777777" w:rsidR="0080741E" w:rsidRPr="005F7D29" w:rsidRDefault="0080741E">
            <w:pPr>
              <w:rPr>
                <w:color w:val="000000"/>
                <w:sz w:val="22"/>
                <w:szCs w:val="22"/>
              </w:rPr>
            </w:pPr>
            <w:r w:rsidRPr="005F7D29">
              <w:rPr>
                <w:color w:val="000000"/>
                <w:sz w:val="22"/>
                <w:szCs w:val="22"/>
              </w:rPr>
              <w:t>1.01</w:t>
            </w:r>
          </w:p>
        </w:tc>
        <w:tc>
          <w:tcPr>
            <w:tcW w:w="695" w:type="pct"/>
            <w:shd w:val="clear" w:color="auto" w:fill="auto"/>
            <w:noWrap/>
            <w:vAlign w:val="center"/>
            <w:hideMark/>
          </w:tcPr>
          <w:p w14:paraId="42289832" w14:textId="77777777" w:rsidR="0080741E" w:rsidRPr="005F7D29" w:rsidRDefault="0080741E">
            <w:pPr>
              <w:rPr>
                <w:color w:val="000000"/>
                <w:sz w:val="22"/>
                <w:szCs w:val="22"/>
              </w:rPr>
            </w:pPr>
            <w:r w:rsidRPr="005F7D29">
              <w:rPr>
                <w:color w:val="000000"/>
                <w:sz w:val="22"/>
                <w:szCs w:val="22"/>
              </w:rPr>
              <w:t>0.69</w:t>
            </w:r>
          </w:p>
        </w:tc>
        <w:tc>
          <w:tcPr>
            <w:tcW w:w="695" w:type="pct"/>
            <w:shd w:val="clear" w:color="auto" w:fill="auto"/>
            <w:noWrap/>
            <w:vAlign w:val="center"/>
            <w:hideMark/>
          </w:tcPr>
          <w:p w14:paraId="2A639939" w14:textId="77777777" w:rsidR="0080741E" w:rsidRPr="005F7D29" w:rsidRDefault="0080741E">
            <w:pPr>
              <w:rPr>
                <w:color w:val="000000"/>
                <w:sz w:val="22"/>
                <w:szCs w:val="22"/>
              </w:rPr>
            </w:pPr>
            <w:r w:rsidRPr="005F7D29">
              <w:rPr>
                <w:color w:val="000000"/>
                <w:sz w:val="22"/>
                <w:szCs w:val="22"/>
              </w:rPr>
              <w:t>1.39</w:t>
            </w:r>
          </w:p>
        </w:tc>
        <w:tc>
          <w:tcPr>
            <w:tcW w:w="695" w:type="pct"/>
            <w:shd w:val="clear" w:color="auto" w:fill="auto"/>
            <w:noWrap/>
            <w:vAlign w:val="center"/>
            <w:hideMark/>
          </w:tcPr>
          <w:p w14:paraId="49F9D821" w14:textId="77777777" w:rsidR="0080741E" w:rsidRPr="005F7D29" w:rsidRDefault="0080741E">
            <w:pPr>
              <w:rPr>
                <w:color w:val="000000"/>
                <w:sz w:val="22"/>
                <w:szCs w:val="22"/>
              </w:rPr>
            </w:pPr>
            <w:r w:rsidRPr="005F7D29">
              <w:rPr>
                <w:color w:val="000000"/>
                <w:sz w:val="22"/>
                <w:szCs w:val="22"/>
              </w:rPr>
              <w:t>1.13</w:t>
            </w:r>
          </w:p>
        </w:tc>
        <w:tc>
          <w:tcPr>
            <w:tcW w:w="696" w:type="pct"/>
            <w:shd w:val="clear" w:color="auto" w:fill="auto"/>
            <w:noWrap/>
            <w:vAlign w:val="center"/>
            <w:hideMark/>
          </w:tcPr>
          <w:p w14:paraId="10E53B37" w14:textId="77777777" w:rsidR="0080741E" w:rsidRPr="005F7D29" w:rsidRDefault="0080741E">
            <w:pPr>
              <w:rPr>
                <w:color w:val="000000"/>
                <w:sz w:val="22"/>
                <w:szCs w:val="22"/>
              </w:rPr>
            </w:pPr>
            <w:r w:rsidRPr="005F7D29">
              <w:rPr>
                <w:color w:val="000000"/>
                <w:sz w:val="22"/>
                <w:szCs w:val="22"/>
              </w:rPr>
              <w:t>0.85</w:t>
            </w:r>
          </w:p>
        </w:tc>
      </w:tr>
      <w:tr w:rsidR="0080741E" w14:paraId="3CB47C0B" w14:textId="77777777" w:rsidTr="00DC2123">
        <w:trPr>
          <w:trHeight w:val="320"/>
        </w:trPr>
        <w:tc>
          <w:tcPr>
            <w:tcW w:w="1524" w:type="pct"/>
            <w:shd w:val="clear" w:color="auto" w:fill="auto"/>
            <w:noWrap/>
            <w:vAlign w:val="center"/>
            <w:hideMark/>
          </w:tcPr>
          <w:p w14:paraId="1274C0E7" w14:textId="77777777" w:rsidR="0080741E" w:rsidRDefault="0080741E">
            <w:pPr>
              <w:rPr>
                <w:rFonts w:ascii="Calibri" w:hAnsi="Calibri" w:cs="Calibri"/>
                <w:color w:val="000000"/>
                <w:sz w:val="22"/>
                <w:szCs w:val="22"/>
              </w:rPr>
            </w:pPr>
          </w:p>
        </w:tc>
        <w:tc>
          <w:tcPr>
            <w:tcW w:w="695" w:type="pct"/>
            <w:shd w:val="clear" w:color="auto" w:fill="auto"/>
            <w:noWrap/>
            <w:vAlign w:val="center"/>
            <w:hideMark/>
          </w:tcPr>
          <w:p w14:paraId="2419276D" w14:textId="77777777" w:rsidR="0080741E" w:rsidRPr="005F7D29" w:rsidRDefault="0080741E">
            <w:pPr>
              <w:rPr>
                <w:color w:val="000000"/>
                <w:sz w:val="22"/>
                <w:szCs w:val="22"/>
              </w:rPr>
            </w:pPr>
            <w:r w:rsidRPr="005F7D29">
              <w:rPr>
                <w:color w:val="000000"/>
                <w:sz w:val="22"/>
                <w:szCs w:val="22"/>
              </w:rPr>
              <w:t>[0.78,1.31]</w:t>
            </w:r>
          </w:p>
        </w:tc>
        <w:tc>
          <w:tcPr>
            <w:tcW w:w="695" w:type="pct"/>
            <w:shd w:val="clear" w:color="auto" w:fill="auto"/>
            <w:noWrap/>
            <w:vAlign w:val="center"/>
            <w:hideMark/>
          </w:tcPr>
          <w:p w14:paraId="740A3B57" w14:textId="77777777" w:rsidR="0080741E" w:rsidRPr="005F7D29" w:rsidRDefault="0080741E">
            <w:pPr>
              <w:rPr>
                <w:color w:val="000000"/>
                <w:sz w:val="22"/>
                <w:szCs w:val="22"/>
              </w:rPr>
            </w:pPr>
            <w:r w:rsidRPr="005F7D29">
              <w:rPr>
                <w:color w:val="000000"/>
                <w:sz w:val="22"/>
                <w:szCs w:val="22"/>
              </w:rPr>
              <w:t>[0.40,1.22]</w:t>
            </w:r>
          </w:p>
        </w:tc>
        <w:tc>
          <w:tcPr>
            <w:tcW w:w="695" w:type="pct"/>
            <w:shd w:val="clear" w:color="auto" w:fill="auto"/>
            <w:noWrap/>
            <w:vAlign w:val="center"/>
            <w:hideMark/>
          </w:tcPr>
          <w:p w14:paraId="47936208" w14:textId="77777777" w:rsidR="0080741E" w:rsidRPr="005F7D29" w:rsidRDefault="0080741E">
            <w:pPr>
              <w:rPr>
                <w:color w:val="000000"/>
                <w:sz w:val="22"/>
                <w:szCs w:val="22"/>
              </w:rPr>
            </w:pPr>
            <w:r w:rsidRPr="005F7D29">
              <w:rPr>
                <w:color w:val="000000"/>
                <w:sz w:val="22"/>
                <w:szCs w:val="22"/>
              </w:rPr>
              <w:t>[0.87,2.21]</w:t>
            </w:r>
          </w:p>
        </w:tc>
        <w:tc>
          <w:tcPr>
            <w:tcW w:w="695" w:type="pct"/>
            <w:shd w:val="clear" w:color="auto" w:fill="auto"/>
            <w:noWrap/>
            <w:vAlign w:val="center"/>
            <w:hideMark/>
          </w:tcPr>
          <w:p w14:paraId="7C249642" w14:textId="77777777" w:rsidR="0080741E" w:rsidRPr="005F7D29" w:rsidRDefault="0080741E">
            <w:pPr>
              <w:rPr>
                <w:color w:val="000000"/>
                <w:sz w:val="22"/>
                <w:szCs w:val="22"/>
              </w:rPr>
            </w:pPr>
            <w:r w:rsidRPr="005F7D29">
              <w:rPr>
                <w:color w:val="000000"/>
                <w:sz w:val="22"/>
                <w:szCs w:val="22"/>
              </w:rPr>
              <w:t>[0.76,1.68]</w:t>
            </w:r>
          </w:p>
        </w:tc>
        <w:tc>
          <w:tcPr>
            <w:tcW w:w="696" w:type="pct"/>
            <w:shd w:val="clear" w:color="auto" w:fill="auto"/>
            <w:noWrap/>
            <w:vAlign w:val="center"/>
            <w:hideMark/>
          </w:tcPr>
          <w:p w14:paraId="22A55B83" w14:textId="77777777" w:rsidR="0080741E" w:rsidRPr="005F7D29" w:rsidRDefault="0080741E">
            <w:pPr>
              <w:rPr>
                <w:color w:val="000000"/>
                <w:sz w:val="22"/>
                <w:szCs w:val="22"/>
              </w:rPr>
            </w:pPr>
            <w:r w:rsidRPr="005F7D29">
              <w:rPr>
                <w:color w:val="000000"/>
                <w:sz w:val="22"/>
                <w:szCs w:val="22"/>
              </w:rPr>
              <w:t>[0.53,1.39]</w:t>
            </w:r>
          </w:p>
        </w:tc>
      </w:tr>
      <w:tr w:rsidR="0080741E" w14:paraId="59C79CFF" w14:textId="77777777" w:rsidTr="00DC2123">
        <w:trPr>
          <w:trHeight w:val="320"/>
        </w:trPr>
        <w:tc>
          <w:tcPr>
            <w:tcW w:w="1524" w:type="pct"/>
            <w:shd w:val="clear" w:color="auto" w:fill="auto"/>
            <w:noWrap/>
            <w:vAlign w:val="center"/>
            <w:hideMark/>
          </w:tcPr>
          <w:p w14:paraId="73078876" w14:textId="77777777" w:rsidR="0080741E" w:rsidRDefault="0080741E">
            <w:pPr>
              <w:rPr>
                <w:color w:val="000000"/>
                <w:sz w:val="22"/>
                <w:szCs w:val="22"/>
              </w:rPr>
            </w:pPr>
            <w:r>
              <w:rPr>
                <w:color w:val="000000"/>
                <w:sz w:val="22"/>
                <w:szCs w:val="22"/>
              </w:rPr>
              <w:t>Stomach ulcer or other digestive problems</w:t>
            </w:r>
          </w:p>
        </w:tc>
        <w:tc>
          <w:tcPr>
            <w:tcW w:w="695" w:type="pct"/>
            <w:shd w:val="clear" w:color="auto" w:fill="auto"/>
            <w:noWrap/>
            <w:vAlign w:val="center"/>
            <w:hideMark/>
          </w:tcPr>
          <w:p w14:paraId="030B083D" w14:textId="77777777" w:rsidR="0080741E" w:rsidRPr="005F7D29" w:rsidRDefault="0080741E">
            <w:pPr>
              <w:rPr>
                <w:color w:val="000000"/>
                <w:sz w:val="22"/>
                <w:szCs w:val="22"/>
              </w:rPr>
            </w:pPr>
            <w:r w:rsidRPr="005F7D29">
              <w:rPr>
                <w:color w:val="000000"/>
                <w:sz w:val="22"/>
                <w:szCs w:val="22"/>
              </w:rPr>
              <w:t>1.75**</w:t>
            </w:r>
          </w:p>
        </w:tc>
        <w:tc>
          <w:tcPr>
            <w:tcW w:w="695" w:type="pct"/>
            <w:shd w:val="clear" w:color="auto" w:fill="auto"/>
            <w:noWrap/>
            <w:vAlign w:val="center"/>
            <w:hideMark/>
          </w:tcPr>
          <w:p w14:paraId="5947B8E4" w14:textId="77777777" w:rsidR="0080741E" w:rsidRPr="005F7D29" w:rsidRDefault="0080741E">
            <w:pPr>
              <w:rPr>
                <w:color w:val="000000"/>
                <w:sz w:val="22"/>
                <w:szCs w:val="22"/>
              </w:rPr>
            </w:pPr>
            <w:r w:rsidRPr="005F7D29">
              <w:rPr>
                <w:color w:val="000000"/>
                <w:sz w:val="22"/>
                <w:szCs w:val="22"/>
              </w:rPr>
              <w:t>1.48</w:t>
            </w:r>
          </w:p>
        </w:tc>
        <w:tc>
          <w:tcPr>
            <w:tcW w:w="695" w:type="pct"/>
            <w:shd w:val="clear" w:color="auto" w:fill="auto"/>
            <w:noWrap/>
            <w:vAlign w:val="center"/>
            <w:hideMark/>
          </w:tcPr>
          <w:p w14:paraId="2F8CED88" w14:textId="77777777" w:rsidR="0080741E" w:rsidRPr="005F7D29" w:rsidRDefault="0080741E">
            <w:pPr>
              <w:rPr>
                <w:color w:val="000000"/>
                <w:sz w:val="22"/>
                <w:szCs w:val="22"/>
              </w:rPr>
            </w:pPr>
            <w:r w:rsidRPr="005F7D29">
              <w:rPr>
                <w:color w:val="000000"/>
                <w:sz w:val="22"/>
                <w:szCs w:val="22"/>
              </w:rPr>
              <w:t>1.53</w:t>
            </w:r>
          </w:p>
        </w:tc>
        <w:tc>
          <w:tcPr>
            <w:tcW w:w="695" w:type="pct"/>
            <w:shd w:val="clear" w:color="auto" w:fill="auto"/>
            <w:noWrap/>
            <w:vAlign w:val="center"/>
            <w:hideMark/>
          </w:tcPr>
          <w:p w14:paraId="4C8137B2" w14:textId="77777777" w:rsidR="0080741E" w:rsidRPr="005F7D29" w:rsidRDefault="0080741E">
            <w:pPr>
              <w:rPr>
                <w:color w:val="000000"/>
                <w:sz w:val="22"/>
                <w:szCs w:val="22"/>
              </w:rPr>
            </w:pPr>
            <w:r w:rsidRPr="005F7D29">
              <w:rPr>
                <w:color w:val="000000"/>
                <w:sz w:val="22"/>
                <w:szCs w:val="22"/>
              </w:rPr>
              <w:t>1.31</w:t>
            </w:r>
          </w:p>
        </w:tc>
        <w:tc>
          <w:tcPr>
            <w:tcW w:w="696" w:type="pct"/>
            <w:shd w:val="clear" w:color="auto" w:fill="auto"/>
            <w:noWrap/>
            <w:vAlign w:val="center"/>
            <w:hideMark/>
          </w:tcPr>
          <w:p w14:paraId="144297D6" w14:textId="77777777" w:rsidR="0080741E" w:rsidRPr="005F7D29" w:rsidRDefault="0080741E">
            <w:pPr>
              <w:rPr>
                <w:color w:val="000000"/>
                <w:sz w:val="22"/>
                <w:szCs w:val="22"/>
              </w:rPr>
            </w:pPr>
            <w:r w:rsidRPr="005F7D29">
              <w:rPr>
                <w:color w:val="000000"/>
                <w:sz w:val="22"/>
                <w:szCs w:val="22"/>
              </w:rPr>
              <w:t>1.61</w:t>
            </w:r>
          </w:p>
        </w:tc>
      </w:tr>
      <w:tr w:rsidR="0080741E" w14:paraId="4A1F8E4E" w14:textId="77777777" w:rsidTr="00DC2123">
        <w:trPr>
          <w:trHeight w:val="320"/>
        </w:trPr>
        <w:tc>
          <w:tcPr>
            <w:tcW w:w="1524" w:type="pct"/>
            <w:shd w:val="clear" w:color="auto" w:fill="auto"/>
            <w:noWrap/>
            <w:vAlign w:val="center"/>
            <w:hideMark/>
          </w:tcPr>
          <w:p w14:paraId="59DEBB93" w14:textId="77777777" w:rsidR="0080741E" w:rsidRDefault="0080741E">
            <w:pPr>
              <w:rPr>
                <w:rFonts w:ascii="Calibri" w:hAnsi="Calibri" w:cs="Calibri"/>
                <w:color w:val="000000"/>
                <w:sz w:val="22"/>
                <w:szCs w:val="22"/>
              </w:rPr>
            </w:pPr>
          </w:p>
        </w:tc>
        <w:tc>
          <w:tcPr>
            <w:tcW w:w="695" w:type="pct"/>
            <w:shd w:val="clear" w:color="auto" w:fill="auto"/>
            <w:noWrap/>
            <w:vAlign w:val="center"/>
            <w:hideMark/>
          </w:tcPr>
          <w:p w14:paraId="50CEE78B" w14:textId="77777777" w:rsidR="0080741E" w:rsidRPr="005F7D29" w:rsidRDefault="0080741E">
            <w:pPr>
              <w:rPr>
                <w:color w:val="000000"/>
                <w:sz w:val="22"/>
                <w:szCs w:val="22"/>
              </w:rPr>
            </w:pPr>
            <w:r w:rsidRPr="005F7D29">
              <w:rPr>
                <w:color w:val="000000"/>
                <w:sz w:val="22"/>
                <w:szCs w:val="22"/>
              </w:rPr>
              <w:t>[1.26,2.45]</w:t>
            </w:r>
          </w:p>
        </w:tc>
        <w:tc>
          <w:tcPr>
            <w:tcW w:w="695" w:type="pct"/>
            <w:shd w:val="clear" w:color="auto" w:fill="auto"/>
            <w:noWrap/>
            <w:vAlign w:val="center"/>
            <w:hideMark/>
          </w:tcPr>
          <w:p w14:paraId="2C95A3FA" w14:textId="77777777" w:rsidR="0080741E" w:rsidRPr="005F7D29" w:rsidRDefault="0080741E">
            <w:pPr>
              <w:rPr>
                <w:color w:val="000000"/>
                <w:sz w:val="22"/>
                <w:szCs w:val="22"/>
              </w:rPr>
            </w:pPr>
            <w:r w:rsidRPr="005F7D29">
              <w:rPr>
                <w:color w:val="000000"/>
                <w:sz w:val="22"/>
                <w:szCs w:val="22"/>
              </w:rPr>
              <w:t>[0.74,2.98]</w:t>
            </w:r>
          </w:p>
        </w:tc>
        <w:tc>
          <w:tcPr>
            <w:tcW w:w="695" w:type="pct"/>
            <w:shd w:val="clear" w:color="auto" w:fill="auto"/>
            <w:noWrap/>
            <w:vAlign w:val="center"/>
            <w:hideMark/>
          </w:tcPr>
          <w:p w14:paraId="03C0778E" w14:textId="77777777" w:rsidR="0080741E" w:rsidRPr="005F7D29" w:rsidRDefault="0080741E">
            <w:pPr>
              <w:rPr>
                <w:color w:val="000000"/>
                <w:sz w:val="22"/>
                <w:szCs w:val="22"/>
              </w:rPr>
            </w:pPr>
            <w:r w:rsidRPr="005F7D29">
              <w:rPr>
                <w:color w:val="000000"/>
                <w:sz w:val="22"/>
                <w:szCs w:val="22"/>
              </w:rPr>
              <w:t>[0.81,2.86]</w:t>
            </w:r>
          </w:p>
        </w:tc>
        <w:tc>
          <w:tcPr>
            <w:tcW w:w="695" w:type="pct"/>
            <w:shd w:val="clear" w:color="auto" w:fill="auto"/>
            <w:noWrap/>
            <w:vAlign w:val="center"/>
            <w:hideMark/>
          </w:tcPr>
          <w:p w14:paraId="09B72BE0" w14:textId="77777777" w:rsidR="0080741E" w:rsidRPr="005F7D29" w:rsidRDefault="0080741E">
            <w:pPr>
              <w:rPr>
                <w:color w:val="000000"/>
                <w:sz w:val="22"/>
                <w:szCs w:val="22"/>
              </w:rPr>
            </w:pPr>
            <w:r w:rsidRPr="005F7D29">
              <w:rPr>
                <w:color w:val="000000"/>
                <w:sz w:val="22"/>
                <w:szCs w:val="22"/>
              </w:rPr>
              <w:t>[0.80,2.15]</w:t>
            </w:r>
          </w:p>
        </w:tc>
        <w:tc>
          <w:tcPr>
            <w:tcW w:w="696" w:type="pct"/>
            <w:shd w:val="clear" w:color="auto" w:fill="auto"/>
            <w:noWrap/>
            <w:vAlign w:val="center"/>
            <w:hideMark/>
          </w:tcPr>
          <w:p w14:paraId="531AE712" w14:textId="77777777" w:rsidR="0080741E" w:rsidRPr="005F7D29" w:rsidRDefault="0080741E">
            <w:pPr>
              <w:rPr>
                <w:color w:val="000000"/>
                <w:sz w:val="22"/>
                <w:szCs w:val="22"/>
              </w:rPr>
            </w:pPr>
            <w:r w:rsidRPr="005F7D29">
              <w:rPr>
                <w:color w:val="000000"/>
                <w:sz w:val="22"/>
                <w:szCs w:val="22"/>
              </w:rPr>
              <w:t>[0.86,3.01]</w:t>
            </w:r>
          </w:p>
        </w:tc>
      </w:tr>
      <w:tr w:rsidR="0080741E" w14:paraId="169899D6" w14:textId="77777777" w:rsidTr="00DC2123">
        <w:trPr>
          <w:trHeight w:val="320"/>
        </w:trPr>
        <w:tc>
          <w:tcPr>
            <w:tcW w:w="1524" w:type="pct"/>
            <w:shd w:val="clear" w:color="auto" w:fill="auto"/>
            <w:noWrap/>
            <w:vAlign w:val="center"/>
            <w:hideMark/>
          </w:tcPr>
          <w:p w14:paraId="37A32E56" w14:textId="77777777" w:rsidR="0080741E" w:rsidRDefault="0080741E">
            <w:pPr>
              <w:rPr>
                <w:color w:val="000000"/>
                <w:sz w:val="22"/>
                <w:szCs w:val="22"/>
              </w:rPr>
            </w:pPr>
            <w:r>
              <w:rPr>
                <w:color w:val="000000"/>
                <w:sz w:val="22"/>
                <w:szCs w:val="22"/>
              </w:rPr>
              <w:t>Stroke</w:t>
            </w:r>
          </w:p>
        </w:tc>
        <w:tc>
          <w:tcPr>
            <w:tcW w:w="695" w:type="pct"/>
            <w:shd w:val="clear" w:color="auto" w:fill="auto"/>
            <w:noWrap/>
            <w:vAlign w:val="center"/>
            <w:hideMark/>
          </w:tcPr>
          <w:p w14:paraId="0A357795" w14:textId="77777777" w:rsidR="0080741E" w:rsidRPr="005F7D29" w:rsidRDefault="0080741E">
            <w:pPr>
              <w:rPr>
                <w:color w:val="000000"/>
                <w:sz w:val="22"/>
                <w:szCs w:val="22"/>
              </w:rPr>
            </w:pPr>
            <w:r w:rsidRPr="005F7D29">
              <w:rPr>
                <w:color w:val="000000"/>
                <w:sz w:val="22"/>
                <w:szCs w:val="22"/>
              </w:rPr>
              <w:t>1.65</w:t>
            </w:r>
          </w:p>
        </w:tc>
        <w:tc>
          <w:tcPr>
            <w:tcW w:w="695" w:type="pct"/>
            <w:shd w:val="clear" w:color="auto" w:fill="auto"/>
            <w:noWrap/>
            <w:vAlign w:val="center"/>
            <w:hideMark/>
          </w:tcPr>
          <w:p w14:paraId="4039368B" w14:textId="77777777" w:rsidR="0080741E" w:rsidRPr="005F7D29" w:rsidRDefault="0080741E">
            <w:pPr>
              <w:rPr>
                <w:color w:val="000000"/>
                <w:sz w:val="22"/>
                <w:szCs w:val="22"/>
              </w:rPr>
            </w:pPr>
            <w:r w:rsidRPr="005F7D29">
              <w:rPr>
                <w:color w:val="000000"/>
                <w:sz w:val="22"/>
                <w:szCs w:val="22"/>
              </w:rPr>
              <w:t>1.00</w:t>
            </w:r>
          </w:p>
        </w:tc>
        <w:tc>
          <w:tcPr>
            <w:tcW w:w="695" w:type="pct"/>
            <w:shd w:val="clear" w:color="auto" w:fill="auto"/>
            <w:noWrap/>
            <w:vAlign w:val="center"/>
            <w:hideMark/>
          </w:tcPr>
          <w:p w14:paraId="6DEE3ACD" w14:textId="77777777" w:rsidR="0080741E" w:rsidRPr="005F7D29" w:rsidRDefault="0080741E">
            <w:pPr>
              <w:rPr>
                <w:color w:val="000000"/>
                <w:sz w:val="22"/>
                <w:szCs w:val="22"/>
              </w:rPr>
            </w:pPr>
            <w:r w:rsidRPr="005F7D29">
              <w:rPr>
                <w:color w:val="000000"/>
                <w:sz w:val="22"/>
                <w:szCs w:val="22"/>
              </w:rPr>
              <w:t>0.12</w:t>
            </w:r>
          </w:p>
        </w:tc>
        <w:tc>
          <w:tcPr>
            <w:tcW w:w="695" w:type="pct"/>
            <w:shd w:val="clear" w:color="auto" w:fill="auto"/>
            <w:noWrap/>
            <w:vAlign w:val="center"/>
            <w:hideMark/>
          </w:tcPr>
          <w:p w14:paraId="6752AF2D" w14:textId="77777777" w:rsidR="0080741E" w:rsidRPr="005F7D29" w:rsidRDefault="0080741E">
            <w:pPr>
              <w:rPr>
                <w:color w:val="000000"/>
                <w:sz w:val="22"/>
                <w:szCs w:val="22"/>
              </w:rPr>
            </w:pPr>
            <w:r w:rsidRPr="005F7D29">
              <w:rPr>
                <w:color w:val="000000"/>
                <w:sz w:val="22"/>
                <w:szCs w:val="22"/>
              </w:rPr>
              <w:t>3.88*</w:t>
            </w:r>
          </w:p>
        </w:tc>
        <w:tc>
          <w:tcPr>
            <w:tcW w:w="696" w:type="pct"/>
            <w:shd w:val="clear" w:color="auto" w:fill="auto"/>
            <w:noWrap/>
            <w:vAlign w:val="center"/>
            <w:hideMark/>
          </w:tcPr>
          <w:p w14:paraId="6A172FFB" w14:textId="77777777" w:rsidR="0080741E" w:rsidRPr="005F7D29" w:rsidRDefault="0080741E">
            <w:pPr>
              <w:rPr>
                <w:color w:val="000000"/>
                <w:sz w:val="22"/>
                <w:szCs w:val="22"/>
              </w:rPr>
            </w:pPr>
            <w:r w:rsidRPr="005F7D29">
              <w:rPr>
                <w:color w:val="000000"/>
                <w:sz w:val="22"/>
                <w:szCs w:val="22"/>
              </w:rPr>
              <w:t>0.80</w:t>
            </w:r>
          </w:p>
        </w:tc>
      </w:tr>
      <w:tr w:rsidR="0080741E" w14:paraId="1DF6E0AD" w14:textId="77777777" w:rsidTr="00DC2123">
        <w:trPr>
          <w:trHeight w:val="320"/>
        </w:trPr>
        <w:tc>
          <w:tcPr>
            <w:tcW w:w="1524" w:type="pct"/>
            <w:shd w:val="clear" w:color="auto" w:fill="auto"/>
            <w:noWrap/>
            <w:vAlign w:val="center"/>
            <w:hideMark/>
          </w:tcPr>
          <w:p w14:paraId="77525E90" w14:textId="77777777" w:rsidR="0080741E" w:rsidRDefault="0080741E">
            <w:pPr>
              <w:rPr>
                <w:color w:val="000000"/>
                <w:sz w:val="22"/>
                <w:szCs w:val="22"/>
              </w:rPr>
            </w:pPr>
            <w:r>
              <w:rPr>
                <w:color w:val="000000"/>
                <w:sz w:val="22"/>
                <w:szCs w:val="22"/>
              </w:rPr>
              <w:t> </w:t>
            </w:r>
          </w:p>
        </w:tc>
        <w:tc>
          <w:tcPr>
            <w:tcW w:w="695" w:type="pct"/>
            <w:shd w:val="clear" w:color="auto" w:fill="auto"/>
            <w:noWrap/>
            <w:vAlign w:val="center"/>
            <w:hideMark/>
          </w:tcPr>
          <w:p w14:paraId="2E02A084" w14:textId="77777777" w:rsidR="0080741E" w:rsidRPr="005F7D29" w:rsidRDefault="0080741E">
            <w:pPr>
              <w:rPr>
                <w:color w:val="000000"/>
                <w:sz w:val="22"/>
                <w:szCs w:val="22"/>
              </w:rPr>
            </w:pPr>
            <w:r w:rsidRPr="005F7D29">
              <w:rPr>
                <w:color w:val="000000"/>
                <w:sz w:val="22"/>
                <w:szCs w:val="22"/>
              </w:rPr>
              <w:t>[0.52,5.22]</w:t>
            </w:r>
          </w:p>
        </w:tc>
        <w:tc>
          <w:tcPr>
            <w:tcW w:w="695" w:type="pct"/>
            <w:shd w:val="clear" w:color="auto" w:fill="auto"/>
            <w:noWrap/>
            <w:vAlign w:val="center"/>
            <w:hideMark/>
          </w:tcPr>
          <w:p w14:paraId="35D4B881" w14:textId="77777777" w:rsidR="0080741E" w:rsidRPr="005F7D29" w:rsidRDefault="0080741E">
            <w:pPr>
              <w:rPr>
                <w:color w:val="000000"/>
                <w:sz w:val="22"/>
                <w:szCs w:val="22"/>
              </w:rPr>
            </w:pPr>
            <w:r w:rsidRPr="005F7D29">
              <w:rPr>
                <w:color w:val="000000"/>
                <w:sz w:val="22"/>
                <w:szCs w:val="22"/>
              </w:rPr>
              <w:t>[1.00,1.00]</w:t>
            </w:r>
          </w:p>
        </w:tc>
        <w:tc>
          <w:tcPr>
            <w:tcW w:w="695" w:type="pct"/>
            <w:shd w:val="clear" w:color="auto" w:fill="auto"/>
            <w:noWrap/>
            <w:vAlign w:val="center"/>
            <w:hideMark/>
          </w:tcPr>
          <w:p w14:paraId="3CB6EA74" w14:textId="77777777" w:rsidR="0080741E" w:rsidRPr="005F7D29" w:rsidRDefault="0080741E">
            <w:pPr>
              <w:rPr>
                <w:color w:val="000000"/>
                <w:sz w:val="22"/>
                <w:szCs w:val="22"/>
              </w:rPr>
            </w:pPr>
            <w:r w:rsidRPr="005F7D29">
              <w:rPr>
                <w:color w:val="000000"/>
                <w:sz w:val="22"/>
                <w:szCs w:val="22"/>
              </w:rPr>
              <w:t>[0.01,1.53]</w:t>
            </w:r>
          </w:p>
        </w:tc>
        <w:tc>
          <w:tcPr>
            <w:tcW w:w="695" w:type="pct"/>
            <w:shd w:val="clear" w:color="auto" w:fill="auto"/>
            <w:noWrap/>
            <w:vAlign w:val="center"/>
            <w:hideMark/>
          </w:tcPr>
          <w:p w14:paraId="504D49D1" w14:textId="77777777" w:rsidR="0080741E" w:rsidRPr="005F7D29" w:rsidRDefault="0080741E">
            <w:pPr>
              <w:rPr>
                <w:color w:val="000000"/>
                <w:sz w:val="22"/>
                <w:szCs w:val="22"/>
              </w:rPr>
            </w:pPr>
            <w:r w:rsidRPr="005F7D29">
              <w:rPr>
                <w:color w:val="000000"/>
                <w:sz w:val="22"/>
                <w:szCs w:val="22"/>
              </w:rPr>
              <w:t>[1.08,13.86]</w:t>
            </w:r>
          </w:p>
        </w:tc>
        <w:tc>
          <w:tcPr>
            <w:tcW w:w="696" w:type="pct"/>
            <w:shd w:val="clear" w:color="auto" w:fill="auto"/>
            <w:noWrap/>
            <w:vAlign w:val="center"/>
            <w:hideMark/>
          </w:tcPr>
          <w:p w14:paraId="4015C36C" w14:textId="77777777" w:rsidR="0080741E" w:rsidRPr="005F7D29" w:rsidRDefault="0080741E">
            <w:pPr>
              <w:rPr>
                <w:color w:val="000000"/>
                <w:sz w:val="22"/>
                <w:szCs w:val="22"/>
              </w:rPr>
            </w:pPr>
            <w:r w:rsidRPr="005F7D29">
              <w:rPr>
                <w:color w:val="000000"/>
                <w:sz w:val="22"/>
                <w:szCs w:val="22"/>
              </w:rPr>
              <w:t>[0.02,30.48]</w:t>
            </w:r>
          </w:p>
        </w:tc>
      </w:tr>
    </w:tbl>
    <w:p w14:paraId="736750BF" w14:textId="2E209969" w:rsidR="00CB2961" w:rsidRPr="007526AD" w:rsidRDefault="00CB2961" w:rsidP="00CB2961">
      <w:pPr>
        <w:rPr>
          <w:sz w:val="20"/>
          <w:szCs w:val="20"/>
          <w:lang w:val="en-US"/>
        </w:rPr>
      </w:pPr>
      <w:r w:rsidRPr="007526AD">
        <w:rPr>
          <w:sz w:val="20"/>
          <w:szCs w:val="20"/>
          <w:lang w:val="en-US"/>
        </w:rPr>
        <w:t>Data are odds ratio [95% confidence interval].</w:t>
      </w:r>
    </w:p>
    <w:p w14:paraId="44F1E4B5" w14:textId="59B36A17" w:rsidR="00CB2961" w:rsidRPr="007526AD" w:rsidRDefault="00CB2961" w:rsidP="00CB2961">
      <w:pPr>
        <w:rPr>
          <w:sz w:val="20"/>
          <w:szCs w:val="20"/>
          <w:lang w:val="en-US"/>
        </w:rPr>
      </w:pPr>
      <w:r w:rsidRPr="007526AD">
        <w:rPr>
          <w:sz w:val="20"/>
          <w:szCs w:val="20"/>
          <w:lang w:val="en-US"/>
        </w:rPr>
        <w:t>Models are adjusted for age, sex, education, ethnicity</w:t>
      </w:r>
      <w:r w:rsidR="0080741E">
        <w:rPr>
          <w:sz w:val="20"/>
          <w:szCs w:val="20"/>
          <w:lang w:val="en-US"/>
        </w:rPr>
        <w:t>, and presence of ≥2 eating disorder symptoms.</w:t>
      </w:r>
    </w:p>
    <w:p w14:paraId="56F55CCD" w14:textId="0298CB42" w:rsidR="000B02B9" w:rsidRPr="007526AD" w:rsidRDefault="00CB2961" w:rsidP="006F6023">
      <w:pPr>
        <w:autoSpaceDE w:val="0"/>
        <w:autoSpaceDN w:val="0"/>
        <w:adjustRightInd w:val="0"/>
        <w:rPr>
          <w:sz w:val="20"/>
          <w:szCs w:val="20"/>
          <w:lang w:val="en-US"/>
        </w:rPr>
      </w:pPr>
      <w:r w:rsidRPr="007526AD">
        <w:rPr>
          <w:rFonts w:eastAsiaTheme="minorEastAsia"/>
          <w:sz w:val="20"/>
          <w:szCs w:val="20"/>
          <w:lang w:val="en-US"/>
        </w:rPr>
        <w:t>The definitions of eating disorder symptoms were:</w:t>
      </w:r>
      <w:r w:rsidR="00B9644B">
        <w:rPr>
          <w:rFonts w:eastAsiaTheme="minorEastAsia"/>
          <w:sz w:val="20"/>
          <w:szCs w:val="20"/>
          <w:lang w:val="en-US"/>
        </w:rPr>
        <w:t xml:space="preserve"> weight</w:t>
      </w:r>
      <w:r w:rsidRPr="007526AD">
        <w:rPr>
          <w:rFonts w:eastAsiaTheme="minorEastAsia"/>
          <w:sz w:val="20"/>
          <w:szCs w:val="20"/>
          <w:lang w:val="en-US"/>
        </w:rPr>
        <w:t xml:space="preserve"> loss (had lost more than 6.35 kg in 3 months); self-sick for feeling full (had made him/herself be sick because he/she felt uncomfortably full); uncontrolled eating (worried he/she had lost control over how much he/she eats); self-perceived fatness (believed to be fat when others said that he/she was too thin); food dominance (thought that food dominated his/her life); </w:t>
      </w:r>
    </w:p>
    <w:p w14:paraId="00A0F21C" w14:textId="3ABA4272" w:rsidR="00B93A6B" w:rsidRPr="007526AD" w:rsidRDefault="007E1B92" w:rsidP="006F6023">
      <w:pPr>
        <w:autoSpaceDE w:val="0"/>
        <w:autoSpaceDN w:val="0"/>
        <w:adjustRightInd w:val="0"/>
        <w:rPr>
          <w:sz w:val="20"/>
          <w:szCs w:val="20"/>
          <w:lang w:val="en-US"/>
        </w:rPr>
      </w:pPr>
      <w:r>
        <w:rPr>
          <w:sz w:val="20"/>
          <w:szCs w:val="20"/>
          <w:lang w:val="en-US"/>
        </w:rPr>
        <w:t>*</w:t>
      </w:r>
      <w:r w:rsidR="00B93A6B" w:rsidRPr="007526AD">
        <w:rPr>
          <w:sz w:val="20"/>
          <w:szCs w:val="20"/>
          <w:lang w:val="en-US"/>
        </w:rPr>
        <w:t xml:space="preserve"> p&lt;0.05, ** p&lt;0.01, *** p&lt;0.001</w:t>
      </w:r>
    </w:p>
    <w:p w14:paraId="0077E8A6" w14:textId="2CCA0DC1" w:rsidR="0001526D" w:rsidRPr="007526AD" w:rsidRDefault="0001526D" w:rsidP="006E6834">
      <w:pPr>
        <w:rPr>
          <w:sz w:val="20"/>
          <w:szCs w:val="20"/>
          <w:lang w:val="en-US"/>
        </w:rPr>
      </w:pPr>
    </w:p>
    <w:sectPr w:rsidR="0001526D" w:rsidRPr="007526AD" w:rsidSect="0001526D">
      <w:pgSz w:w="15840" w:h="1224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F879A1" w14:textId="77777777" w:rsidR="007272EC" w:rsidRDefault="007272EC" w:rsidP="00A20CE4">
      <w:r>
        <w:separator/>
      </w:r>
    </w:p>
  </w:endnote>
  <w:endnote w:type="continuationSeparator" w:id="0">
    <w:p w14:paraId="7B0AD276" w14:textId="77777777" w:rsidR="007272EC" w:rsidRDefault="007272EC" w:rsidP="00A20C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473285032"/>
      <w:docPartObj>
        <w:docPartGallery w:val="Page Numbers (Bottom of Page)"/>
        <w:docPartUnique/>
      </w:docPartObj>
    </w:sdtPr>
    <w:sdtContent>
      <w:p w14:paraId="5DBC8418" w14:textId="6CB1BCB9" w:rsidR="00194BFB" w:rsidRDefault="00194BFB" w:rsidP="001C4243">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4A3E93E5" w14:textId="77777777" w:rsidR="00194BFB" w:rsidRDefault="00194BFB" w:rsidP="00A20CE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115625112"/>
      <w:docPartObj>
        <w:docPartGallery w:val="Page Numbers (Bottom of Page)"/>
        <w:docPartUnique/>
      </w:docPartObj>
    </w:sdtPr>
    <w:sdtContent>
      <w:p w14:paraId="7E14FC5D" w14:textId="7881D5C9" w:rsidR="00194BFB" w:rsidRDefault="00194BFB" w:rsidP="001C4243">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03535F">
          <w:rPr>
            <w:rStyle w:val="PageNumber"/>
            <w:noProof/>
          </w:rPr>
          <w:t>4</w:t>
        </w:r>
        <w:r>
          <w:rPr>
            <w:rStyle w:val="PageNumber"/>
          </w:rPr>
          <w:fldChar w:fldCharType="end"/>
        </w:r>
      </w:p>
    </w:sdtContent>
  </w:sdt>
  <w:p w14:paraId="5AF82E4C" w14:textId="77777777" w:rsidR="00194BFB" w:rsidRDefault="00194BFB" w:rsidP="00A20CE4">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4E0DDA" w14:textId="77777777" w:rsidR="007272EC" w:rsidRDefault="007272EC" w:rsidP="00A20CE4">
      <w:r>
        <w:separator/>
      </w:r>
    </w:p>
  </w:footnote>
  <w:footnote w:type="continuationSeparator" w:id="0">
    <w:p w14:paraId="301E02AD" w14:textId="77777777" w:rsidR="007272EC" w:rsidRDefault="007272EC" w:rsidP="00A20C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9DF3D20"/>
    <w:multiLevelType w:val="hybridMultilevel"/>
    <w:tmpl w:val="4FE4461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15132550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Acta Psych Scandinavica Copy 3&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dvtaa5vxrx0zfze5s53v0zvez99dafp2e5f5&quot;&gt;My EndNote Library&lt;record-ids&gt;&lt;item&gt;1571&lt;/item&gt;&lt;item&gt;1758&lt;/item&gt;&lt;item&gt;1822&lt;/item&gt;&lt;item&gt;1841&lt;/item&gt;&lt;item&gt;1842&lt;/item&gt;&lt;item&gt;1843&lt;/item&gt;&lt;item&gt;2644&lt;/item&gt;&lt;item&gt;3310&lt;/item&gt;&lt;item&gt;4166&lt;/item&gt;&lt;item&gt;4167&lt;/item&gt;&lt;item&gt;4472&lt;/item&gt;&lt;item&gt;4475&lt;/item&gt;&lt;/record-ids&gt;&lt;/item&gt;&lt;/Libraries&gt;"/>
  </w:docVars>
  <w:rsids>
    <w:rsidRoot w:val="00997719"/>
    <w:rsid w:val="00014D99"/>
    <w:rsid w:val="0001526D"/>
    <w:rsid w:val="000167CB"/>
    <w:rsid w:val="00016CE5"/>
    <w:rsid w:val="0002052F"/>
    <w:rsid w:val="00021F26"/>
    <w:rsid w:val="00026A1E"/>
    <w:rsid w:val="00030752"/>
    <w:rsid w:val="00033135"/>
    <w:rsid w:val="0003535F"/>
    <w:rsid w:val="00036255"/>
    <w:rsid w:val="000419A1"/>
    <w:rsid w:val="000436DB"/>
    <w:rsid w:val="00043833"/>
    <w:rsid w:val="0004703B"/>
    <w:rsid w:val="00047CCF"/>
    <w:rsid w:val="00052610"/>
    <w:rsid w:val="00056760"/>
    <w:rsid w:val="00067B0E"/>
    <w:rsid w:val="000723B4"/>
    <w:rsid w:val="000753AD"/>
    <w:rsid w:val="000854F8"/>
    <w:rsid w:val="0009696F"/>
    <w:rsid w:val="00096F60"/>
    <w:rsid w:val="000977E9"/>
    <w:rsid w:val="00097BBC"/>
    <w:rsid w:val="000A64F8"/>
    <w:rsid w:val="000A6BE8"/>
    <w:rsid w:val="000A7BB7"/>
    <w:rsid w:val="000A7F67"/>
    <w:rsid w:val="000B02B9"/>
    <w:rsid w:val="000B3051"/>
    <w:rsid w:val="000B4F00"/>
    <w:rsid w:val="000B624C"/>
    <w:rsid w:val="000B748C"/>
    <w:rsid w:val="000D2D17"/>
    <w:rsid w:val="000D3C76"/>
    <w:rsid w:val="000D5C13"/>
    <w:rsid w:val="000E4856"/>
    <w:rsid w:val="000F1A27"/>
    <w:rsid w:val="000F27D6"/>
    <w:rsid w:val="000F6F69"/>
    <w:rsid w:val="00100467"/>
    <w:rsid w:val="00105E57"/>
    <w:rsid w:val="00111351"/>
    <w:rsid w:val="00112B1F"/>
    <w:rsid w:val="001131E3"/>
    <w:rsid w:val="00115615"/>
    <w:rsid w:val="00116E20"/>
    <w:rsid w:val="00125B05"/>
    <w:rsid w:val="001261C4"/>
    <w:rsid w:val="00136D83"/>
    <w:rsid w:val="00136E37"/>
    <w:rsid w:val="00141A65"/>
    <w:rsid w:val="00144C67"/>
    <w:rsid w:val="0014680A"/>
    <w:rsid w:val="00146B15"/>
    <w:rsid w:val="001507A8"/>
    <w:rsid w:val="00150F43"/>
    <w:rsid w:val="001541EF"/>
    <w:rsid w:val="0015427C"/>
    <w:rsid w:val="00161DF4"/>
    <w:rsid w:val="0016567E"/>
    <w:rsid w:val="00177A19"/>
    <w:rsid w:val="001851D0"/>
    <w:rsid w:val="00194BFB"/>
    <w:rsid w:val="00195D2C"/>
    <w:rsid w:val="00195F59"/>
    <w:rsid w:val="00196465"/>
    <w:rsid w:val="001A0CFB"/>
    <w:rsid w:val="001A2B35"/>
    <w:rsid w:val="001A53DD"/>
    <w:rsid w:val="001B41AA"/>
    <w:rsid w:val="001B4665"/>
    <w:rsid w:val="001C4243"/>
    <w:rsid w:val="001C732C"/>
    <w:rsid w:val="001D0A41"/>
    <w:rsid w:val="001D4F1A"/>
    <w:rsid w:val="001D74AD"/>
    <w:rsid w:val="001D7EB6"/>
    <w:rsid w:val="001E0B59"/>
    <w:rsid w:val="001E5F14"/>
    <w:rsid w:val="001F2CE2"/>
    <w:rsid w:val="00200058"/>
    <w:rsid w:val="002074DE"/>
    <w:rsid w:val="002111FE"/>
    <w:rsid w:val="0021145C"/>
    <w:rsid w:val="00211B6B"/>
    <w:rsid w:val="002159FD"/>
    <w:rsid w:val="00216A49"/>
    <w:rsid w:val="00217948"/>
    <w:rsid w:val="00225E28"/>
    <w:rsid w:val="0022649E"/>
    <w:rsid w:val="002267F1"/>
    <w:rsid w:val="002376F7"/>
    <w:rsid w:val="00242159"/>
    <w:rsid w:val="0024391D"/>
    <w:rsid w:val="00243D09"/>
    <w:rsid w:val="00250223"/>
    <w:rsid w:val="002557A9"/>
    <w:rsid w:val="00266F3E"/>
    <w:rsid w:val="002750DD"/>
    <w:rsid w:val="00276D94"/>
    <w:rsid w:val="002A1A48"/>
    <w:rsid w:val="002A735C"/>
    <w:rsid w:val="002C067A"/>
    <w:rsid w:val="002C21C8"/>
    <w:rsid w:val="002C4D46"/>
    <w:rsid w:val="002C5C3E"/>
    <w:rsid w:val="002D295C"/>
    <w:rsid w:val="002D4A3E"/>
    <w:rsid w:val="002D6DE9"/>
    <w:rsid w:val="002E3BCD"/>
    <w:rsid w:val="002E6A68"/>
    <w:rsid w:val="002E7E73"/>
    <w:rsid w:val="002F7DB3"/>
    <w:rsid w:val="00301468"/>
    <w:rsid w:val="00302E18"/>
    <w:rsid w:val="00303C2E"/>
    <w:rsid w:val="00312C12"/>
    <w:rsid w:val="00313994"/>
    <w:rsid w:val="00314139"/>
    <w:rsid w:val="00316342"/>
    <w:rsid w:val="0033426D"/>
    <w:rsid w:val="00334550"/>
    <w:rsid w:val="00345385"/>
    <w:rsid w:val="00351E6D"/>
    <w:rsid w:val="003569DF"/>
    <w:rsid w:val="003640FE"/>
    <w:rsid w:val="00367F0F"/>
    <w:rsid w:val="0039541B"/>
    <w:rsid w:val="003A4203"/>
    <w:rsid w:val="003A6E3E"/>
    <w:rsid w:val="003B2DC8"/>
    <w:rsid w:val="003B43DF"/>
    <w:rsid w:val="003B7790"/>
    <w:rsid w:val="003C16DE"/>
    <w:rsid w:val="003C339B"/>
    <w:rsid w:val="003C66F2"/>
    <w:rsid w:val="003D2EFA"/>
    <w:rsid w:val="003E363C"/>
    <w:rsid w:val="003E5FA0"/>
    <w:rsid w:val="003E63B7"/>
    <w:rsid w:val="003E7CDC"/>
    <w:rsid w:val="003F0AEE"/>
    <w:rsid w:val="003F4087"/>
    <w:rsid w:val="003F42F2"/>
    <w:rsid w:val="003F5E64"/>
    <w:rsid w:val="00403216"/>
    <w:rsid w:val="00404A5A"/>
    <w:rsid w:val="004069EC"/>
    <w:rsid w:val="004120B1"/>
    <w:rsid w:val="00421D8A"/>
    <w:rsid w:val="004224A2"/>
    <w:rsid w:val="0042542C"/>
    <w:rsid w:val="004254D2"/>
    <w:rsid w:val="004273CE"/>
    <w:rsid w:val="00431DFD"/>
    <w:rsid w:val="00440860"/>
    <w:rsid w:val="00440A6F"/>
    <w:rsid w:val="004425F2"/>
    <w:rsid w:val="004447A5"/>
    <w:rsid w:val="004477D9"/>
    <w:rsid w:val="004510DB"/>
    <w:rsid w:val="0045117E"/>
    <w:rsid w:val="00460037"/>
    <w:rsid w:val="00464649"/>
    <w:rsid w:val="004721F0"/>
    <w:rsid w:val="0048150B"/>
    <w:rsid w:val="00482A18"/>
    <w:rsid w:val="004924A1"/>
    <w:rsid w:val="00495432"/>
    <w:rsid w:val="004A2FF8"/>
    <w:rsid w:val="004B0372"/>
    <w:rsid w:val="004B6E84"/>
    <w:rsid w:val="004D6759"/>
    <w:rsid w:val="004D7D90"/>
    <w:rsid w:val="004F13CB"/>
    <w:rsid w:val="004F35F7"/>
    <w:rsid w:val="00500744"/>
    <w:rsid w:val="0051272B"/>
    <w:rsid w:val="00514C4A"/>
    <w:rsid w:val="00514FC7"/>
    <w:rsid w:val="005221E6"/>
    <w:rsid w:val="00535260"/>
    <w:rsid w:val="00535BE8"/>
    <w:rsid w:val="0053670F"/>
    <w:rsid w:val="00543659"/>
    <w:rsid w:val="00554066"/>
    <w:rsid w:val="00556110"/>
    <w:rsid w:val="00566219"/>
    <w:rsid w:val="00566EF0"/>
    <w:rsid w:val="00577C49"/>
    <w:rsid w:val="005818BB"/>
    <w:rsid w:val="00587FCF"/>
    <w:rsid w:val="00591A15"/>
    <w:rsid w:val="00594996"/>
    <w:rsid w:val="005972B5"/>
    <w:rsid w:val="005A14E0"/>
    <w:rsid w:val="005B26EB"/>
    <w:rsid w:val="005B4862"/>
    <w:rsid w:val="005B54EF"/>
    <w:rsid w:val="005B70AC"/>
    <w:rsid w:val="005C7406"/>
    <w:rsid w:val="005D0E05"/>
    <w:rsid w:val="005D2F2E"/>
    <w:rsid w:val="005D30BC"/>
    <w:rsid w:val="005D3F6A"/>
    <w:rsid w:val="005D5DC0"/>
    <w:rsid w:val="005D7482"/>
    <w:rsid w:val="005E19EE"/>
    <w:rsid w:val="005E29D3"/>
    <w:rsid w:val="005E71F2"/>
    <w:rsid w:val="005F0715"/>
    <w:rsid w:val="005F079E"/>
    <w:rsid w:val="005F3EBC"/>
    <w:rsid w:val="005F764F"/>
    <w:rsid w:val="005F7D29"/>
    <w:rsid w:val="0060244D"/>
    <w:rsid w:val="00611992"/>
    <w:rsid w:val="00611E75"/>
    <w:rsid w:val="00620BDC"/>
    <w:rsid w:val="00621EEF"/>
    <w:rsid w:val="00625579"/>
    <w:rsid w:val="00636341"/>
    <w:rsid w:val="00643A57"/>
    <w:rsid w:val="0065038C"/>
    <w:rsid w:val="00651192"/>
    <w:rsid w:val="006542E4"/>
    <w:rsid w:val="006553AA"/>
    <w:rsid w:val="006555F3"/>
    <w:rsid w:val="0066780E"/>
    <w:rsid w:val="00670075"/>
    <w:rsid w:val="00691E65"/>
    <w:rsid w:val="006A1B9B"/>
    <w:rsid w:val="006A5D8A"/>
    <w:rsid w:val="006A6AB7"/>
    <w:rsid w:val="006A785B"/>
    <w:rsid w:val="006B0B53"/>
    <w:rsid w:val="006B34DE"/>
    <w:rsid w:val="006B363E"/>
    <w:rsid w:val="006B3FB8"/>
    <w:rsid w:val="006B53A0"/>
    <w:rsid w:val="006B63AF"/>
    <w:rsid w:val="006C438C"/>
    <w:rsid w:val="006C77FD"/>
    <w:rsid w:val="006C7A72"/>
    <w:rsid w:val="006D0C5C"/>
    <w:rsid w:val="006D0D77"/>
    <w:rsid w:val="006D20D5"/>
    <w:rsid w:val="006D3BD5"/>
    <w:rsid w:val="006D509D"/>
    <w:rsid w:val="006D6B17"/>
    <w:rsid w:val="006E19CE"/>
    <w:rsid w:val="006E6834"/>
    <w:rsid w:val="006F102A"/>
    <w:rsid w:val="006F1623"/>
    <w:rsid w:val="006F5425"/>
    <w:rsid w:val="006F6023"/>
    <w:rsid w:val="006F7F13"/>
    <w:rsid w:val="00700446"/>
    <w:rsid w:val="00701B0D"/>
    <w:rsid w:val="007041C6"/>
    <w:rsid w:val="007061E3"/>
    <w:rsid w:val="007072C8"/>
    <w:rsid w:val="0071158E"/>
    <w:rsid w:val="00720A5F"/>
    <w:rsid w:val="007255E5"/>
    <w:rsid w:val="007272EC"/>
    <w:rsid w:val="007317EF"/>
    <w:rsid w:val="0073256A"/>
    <w:rsid w:val="00740166"/>
    <w:rsid w:val="0074414B"/>
    <w:rsid w:val="00745565"/>
    <w:rsid w:val="00746234"/>
    <w:rsid w:val="007526AD"/>
    <w:rsid w:val="0075789E"/>
    <w:rsid w:val="00771605"/>
    <w:rsid w:val="0077275F"/>
    <w:rsid w:val="00774E43"/>
    <w:rsid w:val="0077559A"/>
    <w:rsid w:val="00776A95"/>
    <w:rsid w:val="00780BEC"/>
    <w:rsid w:val="0078176A"/>
    <w:rsid w:val="0078304D"/>
    <w:rsid w:val="0078323B"/>
    <w:rsid w:val="0079126D"/>
    <w:rsid w:val="00791DE9"/>
    <w:rsid w:val="00792976"/>
    <w:rsid w:val="00792D60"/>
    <w:rsid w:val="007974F9"/>
    <w:rsid w:val="0079793C"/>
    <w:rsid w:val="007A037E"/>
    <w:rsid w:val="007A1B1B"/>
    <w:rsid w:val="007B2B65"/>
    <w:rsid w:val="007B36A4"/>
    <w:rsid w:val="007B3798"/>
    <w:rsid w:val="007B446F"/>
    <w:rsid w:val="007C28A5"/>
    <w:rsid w:val="007D64D0"/>
    <w:rsid w:val="007E1B92"/>
    <w:rsid w:val="007E6211"/>
    <w:rsid w:val="007F198F"/>
    <w:rsid w:val="00802CAF"/>
    <w:rsid w:val="00803FA0"/>
    <w:rsid w:val="00806965"/>
    <w:rsid w:val="0080741E"/>
    <w:rsid w:val="00807787"/>
    <w:rsid w:val="00807CA9"/>
    <w:rsid w:val="00807CB5"/>
    <w:rsid w:val="00810C83"/>
    <w:rsid w:val="00812663"/>
    <w:rsid w:val="00821F59"/>
    <w:rsid w:val="00821F8D"/>
    <w:rsid w:val="00822E6B"/>
    <w:rsid w:val="00822FC1"/>
    <w:rsid w:val="00824BC0"/>
    <w:rsid w:val="0082601F"/>
    <w:rsid w:val="00832ED8"/>
    <w:rsid w:val="00841AC5"/>
    <w:rsid w:val="00853178"/>
    <w:rsid w:val="008547C8"/>
    <w:rsid w:val="00876927"/>
    <w:rsid w:val="00876FAD"/>
    <w:rsid w:val="008770FE"/>
    <w:rsid w:val="00877875"/>
    <w:rsid w:val="0088018A"/>
    <w:rsid w:val="00885AB5"/>
    <w:rsid w:val="00891A79"/>
    <w:rsid w:val="008C483E"/>
    <w:rsid w:val="008C6344"/>
    <w:rsid w:val="008D00F3"/>
    <w:rsid w:val="008D1BB0"/>
    <w:rsid w:val="008D1E67"/>
    <w:rsid w:val="008D2B0F"/>
    <w:rsid w:val="008D470A"/>
    <w:rsid w:val="008D54B7"/>
    <w:rsid w:val="008E5670"/>
    <w:rsid w:val="008F12E5"/>
    <w:rsid w:val="008F370B"/>
    <w:rsid w:val="008F66E5"/>
    <w:rsid w:val="00901204"/>
    <w:rsid w:val="00902151"/>
    <w:rsid w:val="00902A14"/>
    <w:rsid w:val="009037BE"/>
    <w:rsid w:val="0092284F"/>
    <w:rsid w:val="009252A5"/>
    <w:rsid w:val="00931721"/>
    <w:rsid w:val="00933D5D"/>
    <w:rsid w:val="00942ED6"/>
    <w:rsid w:val="00945BD8"/>
    <w:rsid w:val="00947CB0"/>
    <w:rsid w:val="009503D5"/>
    <w:rsid w:val="0095596B"/>
    <w:rsid w:val="00964C80"/>
    <w:rsid w:val="00970085"/>
    <w:rsid w:val="009776D7"/>
    <w:rsid w:val="00980154"/>
    <w:rsid w:val="009807CD"/>
    <w:rsid w:val="00986818"/>
    <w:rsid w:val="00986A49"/>
    <w:rsid w:val="00993F06"/>
    <w:rsid w:val="009964D7"/>
    <w:rsid w:val="00997719"/>
    <w:rsid w:val="009A1523"/>
    <w:rsid w:val="009A1640"/>
    <w:rsid w:val="009A193D"/>
    <w:rsid w:val="009A35B6"/>
    <w:rsid w:val="009B5657"/>
    <w:rsid w:val="009B6EE2"/>
    <w:rsid w:val="009C5548"/>
    <w:rsid w:val="009C6AEE"/>
    <w:rsid w:val="009D4A53"/>
    <w:rsid w:val="009D56BB"/>
    <w:rsid w:val="009E1D52"/>
    <w:rsid w:val="009E31A4"/>
    <w:rsid w:val="009F1990"/>
    <w:rsid w:val="009F48FC"/>
    <w:rsid w:val="009F4EDE"/>
    <w:rsid w:val="00A02671"/>
    <w:rsid w:val="00A04F5C"/>
    <w:rsid w:val="00A0504D"/>
    <w:rsid w:val="00A05CDA"/>
    <w:rsid w:val="00A10D4A"/>
    <w:rsid w:val="00A17956"/>
    <w:rsid w:val="00A20CE4"/>
    <w:rsid w:val="00A24C51"/>
    <w:rsid w:val="00A26D50"/>
    <w:rsid w:val="00A2719F"/>
    <w:rsid w:val="00A27B9E"/>
    <w:rsid w:val="00A3339F"/>
    <w:rsid w:val="00A424D4"/>
    <w:rsid w:val="00A43E01"/>
    <w:rsid w:val="00A46068"/>
    <w:rsid w:val="00A464ED"/>
    <w:rsid w:val="00A47B1A"/>
    <w:rsid w:val="00A56128"/>
    <w:rsid w:val="00A74455"/>
    <w:rsid w:val="00A80BE9"/>
    <w:rsid w:val="00A815A2"/>
    <w:rsid w:val="00A835DB"/>
    <w:rsid w:val="00A85D6F"/>
    <w:rsid w:val="00A8611A"/>
    <w:rsid w:val="00A91D23"/>
    <w:rsid w:val="00A922C2"/>
    <w:rsid w:val="00A92755"/>
    <w:rsid w:val="00A9531B"/>
    <w:rsid w:val="00A969A5"/>
    <w:rsid w:val="00A96C2D"/>
    <w:rsid w:val="00A96E54"/>
    <w:rsid w:val="00AC390C"/>
    <w:rsid w:val="00AC5C6F"/>
    <w:rsid w:val="00AC5E25"/>
    <w:rsid w:val="00AD2620"/>
    <w:rsid w:val="00AE1AEC"/>
    <w:rsid w:val="00AE2EFA"/>
    <w:rsid w:val="00AE6D29"/>
    <w:rsid w:val="00AE7548"/>
    <w:rsid w:val="00AF3751"/>
    <w:rsid w:val="00AF5D40"/>
    <w:rsid w:val="00B007F1"/>
    <w:rsid w:val="00B00C90"/>
    <w:rsid w:val="00B04494"/>
    <w:rsid w:val="00B06220"/>
    <w:rsid w:val="00B13856"/>
    <w:rsid w:val="00B147C2"/>
    <w:rsid w:val="00B14DA1"/>
    <w:rsid w:val="00B15DE1"/>
    <w:rsid w:val="00B20E9E"/>
    <w:rsid w:val="00B217A9"/>
    <w:rsid w:val="00B3181D"/>
    <w:rsid w:val="00B4365E"/>
    <w:rsid w:val="00B46C4E"/>
    <w:rsid w:val="00B56CFD"/>
    <w:rsid w:val="00B606CB"/>
    <w:rsid w:val="00B61AA1"/>
    <w:rsid w:val="00B6564C"/>
    <w:rsid w:val="00B73C57"/>
    <w:rsid w:val="00B7660B"/>
    <w:rsid w:val="00B8026D"/>
    <w:rsid w:val="00B81441"/>
    <w:rsid w:val="00B8286A"/>
    <w:rsid w:val="00B8357B"/>
    <w:rsid w:val="00B91FBD"/>
    <w:rsid w:val="00B93A6B"/>
    <w:rsid w:val="00B9644B"/>
    <w:rsid w:val="00B9703C"/>
    <w:rsid w:val="00BA097B"/>
    <w:rsid w:val="00BA12AA"/>
    <w:rsid w:val="00BB5012"/>
    <w:rsid w:val="00BB56EF"/>
    <w:rsid w:val="00BC21D2"/>
    <w:rsid w:val="00BC56A8"/>
    <w:rsid w:val="00BC5F1D"/>
    <w:rsid w:val="00BE3333"/>
    <w:rsid w:val="00BE3D11"/>
    <w:rsid w:val="00BF1891"/>
    <w:rsid w:val="00BF416E"/>
    <w:rsid w:val="00BF4247"/>
    <w:rsid w:val="00BF5082"/>
    <w:rsid w:val="00BF57D4"/>
    <w:rsid w:val="00C11174"/>
    <w:rsid w:val="00C223F9"/>
    <w:rsid w:val="00C22AA3"/>
    <w:rsid w:val="00C22D57"/>
    <w:rsid w:val="00C31FC0"/>
    <w:rsid w:val="00C34BE9"/>
    <w:rsid w:val="00C36548"/>
    <w:rsid w:val="00C3671A"/>
    <w:rsid w:val="00C41A3F"/>
    <w:rsid w:val="00C43E86"/>
    <w:rsid w:val="00C45327"/>
    <w:rsid w:val="00C45B2B"/>
    <w:rsid w:val="00C500AA"/>
    <w:rsid w:val="00C524C5"/>
    <w:rsid w:val="00C56AB0"/>
    <w:rsid w:val="00C60A74"/>
    <w:rsid w:val="00C61751"/>
    <w:rsid w:val="00C61C81"/>
    <w:rsid w:val="00C63A11"/>
    <w:rsid w:val="00C661E7"/>
    <w:rsid w:val="00C67B09"/>
    <w:rsid w:val="00C76C7A"/>
    <w:rsid w:val="00C776EB"/>
    <w:rsid w:val="00C87527"/>
    <w:rsid w:val="00C90AD9"/>
    <w:rsid w:val="00C966D8"/>
    <w:rsid w:val="00CA0747"/>
    <w:rsid w:val="00CA2F0F"/>
    <w:rsid w:val="00CB2961"/>
    <w:rsid w:val="00CB677F"/>
    <w:rsid w:val="00CB79B3"/>
    <w:rsid w:val="00CC2019"/>
    <w:rsid w:val="00CD1AC4"/>
    <w:rsid w:val="00CD3675"/>
    <w:rsid w:val="00CD6077"/>
    <w:rsid w:val="00CD62EE"/>
    <w:rsid w:val="00CE49AD"/>
    <w:rsid w:val="00CE70DC"/>
    <w:rsid w:val="00CF7666"/>
    <w:rsid w:val="00D0049C"/>
    <w:rsid w:val="00D00A18"/>
    <w:rsid w:val="00D0609B"/>
    <w:rsid w:val="00D07E33"/>
    <w:rsid w:val="00D10587"/>
    <w:rsid w:val="00D1567C"/>
    <w:rsid w:val="00D17EB0"/>
    <w:rsid w:val="00D17FE8"/>
    <w:rsid w:val="00D22312"/>
    <w:rsid w:val="00D23E8D"/>
    <w:rsid w:val="00D25ABB"/>
    <w:rsid w:val="00D261F2"/>
    <w:rsid w:val="00D30F1B"/>
    <w:rsid w:val="00D34D78"/>
    <w:rsid w:val="00D3522B"/>
    <w:rsid w:val="00D36B1A"/>
    <w:rsid w:val="00D37250"/>
    <w:rsid w:val="00D4492C"/>
    <w:rsid w:val="00D46FA1"/>
    <w:rsid w:val="00D47074"/>
    <w:rsid w:val="00D554B9"/>
    <w:rsid w:val="00D70180"/>
    <w:rsid w:val="00D716F8"/>
    <w:rsid w:val="00D847AB"/>
    <w:rsid w:val="00D849E6"/>
    <w:rsid w:val="00D86847"/>
    <w:rsid w:val="00D91A70"/>
    <w:rsid w:val="00D93992"/>
    <w:rsid w:val="00D946F5"/>
    <w:rsid w:val="00D9566A"/>
    <w:rsid w:val="00D962B5"/>
    <w:rsid w:val="00DA56C3"/>
    <w:rsid w:val="00DB0616"/>
    <w:rsid w:val="00DB70ED"/>
    <w:rsid w:val="00DC1D6F"/>
    <w:rsid w:val="00DC2123"/>
    <w:rsid w:val="00DC4AE5"/>
    <w:rsid w:val="00DC60AE"/>
    <w:rsid w:val="00DD1E1E"/>
    <w:rsid w:val="00DD47A1"/>
    <w:rsid w:val="00DD510A"/>
    <w:rsid w:val="00DD5A22"/>
    <w:rsid w:val="00DE5903"/>
    <w:rsid w:val="00DF3B84"/>
    <w:rsid w:val="00DF6E2D"/>
    <w:rsid w:val="00E01265"/>
    <w:rsid w:val="00E02B18"/>
    <w:rsid w:val="00E054BD"/>
    <w:rsid w:val="00E06437"/>
    <w:rsid w:val="00E10040"/>
    <w:rsid w:val="00E12833"/>
    <w:rsid w:val="00E16A68"/>
    <w:rsid w:val="00E16C01"/>
    <w:rsid w:val="00E201FE"/>
    <w:rsid w:val="00E25E58"/>
    <w:rsid w:val="00E26899"/>
    <w:rsid w:val="00E30719"/>
    <w:rsid w:val="00E32AFC"/>
    <w:rsid w:val="00E4101E"/>
    <w:rsid w:val="00E41489"/>
    <w:rsid w:val="00E467EC"/>
    <w:rsid w:val="00E5024A"/>
    <w:rsid w:val="00E55B0D"/>
    <w:rsid w:val="00E613DC"/>
    <w:rsid w:val="00E64479"/>
    <w:rsid w:val="00E6511B"/>
    <w:rsid w:val="00E71677"/>
    <w:rsid w:val="00E734D8"/>
    <w:rsid w:val="00E75100"/>
    <w:rsid w:val="00E832F1"/>
    <w:rsid w:val="00E83B76"/>
    <w:rsid w:val="00E8494B"/>
    <w:rsid w:val="00E87457"/>
    <w:rsid w:val="00E91C76"/>
    <w:rsid w:val="00E92D95"/>
    <w:rsid w:val="00EA3F32"/>
    <w:rsid w:val="00EA4005"/>
    <w:rsid w:val="00EB0532"/>
    <w:rsid w:val="00EB66A5"/>
    <w:rsid w:val="00EC18FF"/>
    <w:rsid w:val="00EC3CB2"/>
    <w:rsid w:val="00EC6090"/>
    <w:rsid w:val="00ED4589"/>
    <w:rsid w:val="00EE2911"/>
    <w:rsid w:val="00EF4A91"/>
    <w:rsid w:val="00EF7318"/>
    <w:rsid w:val="00F01951"/>
    <w:rsid w:val="00F04924"/>
    <w:rsid w:val="00F1217A"/>
    <w:rsid w:val="00F133E6"/>
    <w:rsid w:val="00F163CB"/>
    <w:rsid w:val="00F2138C"/>
    <w:rsid w:val="00F21DC9"/>
    <w:rsid w:val="00F22497"/>
    <w:rsid w:val="00F25591"/>
    <w:rsid w:val="00F26F66"/>
    <w:rsid w:val="00F40477"/>
    <w:rsid w:val="00F427B2"/>
    <w:rsid w:val="00F47000"/>
    <w:rsid w:val="00F51EF7"/>
    <w:rsid w:val="00F54BCB"/>
    <w:rsid w:val="00F60D51"/>
    <w:rsid w:val="00F67625"/>
    <w:rsid w:val="00F7451C"/>
    <w:rsid w:val="00F74B63"/>
    <w:rsid w:val="00F77094"/>
    <w:rsid w:val="00F817FE"/>
    <w:rsid w:val="00F92D83"/>
    <w:rsid w:val="00F951E0"/>
    <w:rsid w:val="00FB1F15"/>
    <w:rsid w:val="00FB4034"/>
    <w:rsid w:val="00FB73D5"/>
    <w:rsid w:val="00FC5BE2"/>
    <w:rsid w:val="00FC6CC1"/>
    <w:rsid w:val="00FC6CFA"/>
    <w:rsid w:val="00FD1E13"/>
    <w:rsid w:val="00FE4A70"/>
    <w:rsid w:val="00FE692C"/>
    <w:rsid w:val="00FF25C9"/>
    <w:rsid w:val="00FF3BB3"/>
    <w:rsid w:val="00FF737D"/>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B777B3"/>
  <w15:chartTrackingRefBased/>
  <w15:docId w15:val="{EF3EB1ED-A0F0-A24F-83E5-8B55692A3B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GB"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0616"/>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rpo">
    <w:name w:val="Corpo"/>
    <w:link w:val="CorpoChar"/>
    <w:rsid w:val="00997719"/>
    <w:pPr>
      <w:pBdr>
        <w:top w:val="nil"/>
        <w:left w:val="nil"/>
        <w:bottom w:val="nil"/>
        <w:right w:val="nil"/>
        <w:between w:val="nil"/>
        <w:bar w:val="nil"/>
      </w:pBdr>
    </w:pPr>
    <w:rPr>
      <w:rFonts w:ascii="Times New Roman" w:eastAsia="Arial Unicode MS" w:hAnsi="Times New Roman" w:cs="Arial Unicode MS"/>
      <w:color w:val="000000"/>
      <w:u w:color="000000"/>
      <w:bdr w:val="nil"/>
      <w:lang w:val="de-DE" w:eastAsia="en-GB"/>
    </w:rPr>
  </w:style>
  <w:style w:type="character" w:customStyle="1" w:styleId="None">
    <w:name w:val="None"/>
    <w:rsid w:val="00997719"/>
  </w:style>
  <w:style w:type="character" w:customStyle="1" w:styleId="CorpoChar">
    <w:name w:val="Corpo Char"/>
    <w:basedOn w:val="DefaultParagraphFont"/>
    <w:link w:val="Corpo"/>
    <w:rsid w:val="00997719"/>
    <w:rPr>
      <w:rFonts w:ascii="Times New Roman" w:eastAsia="Arial Unicode MS" w:hAnsi="Times New Roman" w:cs="Arial Unicode MS"/>
      <w:color w:val="000000"/>
      <w:u w:color="000000"/>
      <w:bdr w:val="nil"/>
      <w:lang w:val="de-DE" w:eastAsia="en-GB"/>
    </w:rPr>
  </w:style>
  <w:style w:type="paragraph" w:styleId="Footer">
    <w:name w:val="footer"/>
    <w:basedOn w:val="Normal"/>
    <w:link w:val="FooterChar"/>
    <w:uiPriority w:val="99"/>
    <w:unhideWhenUsed/>
    <w:rsid w:val="00A20CE4"/>
    <w:pPr>
      <w:tabs>
        <w:tab w:val="center" w:pos="4680"/>
        <w:tab w:val="right" w:pos="9360"/>
      </w:tabs>
    </w:pPr>
    <w:rPr>
      <w:rFonts w:asciiTheme="minorHAnsi" w:eastAsiaTheme="minorEastAsia" w:hAnsiTheme="minorHAnsi" w:cstheme="minorBidi"/>
    </w:rPr>
  </w:style>
  <w:style w:type="character" w:customStyle="1" w:styleId="FooterChar">
    <w:name w:val="Footer Char"/>
    <w:basedOn w:val="DefaultParagraphFont"/>
    <w:link w:val="Footer"/>
    <w:uiPriority w:val="99"/>
    <w:rsid w:val="00A20CE4"/>
  </w:style>
  <w:style w:type="character" w:styleId="PageNumber">
    <w:name w:val="page number"/>
    <w:basedOn w:val="DefaultParagraphFont"/>
    <w:uiPriority w:val="99"/>
    <w:semiHidden/>
    <w:unhideWhenUsed/>
    <w:rsid w:val="00A20CE4"/>
  </w:style>
  <w:style w:type="character" w:styleId="CommentReference">
    <w:name w:val="annotation reference"/>
    <w:basedOn w:val="DefaultParagraphFont"/>
    <w:uiPriority w:val="99"/>
    <w:semiHidden/>
    <w:unhideWhenUsed/>
    <w:rsid w:val="00056760"/>
    <w:rPr>
      <w:sz w:val="18"/>
      <w:szCs w:val="18"/>
    </w:rPr>
  </w:style>
  <w:style w:type="paragraph" w:styleId="CommentText">
    <w:name w:val="annotation text"/>
    <w:basedOn w:val="Normal"/>
    <w:link w:val="CommentTextChar"/>
    <w:uiPriority w:val="99"/>
    <w:unhideWhenUsed/>
    <w:rsid w:val="00056760"/>
    <w:rPr>
      <w:rFonts w:eastAsiaTheme="minorEastAsia" w:cstheme="minorBidi"/>
      <w:lang w:val="en-US" w:eastAsia="en-US"/>
    </w:rPr>
  </w:style>
  <w:style w:type="character" w:customStyle="1" w:styleId="CommentTextChar">
    <w:name w:val="Comment Text Char"/>
    <w:basedOn w:val="DefaultParagraphFont"/>
    <w:link w:val="CommentText"/>
    <w:uiPriority w:val="99"/>
    <w:rsid w:val="00056760"/>
    <w:rPr>
      <w:rFonts w:ascii="Times New Roman" w:hAnsi="Times New Roman"/>
      <w:lang w:val="en-US" w:eastAsia="en-US"/>
    </w:rPr>
  </w:style>
  <w:style w:type="paragraph" w:customStyle="1" w:styleId="EndNoteBibliographyTitle">
    <w:name w:val="EndNote Bibliography Title"/>
    <w:basedOn w:val="Normal"/>
    <w:link w:val="EndNoteBibliographyTitleChar"/>
    <w:rsid w:val="00D23E8D"/>
    <w:pPr>
      <w:jc w:val="center"/>
    </w:pPr>
    <w:rPr>
      <w:rFonts w:ascii="Calibri" w:eastAsiaTheme="minorEastAsia" w:hAnsi="Calibri" w:cs="Calibri"/>
    </w:rPr>
  </w:style>
  <w:style w:type="character" w:customStyle="1" w:styleId="EndNoteBibliographyTitleChar">
    <w:name w:val="EndNote Bibliography Title Char"/>
    <w:basedOn w:val="DefaultParagraphFont"/>
    <w:link w:val="EndNoteBibliographyTitle"/>
    <w:rsid w:val="00D23E8D"/>
    <w:rPr>
      <w:rFonts w:ascii="Calibri" w:hAnsi="Calibri" w:cs="Calibri"/>
    </w:rPr>
  </w:style>
  <w:style w:type="paragraph" w:customStyle="1" w:styleId="EndNoteBibliography">
    <w:name w:val="EndNote Bibliography"/>
    <w:basedOn w:val="Normal"/>
    <w:link w:val="EndNoteBibliographyChar"/>
    <w:rsid w:val="00D23E8D"/>
    <w:rPr>
      <w:rFonts w:ascii="Calibri" w:eastAsiaTheme="minorEastAsia" w:hAnsi="Calibri" w:cs="Calibri"/>
    </w:rPr>
  </w:style>
  <w:style w:type="character" w:customStyle="1" w:styleId="EndNoteBibliographyChar">
    <w:name w:val="EndNote Bibliography Char"/>
    <w:basedOn w:val="DefaultParagraphFont"/>
    <w:link w:val="EndNoteBibliography"/>
    <w:rsid w:val="00D23E8D"/>
    <w:rPr>
      <w:rFonts w:ascii="Calibri" w:hAnsi="Calibri" w:cs="Calibri"/>
    </w:rPr>
  </w:style>
  <w:style w:type="paragraph" w:styleId="CommentSubject">
    <w:name w:val="annotation subject"/>
    <w:basedOn w:val="CommentText"/>
    <w:next w:val="CommentText"/>
    <w:link w:val="CommentSubjectChar"/>
    <w:uiPriority w:val="99"/>
    <w:semiHidden/>
    <w:unhideWhenUsed/>
    <w:rsid w:val="00115615"/>
    <w:rPr>
      <w:rFonts w:asciiTheme="minorHAnsi" w:hAnsiTheme="minorHAnsi"/>
      <w:b/>
      <w:bCs/>
      <w:sz w:val="20"/>
      <w:szCs w:val="20"/>
      <w:lang w:eastAsia="ja-JP"/>
    </w:rPr>
  </w:style>
  <w:style w:type="character" w:customStyle="1" w:styleId="CommentSubjectChar">
    <w:name w:val="Comment Subject Char"/>
    <w:basedOn w:val="CommentTextChar"/>
    <w:link w:val="CommentSubject"/>
    <w:uiPriority w:val="99"/>
    <w:semiHidden/>
    <w:rsid w:val="00115615"/>
    <w:rPr>
      <w:rFonts w:ascii="Times New Roman" w:hAnsi="Times New Roman"/>
      <w:b/>
      <w:bCs/>
      <w:sz w:val="20"/>
      <w:szCs w:val="20"/>
      <w:lang w:val="en-US" w:eastAsia="en-US"/>
    </w:rPr>
  </w:style>
  <w:style w:type="paragraph" w:customStyle="1" w:styleId="BodyA">
    <w:name w:val="Body A"/>
    <w:rsid w:val="009B5657"/>
    <w:rPr>
      <w:rFonts w:ascii="Times New Roman" w:eastAsia="Arial Unicode MS" w:hAnsi="Arial Unicode MS" w:cs="Arial Unicode MS"/>
      <w:color w:val="000000"/>
      <w:u w:color="000000"/>
      <w:lang w:val="en-US" w:eastAsia="en-US"/>
    </w:rPr>
  </w:style>
  <w:style w:type="character" w:styleId="Hyperlink">
    <w:name w:val="Hyperlink"/>
    <w:basedOn w:val="DefaultParagraphFont"/>
    <w:uiPriority w:val="99"/>
    <w:unhideWhenUsed/>
    <w:rsid w:val="00D25ABB"/>
    <w:rPr>
      <w:color w:val="0563C1" w:themeColor="hyperlink"/>
      <w:u w:val="single"/>
    </w:rPr>
  </w:style>
  <w:style w:type="character" w:customStyle="1" w:styleId="UnresolvedMention1">
    <w:name w:val="Unresolved Mention1"/>
    <w:basedOn w:val="DefaultParagraphFont"/>
    <w:uiPriority w:val="99"/>
    <w:semiHidden/>
    <w:unhideWhenUsed/>
    <w:rsid w:val="00D25ABB"/>
    <w:rPr>
      <w:color w:val="605E5C"/>
      <w:shd w:val="clear" w:color="auto" w:fill="E1DFDD"/>
    </w:rPr>
  </w:style>
  <w:style w:type="character" w:styleId="FollowedHyperlink">
    <w:name w:val="FollowedHyperlink"/>
    <w:basedOn w:val="DefaultParagraphFont"/>
    <w:uiPriority w:val="99"/>
    <w:semiHidden/>
    <w:unhideWhenUsed/>
    <w:rsid w:val="00314139"/>
    <w:rPr>
      <w:color w:val="954F72" w:themeColor="followedHyperlink"/>
      <w:u w:val="single"/>
    </w:rPr>
  </w:style>
  <w:style w:type="paragraph" w:styleId="Revision">
    <w:name w:val="Revision"/>
    <w:hidden/>
    <w:uiPriority w:val="99"/>
    <w:semiHidden/>
    <w:rsid w:val="000419A1"/>
    <w:rPr>
      <w:rFonts w:ascii="Times New Roman" w:eastAsia="Times New Roman" w:hAnsi="Times New Roman" w:cs="Times New Roman"/>
    </w:rPr>
  </w:style>
  <w:style w:type="paragraph" w:styleId="Header">
    <w:name w:val="header"/>
    <w:basedOn w:val="Normal"/>
    <w:link w:val="HeaderChar"/>
    <w:uiPriority w:val="99"/>
    <w:unhideWhenUsed/>
    <w:rsid w:val="00F163CB"/>
    <w:pPr>
      <w:tabs>
        <w:tab w:val="center" w:pos="4680"/>
        <w:tab w:val="right" w:pos="9360"/>
      </w:tabs>
    </w:pPr>
  </w:style>
  <w:style w:type="character" w:customStyle="1" w:styleId="HeaderChar">
    <w:name w:val="Header Char"/>
    <w:basedOn w:val="DefaultParagraphFont"/>
    <w:link w:val="Header"/>
    <w:uiPriority w:val="99"/>
    <w:rsid w:val="00F163CB"/>
    <w:rPr>
      <w:rFonts w:ascii="Times New Roman" w:eastAsia="Times New Roman" w:hAnsi="Times New Roman" w:cs="Times New Roman"/>
    </w:rPr>
  </w:style>
  <w:style w:type="paragraph" w:styleId="ListParagraph">
    <w:name w:val="List Paragraph"/>
    <w:basedOn w:val="Normal"/>
    <w:uiPriority w:val="34"/>
    <w:qFormat/>
    <w:rsid w:val="00E55B0D"/>
    <w:pPr>
      <w:ind w:left="720"/>
      <w:contextualSpacing/>
    </w:pPr>
  </w:style>
  <w:style w:type="character" w:styleId="UnresolvedMention">
    <w:name w:val="Unresolved Mention"/>
    <w:basedOn w:val="DefaultParagraphFont"/>
    <w:uiPriority w:val="99"/>
    <w:semiHidden/>
    <w:unhideWhenUsed/>
    <w:rsid w:val="009503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926839">
      <w:bodyDiv w:val="1"/>
      <w:marLeft w:val="0"/>
      <w:marRight w:val="0"/>
      <w:marTop w:val="0"/>
      <w:marBottom w:val="0"/>
      <w:divBdr>
        <w:top w:val="none" w:sz="0" w:space="0" w:color="auto"/>
        <w:left w:val="none" w:sz="0" w:space="0" w:color="auto"/>
        <w:bottom w:val="none" w:sz="0" w:space="0" w:color="auto"/>
        <w:right w:val="none" w:sz="0" w:space="0" w:color="auto"/>
      </w:divBdr>
    </w:div>
    <w:div w:id="355692682">
      <w:bodyDiv w:val="1"/>
      <w:marLeft w:val="0"/>
      <w:marRight w:val="0"/>
      <w:marTop w:val="0"/>
      <w:marBottom w:val="0"/>
      <w:divBdr>
        <w:top w:val="none" w:sz="0" w:space="0" w:color="auto"/>
        <w:left w:val="none" w:sz="0" w:space="0" w:color="auto"/>
        <w:bottom w:val="none" w:sz="0" w:space="0" w:color="auto"/>
        <w:right w:val="none" w:sz="0" w:space="0" w:color="auto"/>
      </w:divBdr>
    </w:div>
    <w:div w:id="631406027">
      <w:bodyDiv w:val="1"/>
      <w:marLeft w:val="0"/>
      <w:marRight w:val="0"/>
      <w:marTop w:val="0"/>
      <w:marBottom w:val="0"/>
      <w:divBdr>
        <w:top w:val="none" w:sz="0" w:space="0" w:color="auto"/>
        <w:left w:val="none" w:sz="0" w:space="0" w:color="auto"/>
        <w:bottom w:val="none" w:sz="0" w:space="0" w:color="auto"/>
        <w:right w:val="none" w:sz="0" w:space="0" w:color="auto"/>
      </w:divBdr>
    </w:div>
    <w:div w:id="964119737">
      <w:bodyDiv w:val="1"/>
      <w:marLeft w:val="0"/>
      <w:marRight w:val="0"/>
      <w:marTop w:val="0"/>
      <w:marBottom w:val="0"/>
      <w:divBdr>
        <w:top w:val="none" w:sz="0" w:space="0" w:color="auto"/>
        <w:left w:val="none" w:sz="0" w:space="0" w:color="auto"/>
        <w:bottom w:val="none" w:sz="0" w:space="0" w:color="auto"/>
        <w:right w:val="none" w:sz="0" w:space="0" w:color="auto"/>
      </w:divBdr>
    </w:div>
    <w:div w:id="999113007">
      <w:bodyDiv w:val="1"/>
      <w:marLeft w:val="0"/>
      <w:marRight w:val="0"/>
      <w:marTop w:val="0"/>
      <w:marBottom w:val="0"/>
      <w:divBdr>
        <w:top w:val="none" w:sz="0" w:space="0" w:color="auto"/>
        <w:left w:val="none" w:sz="0" w:space="0" w:color="auto"/>
        <w:bottom w:val="none" w:sz="0" w:space="0" w:color="auto"/>
        <w:right w:val="none" w:sz="0" w:space="0" w:color="auto"/>
      </w:divBdr>
    </w:div>
    <w:div w:id="1387725208">
      <w:bodyDiv w:val="1"/>
      <w:marLeft w:val="0"/>
      <w:marRight w:val="0"/>
      <w:marTop w:val="0"/>
      <w:marBottom w:val="0"/>
      <w:divBdr>
        <w:top w:val="none" w:sz="0" w:space="0" w:color="auto"/>
        <w:left w:val="none" w:sz="0" w:space="0" w:color="auto"/>
        <w:bottom w:val="none" w:sz="0" w:space="0" w:color="auto"/>
        <w:right w:val="none" w:sz="0" w:space="0" w:color="auto"/>
      </w:divBdr>
    </w:div>
    <w:div w:id="1470321780">
      <w:bodyDiv w:val="1"/>
      <w:marLeft w:val="0"/>
      <w:marRight w:val="0"/>
      <w:marTop w:val="0"/>
      <w:marBottom w:val="0"/>
      <w:divBdr>
        <w:top w:val="none" w:sz="0" w:space="0" w:color="auto"/>
        <w:left w:val="none" w:sz="0" w:space="0" w:color="auto"/>
        <w:bottom w:val="none" w:sz="0" w:space="0" w:color="auto"/>
        <w:right w:val="none" w:sz="0" w:space="0" w:color="auto"/>
      </w:divBdr>
    </w:div>
    <w:div w:id="1676150569">
      <w:bodyDiv w:val="1"/>
      <w:marLeft w:val="0"/>
      <w:marRight w:val="0"/>
      <w:marTop w:val="0"/>
      <w:marBottom w:val="0"/>
      <w:divBdr>
        <w:top w:val="none" w:sz="0" w:space="0" w:color="auto"/>
        <w:left w:val="none" w:sz="0" w:space="0" w:color="auto"/>
        <w:bottom w:val="none" w:sz="0" w:space="0" w:color="auto"/>
        <w:right w:val="none" w:sz="0" w:space="0" w:color="auto"/>
      </w:divBdr>
    </w:div>
    <w:div w:id="1714647195">
      <w:bodyDiv w:val="1"/>
      <w:marLeft w:val="0"/>
      <w:marRight w:val="0"/>
      <w:marTop w:val="0"/>
      <w:marBottom w:val="0"/>
      <w:divBdr>
        <w:top w:val="none" w:sz="0" w:space="0" w:color="auto"/>
        <w:left w:val="none" w:sz="0" w:space="0" w:color="auto"/>
        <w:bottom w:val="none" w:sz="0" w:space="0" w:color="auto"/>
        <w:right w:val="none" w:sz="0" w:space="0" w:color="auto"/>
      </w:divBdr>
    </w:div>
    <w:div w:id="2027055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fls@um.e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charts/_rels/chart1.xml.rels><?xml version="1.0" encoding="UTF-8" standalone="yes"?>
<Relationships xmlns="http://schemas.openxmlformats.org/package/2006/relationships"><Relationship Id="rId3" Type="http://schemas.openxmlformats.org/officeDocument/2006/relationships/oleObject" Target="file:///\\Users\aikoyanagi\Dropbox\BN\4_Eating%20problems%20AND%20MM\MM_ED_EXCEL.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'Figure 1'!$A$3</c:f>
              <c:strCache>
                <c:ptCount val="1"/>
                <c:pt idx="0">
                  <c:v>Overall</c:v>
                </c:pt>
              </c:strCache>
            </c:strRef>
          </c:tx>
          <c:spPr>
            <a:solidFill>
              <a:schemeClr val="accent1"/>
            </a:solidFill>
            <a:ln>
              <a:noFill/>
            </a:ln>
            <a:effectLst/>
          </c:spPr>
          <c:invertIfNegative val="0"/>
          <c:dLbls>
            <c:spPr>
              <a:noFill/>
              <a:ln>
                <a:noFill/>
              </a:ln>
              <a:effectLst/>
            </c:spPr>
            <c:txPr>
              <a:bodyPr rot="0" spcFirstLastPara="1" vertOverflow="ellipsis" vert="horz" wrap="square" anchor="ctr" anchorCtr="1"/>
              <a:lstStyle/>
              <a:p>
                <a:pPr>
                  <a:defRPr sz="11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'Figure 1'!$B$2:$F$2</c:f>
              <c:strCache>
                <c:ptCount val="5"/>
                <c:pt idx="0">
                  <c:v>0</c:v>
                </c:pt>
                <c:pt idx="1">
                  <c:v>1</c:v>
                </c:pt>
                <c:pt idx="2">
                  <c:v>2</c:v>
                </c:pt>
                <c:pt idx="3">
                  <c:v>3</c:v>
                </c:pt>
                <c:pt idx="4">
                  <c:v>≥4</c:v>
                </c:pt>
              </c:strCache>
            </c:strRef>
          </c:cat>
          <c:val>
            <c:numRef>
              <c:f>'Figure 1'!$B$3:$F$3</c:f>
              <c:numCache>
                <c:formatCode>General</c:formatCode>
                <c:ptCount val="5"/>
                <c:pt idx="0">
                  <c:v>5.8</c:v>
                </c:pt>
                <c:pt idx="1">
                  <c:v>6</c:v>
                </c:pt>
                <c:pt idx="2">
                  <c:v>6.6</c:v>
                </c:pt>
                <c:pt idx="3">
                  <c:v>8.1</c:v>
                </c:pt>
                <c:pt idx="4">
                  <c:v>8.5</c:v>
                </c:pt>
              </c:numCache>
            </c:numRef>
          </c:val>
          <c:extLst>
            <c:ext xmlns:c16="http://schemas.microsoft.com/office/drawing/2014/chart" uri="{C3380CC4-5D6E-409C-BE32-E72D297353CC}">
              <c16:uniqueId val="{00000000-9778-5F49-9E23-FD4C26617942}"/>
            </c:ext>
          </c:extLst>
        </c:ser>
        <c:dLbls>
          <c:showLegendKey val="0"/>
          <c:showVal val="1"/>
          <c:showCatName val="0"/>
          <c:showSerName val="0"/>
          <c:showPercent val="0"/>
          <c:showBubbleSize val="0"/>
        </c:dLbls>
        <c:gapWidth val="150"/>
        <c:axId val="1241617936"/>
        <c:axId val="1168950992"/>
      </c:barChart>
      <c:catAx>
        <c:axId val="1241617936"/>
        <c:scaling>
          <c:orientation val="minMax"/>
        </c:scaling>
        <c:delete val="0"/>
        <c:axPos val="b"/>
        <c:title>
          <c:tx>
            <c:rich>
              <a:bodyPr rot="0" spcFirstLastPara="1" vertOverflow="ellipsis" vert="horz" wrap="square" anchor="ctr" anchorCtr="1"/>
              <a:lstStyle/>
              <a:p>
                <a:pPr>
                  <a:defRPr sz="11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a:t>Number of physical conditions</a:t>
                </a:r>
              </a:p>
            </c:rich>
          </c:tx>
          <c:overlay val="0"/>
          <c:spPr>
            <a:noFill/>
            <a:ln>
              <a:noFill/>
            </a:ln>
            <a:effectLst/>
          </c:spPr>
          <c:txPr>
            <a:bodyPr rot="0" spcFirstLastPara="1" vertOverflow="ellipsis" vert="horz" wrap="square" anchor="ctr" anchorCtr="1"/>
            <a:lstStyle/>
            <a:p>
              <a:pPr>
                <a:defRPr sz="11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1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1168950992"/>
        <c:crosses val="autoZero"/>
        <c:auto val="1"/>
        <c:lblAlgn val="ctr"/>
        <c:lblOffset val="100"/>
        <c:noMultiLvlLbl val="0"/>
      </c:catAx>
      <c:valAx>
        <c:axId val="1168950992"/>
        <c:scaling>
          <c:orientation val="minMax"/>
        </c:scaling>
        <c:delete val="0"/>
        <c:axPos val="l"/>
        <c:title>
          <c:tx>
            <c:rich>
              <a:bodyPr rot="-5400000" spcFirstLastPara="1" vertOverflow="ellipsis" vert="horz" wrap="square" anchor="ctr" anchorCtr="1"/>
              <a:lstStyle/>
              <a:p>
                <a:pPr>
                  <a:defRPr sz="11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a:t>Prevalence of</a:t>
                </a:r>
                <a:r>
                  <a:rPr lang="en-US" baseline="0"/>
                  <a:t> possible eating disorder (%)</a:t>
                </a:r>
                <a:endParaRPr lang="en-US"/>
              </a:p>
            </c:rich>
          </c:tx>
          <c:layout>
            <c:manualLayout>
              <c:xMode val="edge"/>
              <c:yMode val="edge"/>
              <c:x val="1.6666666666666666E-2"/>
              <c:y val="0.14773065267923424"/>
            </c:manualLayout>
          </c:layout>
          <c:overlay val="0"/>
          <c:spPr>
            <a:noFill/>
            <a:ln>
              <a:noFill/>
            </a:ln>
            <a:effectLst/>
          </c:spPr>
          <c:txPr>
            <a:bodyPr rot="-5400000" spcFirstLastPara="1" vertOverflow="ellipsis" vert="horz" wrap="square" anchor="ctr" anchorCtr="1"/>
            <a:lstStyle/>
            <a:p>
              <a:pPr>
                <a:defRPr sz="11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1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1241617936"/>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sz="1100">
          <a:latin typeface="Times New Roman" panose="02020603050405020304" pitchFamily="18" charset="0"/>
          <a:cs typeface="Times New Roman" panose="02020603050405020304" pitchFamily="18" charset="0"/>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794C67-26DB-438D-99A3-EDED75D939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31</Pages>
  <Words>19952</Words>
  <Characters>113729</Characters>
  <Application>Microsoft Office Word</Application>
  <DocSecurity>0</DocSecurity>
  <Lines>947</Lines>
  <Paragraphs>266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 Koyanagi</dc:creator>
  <cp:keywords/>
  <dc:description/>
  <cp:lastModifiedBy>albertrupertsmith@outlook.com</cp:lastModifiedBy>
  <cp:revision>2</cp:revision>
  <dcterms:created xsi:type="dcterms:W3CDTF">2023-08-21T13:13:00Z</dcterms:created>
  <dcterms:modified xsi:type="dcterms:W3CDTF">2023-08-21T13:13:00Z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Citation Style_1">
    <vt:lpwstr>http://www.zotero.org/styles/eating-and-weight-disorders-studies-on-anorexia-bulimia-and-obesity</vt:lpwstr>
  </property>
  <property fmtid="{D5CDD505-2E9C-101B-9397-08002B2CF9AE}" pid="4" name="Mendeley Recent Style Id 0_1">
    <vt:lpwstr>http://www.zotero.org/styles/apa</vt:lpwstr>
  </property>
  <property fmtid="{D5CDD505-2E9C-101B-9397-08002B2CF9AE}" pid="5" name="Mendeley Recent Style Name 0_1">
    <vt:lpwstr>American Psychological Association 6th edition</vt:lpwstr>
  </property>
  <property fmtid="{D5CDD505-2E9C-101B-9397-08002B2CF9AE}" pid="6" name="Mendeley Recent Style Id 1_1">
    <vt:lpwstr>http://www.zotero.org/styles/clinical-nutrition</vt:lpwstr>
  </property>
  <property fmtid="{D5CDD505-2E9C-101B-9397-08002B2CF9AE}" pid="7" name="Mendeley Recent Style Name 1_1">
    <vt:lpwstr>Clinical Nutrition</vt:lpwstr>
  </property>
  <property fmtid="{D5CDD505-2E9C-101B-9397-08002B2CF9AE}" pid="8" name="Mendeley Recent Style Id 2_1">
    <vt:lpwstr>http://www.zotero.org/styles/eating-and-weight-disorders-studies-on-anorexia-bulimia-and-obesity</vt:lpwstr>
  </property>
  <property fmtid="{D5CDD505-2E9C-101B-9397-08002B2CF9AE}" pid="9" name="Mendeley Recent Style Name 2_1">
    <vt:lpwstr>Eating and Weight Disorders - Studies on Anorexia, Bulimia and Obesity</vt:lpwstr>
  </property>
  <property fmtid="{D5CDD505-2E9C-101B-9397-08002B2CF9AE}" pid="10" name="Mendeley Recent Style Id 3_1">
    <vt:lpwstr>http://www.zotero.org/styles/elsevier-harvard-without-titles</vt:lpwstr>
  </property>
  <property fmtid="{D5CDD505-2E9C-101B-9397-08002B2CF9AE}" pid="11" name="Mendeley Recent Style Name 3_1">
    <vt:lpwstr>Elsevier - Harvard (without titles)</vt:lpwstr>
  </property>
  <property fmtid="{D5CDD505-2E9C-101B-9397-08002B2CF9AE}" pid="12" name="Mendeley Recent Style Id 4_1">
    <vt:lpwstr>http://www.zotero.org/styles/international-journal-of-hygiene-and-environmental-health</vt:lpwstr>
  </property>
  <property fmtid="{D5CDD505-2E9C-101B-9397-08002B2CF9AE}" pid="13" name="Mendeley Recent Style Name 4_1">
    <vt:lpwstr>International Journal of Hygiene and Environmental Health</vt:lpwstr>
  </property>
  <property fmtid="{D5CDD505-2E9C-101B-9397-08002B2CF9AE}" pid="14" name="Mendeley Recent Style Id 5_1">
    <vt:lpwstr>http://www.zotero.org/styles/jama</vt:lpwstr>
  </property>
  <property fmtid="{D5CDD505-2E9C-101B-9397-08002B2CF9AE}" pid="15" name="Mendeley Recent Style Name 5_1">
    <vt:lpwstr>JAMA (The Journal of the American Medical Association)</vt:lpwstr>
  </property>
  <property fmtid="{D5CDD505-2E9C-101B-9397-08002B2CF9AE}" pid="16" name="Mendeley Recent Style Id 6_1">
    <vt:lpwstr>http://www.zotero.org/styles/journal-of-affective-disorders</vt:lpwstr>
  </property>
  <property fmtid="{D5CDD505-2E9C-101B-9397-08002B2CF9AE}" pid="17" name="Mendeley Recent Style Name 6_1">
    <vt:lpwstr>Journal of Affective Disorders</vt:lpwstr>
  </property>
  <property fmtid="{D5CDD505-2E9C-101B-9397-08002B2CF9AE}" pid="18" name="Mendeley Recent Style Id 7_1">
    <vt:lpwstr>http://www.zotero.org/styles/journal-of-psychiatric-research</vt:lpwstr>
  </property>
  <property fmtid="{D5CDD505-2E9C-101B-9397-08002B2CF9AE}" pid="19" name="Mendeley Recent Style Name 7_1">
    <vt:lpwstr>Journal of Psychiatric Research</vt:lpwstr>
  </property>
  <property fmtid="{D5CDD505-2E9C-101B-9397-08002B2CF9AE}" pid="20" name="Mendeley Recent Style Id 8_1">
    <vt:lpwstr>http://www.zotero.org/styles/the-journals-of-gerontology-series-a</vt:lpwstr>
  </property>
  <property fmtid="{D5CDD505-2E9C-101B-9397-08002B2CF9AE}" pid="21" name="Mendeley Recent Style Name 8_1">
    <vt:lpwstr>The Journals of Gerontology, Series A: Biological Sciences and Medical Sciences</vt:lpwstr>
  </property>
  <property fmtid="{D5CDD505-2E9C-101B-9397-08002B2CF9AE}" pid="22" name="Mendeley Recent Style Id 9_1">
    <vt:lpwstr>http://www.zotero.org/styles/world-journal-of-surgery</vt:lpwstr>
  </property>
  <property fmtid="{D5CDD505-2E9C-101B-9397-08002B2CF9AE}" pid="23" name="Mendeley Recent Style Name 9_1">
    <vt:lpwstr>World Journal of Surgery</vt:lpwstr>
  </property>
  <property fmtid="{D5CDD505-2E9C-101B-9397-08002B2CF9AE}" pid="24" name="Mendeley Unique User Id_1">
    <vt:lpwstr>8903ee31-89d2-393e-ad39-e49f3772d8e7</vt:lpwstr>
  </property>
</Properties>
</file>