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7D2CC" w14:textId="310C32C3" w:rsidR="00A65854" w:rsidRPr="00A65854" w:rsidRDefault="00A65854" w:rsidP="00A65854">
      <w:pPr>
        <w:pStyle w:val="AuthorList"/>
        <w:jc w:val="center"/>
        <w:rPr>
          <w:bCs/>
          <w:sz w:val="32"/>
          <w:szCs w:val="32"/>
        </w:rPr>
      </w:pPr>
      <w:r w:rsidRPr="00A65854">
        <w:rPr>
          <w:bCs/>
          <w:sz w:val="32"/>
          <w:szCs w:val="32"/>
        </w:rPr>
        <w:t xml:space="preserve">Dynapenic Abdominal Obesity </w:t>
      </w:r>
      <w:r w:rsidR="00E84F4A">
        <w:rPr>
          <w:bCs/>
          <w:sz w:val="32"/>
          <w:szCs w:val="32"/>
        </w:rPr>
        <w:t>a</w:t>
      </w:r>
      <w:r w:rsidRPr="00A65854">
        <w:rPr>
          <w:bCs/>
          <w:sz w:val="32"/>
          <w:szCs w:val="32"/>
        </w:rPr>
        <w:t xml:space="preserve">nd Susceptibility </w:t>
      </w:r>
      <w:r w:rsidR="00DA41DF" w:rsidRPr="00A65854">
        <w:rPr>
          <w:bCs/>
          <w:sz w:val="32"/>
          <w:szCs w:val="32"/>
        </w:rPr>
        <w:t>to</w:t>
      </w:r>
      <w:r w:rsidRPr="00A65854">
        <w:rPr>
          <w:bCs/>
          <w:sz w:val="32"/>
          <w:szCs w:val="32"/>
        </w:rPr>
        <w:t xml:space="preserve"> Fall:</w:t>
      </w:r>
    </w:p>
    <w:p w14:paraId="380ED56B" w14:textId="6B6D0D17" w:rsidR="00A65854" w:rsidRPr="00A65854" w:rsidRDefault="00A65854" w:rsidP="00A65854">
      <w:pPr>
        <w:pStyle w:val="AuthorList"/>
        <w:jc w:val="center"/>
        <w:rPr>
          <w:bCs/>
          <w:sz w:val="32"/>
          <w:szCs w:val="32"/>
        </w:rPr>
      </w:pPr>
      <w:r w:rsidRPr="00A65854">
        <w:rPr>
          <w:bCs/>
          <w:sz w:val="32"/>
          <w:szCs w:val="32"/>
        </w:rPr>
        <w:t xml:space="preserve">A Prospective Analysis </w:t>
      </w:r>
      <w:r w:rsidR="00E84F4A">
        <w:rPr>
          <w:bCs/>
          <w:sz w:val="32"/>
          <w:szCs w:val="32"/>
        </w:rPr>
        <w:t>o</w:t>
      </w:r>
      <w:r w:rsidRPr="00A65854">
        <w:rPr>
          <w:bCs/>
          <w:sz w:val="32"/>
          <w:szCs w:val="32"/>
        </w:rPr>
        <w:t>f The Osteoarthritis Initiative</w:t>
      </w:r>
    </w:p>
    <w:p w14:paraId="60595F58" w14:textId="77777777" w:rsidR="00E80A4E" w:rsidRPr="00E80A4E" w:rsidRDefault="00E80A4E" w:rsidP="00E80A4E">
      <w:pPr>
        <w:pStyle w:val="AuthorList"/>
        <w:rPr>
          <w:vertAlign w:val="superscript"/>
          <w:lang w:val="it-IT"/>
        </w:rPr>
      </w:pPr>
      <w:r w:rsidRPr="00E80A4E">
        <w:rPr>
          <w:lang w:val="it-IT"/>
        </w:rPr>
        <w:t>Nicola Veronese</w:t>
      </w:r>
      <w:r w:rsidRPr="00E80A4E">
        <w:rPr>
          <w:vertAlign w:val="superscript"/>
          <w:lang w:val="it-IT"/>
        </w:rPr>
        <w:t>1</w:t>
      </w:r>
      <w:r w:rsidRPr="00E80A4E">
        <w:rPr>
          <w:lang w:val="it-IT"/>
        </w:rPr>
        <w:t>, Ai Koyanagi</w:t>
      </w:r>
      <w:r w:rsidRPr="00E80A4E">
        <w:rPr>
          <w:vertAlign w:val="superscript"/>
          <w:lang w:val="it-IT"/>
        </w:rPr>
        <w:t>2</w:t>
      </w:r>
      <w:r w:rsidRPr="00E80A4E">
        <w:rPr>
          <w:lang w:val="it-IT"/>
        </w:rPr>
        <w:t>, Pinar Soysal</w:t>
      </w:r>
      <w:r w:rsidRPr="00E80A4E">
        <w:rPr>
          <w:vertAlign w:val="superscript"/>
          <w:lang w:val="it-IT"/>
        </w:rPr>
        <w:t>3</w:t>
      </w:r>
      <w:r w:rsidRPr="00E80A4E">
        <w:rPr>
          <w:lang w:val="it-IT"/>
        </w:rPr>
        <w:t>, Francesco Bolzetta</w:t>
      </w:r>
      <w:r w:rsidRPr="00E80A4E">
        <w:rPr>
          <w:vertAlign w:val="superscript"/>
          <w:lang w:val="it-IT"/>
        </w:rPr>
        <w:t>4</w:t>
      </w:r>
      <w:r w:rsidRPr="00E80A4E">
        <w:rPr>
          <w:lang w:val="it-IT"/>
        </w:rPr>
        <w:t>, Ligia J. Dominguez</w:t>
      </w:r>
      <w:r w:rsidRPr="00E80A4E">
        <w:rPr>
          <w:vertAlign w:val="superscript"/>
          <w:lang w:val="it-IT"/>
        </w:rPr>
        <w:t>1,5</w:t>
      </w:r>
      <w:r w:rsidRPr="00E80A4E">
        <w:rPr>
          <w:lang w:val="it-IT"/>
        </w:rPr>
        <w:t>, Mario Barbagallo</w:t>
      </w:r>
      <w:r w:rsidRPr="00E80A4E">
        <w:rPr>
          <w:vertAlign w:val="superscript"/>
          <w:lang w:val="it-IT"/>
        </w:rPr>
        <w:t>1</w:t>
      </w:r>
      <w:r w:rsidRPr="00E80A4E">
        <w:rPr>
          <w:lang w:val="it-IT"/>
        </w:rPr>
        <w:t>, Shaun Sabico</w:t>
      </w:r>
      <w:r w:rsidRPr="00E80A4E">
        <w:rPr>
          <w:vertAlign w:val="superscript"/>
          <w:lang w:val="it-IT"/>
        </w:rPr>
        <w:t>6</w:t>
      </w:r>
      <w:r w:rsidRPr="00E80A4E">
        <w:rPr>
          <w:lang w:val="it-IT"/>
        </w:rPr>
        <w:t>, Nasser M. Al-Daghri</w:t>
      </w:r>
      <w:r w:rsidRPr="00E80A4E">
        <w:rPr>
          <w:vertAlign w:val="superscript"/>
          <w:lang w:val="it-IT"/>
        </w:rPr>
        <w:t>6</w:t>
      </w:r>
      <w:r w:rsidRPr="00E80A4E">
        <w:rPr>
          <w:lang w:val="it-IT"/>
        </w:rPr>
        <w:t>, Lee Smith</w:t>
      </w:r>
      <w:r w:rsidRPr="00E80A4E">
        <w:rPr>
          <w:vertAlign w:val="superscript"/>
          <w:lang w:val="it-IT"/>
        </w:rPr>
        <w:t>7</w:t>
      </w:r>
    </w:p>
    <w:p w14:paraId="76C3FC4F" w14:textId="77777777" w:rsidR="00E80A4E" w:rsidRPr="00E80A4E" w:rsidRDefault="00E80A4E" w:rsidP="00E80A4E">
      <w:pPr>
        <w:spacing w:before="240" w:after="0"/>
        <w:rPr>
          <w:rFonts w:cs="Times New Roman"/>
          <w:szCs w:val="24"/>
        </w:rPr>
      </w:pPr>
      <w:r w:rsidRPr="00E80A4E">
        <w:rPr>
          <w:rFonts w:cs="Times New Roman"/>
          <w:szCs w:val="24"/>
        </w:rPr>
        <w:t xml:space="preserve">1. Department of Health Promotion, Mother and Child Care, Internal Medicine and Medical Specialties, University of Palermo, Palermo, </w:t>
      </w:r>
      <w:proofErr w:type="gramStart"/>
      <w:r w:rsidRPr="00E80A4E">
        <w:rPr>
          <w:rFonts w:cs="Times New Roman"/>
          <w:szCs w:val="24"/>
        </w:rPr>
        <w:t>Italy;</w:t>
      </w:r>
      <w:proofErr w:type="gramEnd"/>
    </w:p>
    <w:p w14:paraId="57B3600E" w14:textId="77777777" w:rsidR="00E80A4E" w:rsidRPr="00E80A4E" w:rsidRDefault="00E80A4E" w:rsidP="00E80A4E">
      <w:pPr>
        <w:spacing w:before="240" w:after="0"/>
        <w:rPr>
          <w:rFonts w:cs="Times New Roman"/>
          <w:szCs w:val="24"/>
        </w:rPr>
      </w:pPr>
      <w:r w:rsidRPr="00E80A4E">
        <w:rPr>
          <w:rFonts w:cs="Times New Roman"/>
          <w:szCs w:val="24"/>
        </w:rPr>
        <w:t xml:space="preserve">2. Research and Development Unit, Parc </w:t>
      </w:r>
      <w:proofErr w:type="spellStart"/>
      <w:r w:rsidRPr="00E80A4E">
        <w:rPr>
          <w:rFonts w:cs="Times New Roman"/>
          <w:szCs w:val="24"/>
        </w:rPr>
        <w:t>Sanitari</w:t>
      </w:r>
      <w:proofErr w:type="spellEnd"/>
      <w:r w:rsidRPr="00E80A4E">
        <w:rPr>
          <w:rFonts w:cs="Times New Roman"/>
          <w:szCs w:val="24"/>
        </w:rPr>
        <w:t xml:space="preserve"> Sant Joan de </w:t>
      </w:r>
      <w:proofErr w:type="spellStart"/>
      <w:r w:rsidRPr="00E80A4E">
        <w:rPr>
          <w:rFonts w:cs="Times New Roman"/>
          <w:szCs w:val="24"/>
        </w:rPr>
        <w:t>Déu</w:t>
      </w:r>
      <w:proofErr w:type="spellEnd"/>
      <w:r w:rsidRPr="00E80A4E">
        <w:rPr>
          <w:rFonts w:cs="Times New Roman"/>
          <w:szCs w:val="24"/>
        </w:rPr>
        <w:t xml:space="preserve">, CIBERSAM, ISCIII, 08830 Barcelona, Spain; ICREA, Pg. </w:t>
      </w:r>
      <w:proofErr w:type="spellStart"/>
      <w:r w:rsidRPr="00E80A4E">
        <w:rPr>
          <w:rFonts w:cs="Times New Roman"/>
          <w:szCs w:val="24"/>
        </w:rPr>
        <w:t>Lluis</w:t>
      </w:r>
      <w:proofErr w:type="spellEnd"/>
      <w:r w:rsidRPr="00E80A4E">
        <w:rPr>
          <w:rFonts w:cs="Times New Roman"/>
          <w:szCs w:val="24"/>
        </w:rPr>
        <w:t xml:space="preserve"> </w:t>
      </w:r>
      <w:proofErr w:type="spellStart"/>
      <w:r w:rsidRPr="00E80A4E">
        <w:rPr>
          <w:rFonts w:cs="Times New Roman"/>
          <w:szCs w:val="24"/>
        </w:rPr>
        <w:t>Companys</w:t>
      </w:r>
      <w:proofErr w:type="spellEnd"/>
      <w:r w:rsidRPr="00E80A4E">
        <w:rPr>
          <w:rFonts w:cs="Times New Roman"/>
          <w:szCs w:val="24"/>
        </w:rPr>
        <w:t xml:space="preserve"> 23, 08010 Barcelona, </w:t>
      </w:r>
      <w:proofErr w:type="gramStart"/>
      <w:r w:rsidRPr="00E80A4E">
        <w:rPr>
          <w:rFonts w:cs="Times New Roman"/>
          <w:szCs w:val="24"/>
        </w:rPr>
        <w:t>Spain;</w:t>
      </w:r>
      <w:proofErr w:type="gramEnd"/>
    </w:p>
    <w:p w14:paraId="1778CE95" w14:textId="77777777" w:rsidR="00E80A4E" w:rsidRPr="00E80A4E" w:rsidRDefault="00E80A4E" w:rsidP="00E80A4E">
      <w:pPr>
        <w:spacing w:before="240" w:after="0"/>
        <w:rPr>
          <w:rFonts w:cs="Times New Roman"/>
          <w:szCs w:val="24"/>
        </w:rPr>
      </w:pPr>
      <w:r w:rsidRPr="00E80A4E">
        <w:rPr>
          <w:rFonts w:cs="Times New Roman"/>
          <w:szCs w:val="24"/>
        </w:rPr>
        <w:t xml:space="preserve">3. Department of Geriatric Medicine, Faculty of Medicine, </w:t>
      </w:r>
      <w:proofErr w:type="spellStart"/>
      <w:r w:rsidRPr="00E80A4E">
        <w:rPr>
          <w:rFonts w:cs="Times New Roman"/>
          <w:szCs w:val="24"/>
        </w:rPr>
        <w:t>Bezmialem</w:t>
      </w:r>
      <w:proofErr w:type="spellEnd"/>
      <w:r w:rsidRPr="00E80A4E">
        <w:rPr>
          <w:rFonts w:cs="Times New Roman"/>
          <w:szCs w:val="24"/>
        </w:rPr>
        <w:t xml:space="preserve"> </w:t>
      </w:r>
      <w:proofErr w:type="spellStart"/>
      <w:r w:rsidRPr="00E80A4E">
        <w:rPr>
          <w:rFonts w:cs="Times New Roman"/>
          <w:szCs w:val="24"/>
        </w:rPr>
        <w:t>Vakif</w:t>
      </w:r>
      <w:proofErr w:type="spellEnd"/>
      <w:r w:rsidRPr="00E80A4E">
        <w:rPr>
          <w:rFonts w:cs="Times New Roman"/>
          <w:szCs w:val="24"/>
        </w:rPr>
        <w:t xml:space="preserve"> University, Istanbul, Turkey</w:t>
      </w:r>
    </w:p>
    <w:p w14:paraId="1099E746" w14:textId="77777777" w:rsidR="00E80A4E" w:rsidRPr="00E80A4E" w:rsidRDefault="00E80A4E" w:rsidP="00E80A4E">
      <w:pPr>
        <w:spacing w:before="240" w:after="0"/>
        <w:rPr>
          <w:rFonts w:cs="Times New Roman"/>
          <w:szCs w:val="24"/>
          <w:lang w:val="it-IT"/>
        </w:rPr>
      </w:pPr>
      <w:r w:rsidRPr="00E80A4E">
        <w:rPr>
          <w:rFonts w:cs="Times New Roman"/>
          <w:szCs w:val="24"/>
          <w:lang w:val="it-IT"/>
        </w:rPr>
        <w:t>4. Medical Department, Geriatric Unit, Azienda ULSS (Unità Locale Socio Sanitaria) 3 "Serenissima", Dolo-Mirano District, Italy.</w:t>
      </w:r>
    </w:p>
    <w:p w14:paraId="7B4A244B" w14:textId="77777777" w:rsidR="00E80A4E" w:rsidRPr="00E80A4E" w:rsidRDefault="00E80A4E" w:rsidP="00E80A4E">
      <w:pPr>
        <w:spacing w:before="240" w:after="0"/>
        <w:rPr>
          <w:rFonts w:cs="Times New Roman"/>
          <w:szCs w:val="24"/>
        </w:rPr>
      </w:pPr>
      <w:r w:rsidRPr="00E80A4E">
        <w:rPr>
          <w:rFonts w:cs="Times New Roman"/>
          <w:szCs w:val="24"/>
        </w:rPr>
        <w:t xml:space="preserve">5. Faculty of Medicine and Surgery, Kore University of Enna, 94100 Enna, </w:t>
      </w:r>
      <w:proofErr w:type="gramStart"/>
      <w:r w:rsidRPr="00E80A4E">
        <w:rPr>
          <w:rFonts w:cs="Times New Roman"/>
          <w:szCs w:val="24"/>
        </w:rPr>
        <w:t>Italy;</w:t>
      </w:r>
      <w:proofErr w:type="gramEnd"/>
    </w:p>
    <w:p w14:paraId="665F5677" w14:textId="77777777" w:rsidR="00E80A4E" w:rsidRPr="00E80A4E" w:rsidRDefault="00E80A4E" w:rsidP="00E80A4E">
      <w:pPr>
        <w:spacing w:before="240" w:after="0"/>
        <w:rPr>
          <w:rFonts w:cs="Times New Roman"/>
          <w:szCs w:val="24"/>
        </w:rPr>
      </w:pPr>
      <w:r w:rsidRPr="00E80A4E">
        <w:rPr>
          <w:rFonts w:cs="Times New Roman"/>
          <w:szCs w:val="24"/>
        </w:rPr>
        <w:t>6. Biochemistry Department, College of Science, King Saud University, Riyadh, Saudi Arabia.</w:t>
      </w:r>
    </w:p>
    <w:p w14:paraId="728511EE" w14:textId="77777777" w:rsidR="00E80A4E" w:rsidRPr="00E80A4E" w:rsidRDefault="00E80A4E" w:rsidP="00E80A4E">
      <w:pPr>
        <w:spacing w:before="240" w:after="0"/>
        <w:rPr>
          <w:rFonts w:cs="Times New Roman"/>
          <w:szCs w:val="24"/>
        </w:rPr>
      </w:pPr>
      <w:r w:rsidRPr="00E80A4E">
        <w:rPr>
          <w:rFonts w:cs="Times New Roman"/>
          <w:szCs w:val="24"/>
        </w:rPr>
        <w:t>7. Centre for Health, Performance, and Wellbeing, Anglia Ruskin University, Cambridge, UK.</w:t>
      </w:r>
    </w:p>
    <w:p w14:paraId="47561A57" w14:textId="77777777" w:rsidR="00E80A4E" w:rsidRPr="00E80A4E" w:rsidRDefault="002868E2" w:rsidP="00E80A4E">
      <w:pPr>
        <w:spacing w:before="240" w:after="0"/>
        <w:rPr>
          <w:rFonts w:cs="Times New Roman"/>
          <w:szCs w:val="24"/>
        </w:rPr>
      </w:pPr>
      <w:r w:rsidRPr="00376CC5">
        <w:rPr>
          <w:rFonts w:cs="Times New Roman"/>
          <w:b/>
          <w:szCs w:val="24"/>
        </w:rPr>
        <w:t xml:space="preserve">* Correspondence: </w:t>
      </w:r>
      <w:r w:rsidR="00671D9A" w:rsidRPr="00376CC5">
        <w:rPr>
          <w:rFonts w:cs="Times New Roman"/>
          <w:b/>
          <w:szCs w:val="24"/>
        </w:rPr>
        <w:br/>
      </w:r>
      <w:r w:rsidR="00E80A4E" w:rsidRPr="00E80A4E">
        <w:rPr>
          <w:rFonts w:cs="Times New Roman"/>
          <w:szCs w:val="24"/>
        </w:rPr>
        <w:t xml:space="preserve">Nicola Veronese. Department of Health Promotion, Mother and Child Care, Internal Medicine and Medical Specialties, University of Palermo, Palermo, Italy.  Email: </w:t>
      </w:r>
      <w:hyperlink r:id="rId12" w:history="1">
        <w:r w:rsidR="00E80A4E" w:rsidRPr="00E80A4E">
          <w:rPr>
            <w:rStyle w:val="Hyperlink"/>
            <w:rFonts w:cs="Times New Roman"/>
            <w:szCs w:val="24"/>
          </w:rPr>
          <w:t>nicola.veronese@unipa.it</w:t>
        </w:r>
      </w:hyperlink>
      <w:r w:rsidR="00E80A4E" w:rsidRPr="00E80A4E">
        <w:rPr>
          <w:rFonts w:cs="Times New Roman"/>
          <w:szCs w:val="24"/>
        </w:rPr>
        <w:t xml:space="preserve"> </w:t>
      </w:r>
    </w:p>
    <w:p w14:paraId="07DA009D" w14:textId="6326A83C" w:rsidR="00EA3D3C" w:rsidRPr="00376CC5" w:rsidRDefault="00817DD6" w:rsidP="00651CA2">
      <w:pPr>
        <w:pStyle w:val="AuthorList"/>
      </w:pPr>
      <w:r w:rsidRPr="00376CC5">
        <w:t xml:space="preserve">Keywords: </w:t>
      </w:r>
      <w:r w:rsidR="003C4056" w:rsidRPr="003C4056">
        <w:rPr>
          <w:lang w:val="en-GB"/>
        </w:rPr>
        <w:t xml:space="preserve">Abdominal obesity, Dynapenia, Dynapenic abdominal obesity, </w:t>
      </w:r>
      <w:proofErr w:type="gramStart"/>
      <w:r w:rsidR="003C4056" w:rsidRPr="003C4056">
        <w:rPr>
          <w:lang w:val="en-GB"/>
        </w:rPr>
        <w:t>Falls,  Osteoarthritis</w:t>
      </w:r>
      <w:proofErr w:type="gramEnd"/>
      <w:r w:rsidR="003C4056" w:rsidRPr="003C4056">
        <w:rPr>
          <w:lang w:val="en-GB"/>
        </w:rPr>
        <w:t xml:space="preserve"> Initiative</w:t>
      </w:r>
    </w:p>
    <w:p w14:paraId="51563E1B" w14:textId="77777777" w:rsidR="008E2B54" w:rsidRPr="003C4056" w:rsidRDefault="00EA3D3C" w:rsidP="003C4056">
      <w:pPr>
        <w:pStyle w:val="AuthorList"/>
        <w:spacing w:before="120" w:after="120"/>
        <w:rPr>
          <w:rFonts w:cstheme="minorBidi"/>
          <w:bCs/>
        </w:rPr>
      </w:pPr>
      <w:r w:rsidRPr="003C4056">
        <w:rPr>
          <w:rFonts w:cstheme="minorBidi"/>
          <w:bCs/>
        </w:rPr>
        <w:t>Abstract</w:t>
      </w:r>
    </w:p>
    <w:p w14:paraId="4882E439" w14:textId="0027BF45" w:rsidR="003C4056" w:rsidRPr="003C4056" w:rsidRDefault="003C4056" w:rsidP="003C4056">
      <w:pPr>
        <w:pStyle w:val="Corpo"/>
        <w:spacing w:before="120" w:after="120"/>
        <w:rPr>
          <w:rFonts w:eastAsiaTheme="minorHAnsi" w:cstheme="minorBidi"/>
          <w:color w:val="auto"/>
          <w:bdr w:val="none" w:sz="0" w:space="0" w:color="auto"/>
          <w:lang w:eastAsia="en-US"/>
        </w:rPr>
      </w:pPr>
      <w:r>
        <w:rPr>
          <w:rFonts w:eastAsiaTheme="minorHAnsi" w:cstheme="minorBidi"/>
          <w:b/>
          <w:color w:val="auto"/>
          <w:bdr w:val="none" w:sz="0" w:space="0" w:color="auto"/>
          <w:lang w:eastAsia="en-US"/>
        </w:rPr>
        <w:t>Background</w:t>
      </w:r>
      <w:r w:rsidRPr="003C4056">
        <w:rPr>
          <w:rFonts w:eastAsiaTheme="minorHAnsi" w:cstheme="minorBidi"/>
          <w:color w:val="auto"/>
          <w:bdr w:val="none" w:sz="0" w:space="0" w:color="auto"/>
          <w:lang w:eastAsia="en-US"/>
        </w:rPr>
        <w:t>: The prediction of the risk of falling remains a challenge in geriatric medicine and the identification of new potential reversible risk factors is a public health priority. In this study, we aim t</w:t>
      </w:r>
      <w:r w:rsidRPr="003C4056">
        <w:rPr>
          <w:rFonts w:eastAsiaTheme="minorHAnsi" w:cstheme="minorBidi"/>
          <w:color w:val="auto"/>
          <w:bdr w:val="none" w:sz="0" w:space="0" w:color="auto"/>
          <w:lang w:val="en-US" w:eastAsia="en-US"/>
        </w:rPr>
        <w:t xml:space="preserve">o investigate the association between DAO (dynapenic abdominal obesity) and incident falls in a large sample of people with knee OA (osteoarthritis) or at high risk for this condition, over eight years of follow-up. </w:t>
      </w:r>
      <w:r w:rsidRPr="003C4056">
        <w:rPr>
          <w:rFonts w:eastAsiaTheme="minorHAnsi" w:cstheme="minorBidi"/>
          <w:color w:val="auto"/>
          <w:bdr w:val="none" w:sz="0" w:space="0" w:color="auto"/>
          <w:lang w:eastAsia="en-US"/>
        </w:rPr>
        <w:t xml:space="preserve"> </w:t>
      </w:r>
    </w:p>
    <w:p w14:paraId="4C901C41" w14:textId="5E42664D" w:rsidR="003C4056" w:rsidRPr="003C4056" w:rsidRDefault="003C4056" w:rsidP="003C4056">
      <w:pPr>
        <w:pStyle w:val="Corpo"/>
        <w:spacing w:before="120" w:after="120"/>
        <w:rPr>
          <w:rFonts w:eastAsiaTheme="minorHAnsi" w:cstheme="minorBidi"/>
          <w:color w:val="auto"/>
          <w:bdr w:val="none" w:sz="0" w:space="0" w:color="auto"/>
          <w:lang w:eastAsia="en-US"/>
        </w:rPr>
      </w:pPr>
      <w:r w:rsidRPr="003C4056">
        <w:rPr>
          <w:rFonts w:eastAsiaTheme="minorHAnsi" w:cstheme="minorBidi"/>
          <w:b/>
          <w:bCs/>
          <w:color w:val="auto"/>
          <w:bdr w:val="none" w:sz="0" w:space="0" w:color="auto"/>
          <w:lang w:eastAsia="en-US"/>
        </w:rPr>
        <w:t>Methods</w:t>
      </w:r>
      <w:r>
        <w:rPr>
          <w:rFonts w:eastAsiaTheme="minorHAnsi" w:cstheme="minorBidi"/>
          <w:color w:val="auto"/>
          <w:bdr w:val="none" w:sz="0" w:space="0" w:color="auto"/>
          <w:lang w:eastAsia="en-US"/>
        </w:rPr>
        <w:t xml:space="preserve">: </w:t>
      </w:r>
      <w:r w:rsidRPr="003C4056">
        <w:rPr>
          <w:rFonts w:eastAsiaTheme="minorHAnsi" w:cstheme="minorBidi"/>
          <w:color w:val="auto"/>
          <w:bdr w:val="none" w:sz="0" w:space="0" w:color="auto"/>
          <w:lang w:eastAsia="en-US"/>
        </w:rPr>
        <w:t xml:space="preserve">DAO was defined using a waist circumference more than 102 cm in men and 88 cm in women and a concomitant presence of dynapenia, defined as a time over 15 second in the </w:t>
      </w:r>
      <w:r w:rsidRPr="003C4056">
        <w:rPr>
          <w:rFonts w:eastAsiaTheme="minorHAnsi" w:cstheme="minorBidi"/>
          <w:color w:val="auto"/>
          <w:bdr w:val="none" w:sz="0" w:space="0" w:color="auto"/>
          <w:lang w:val="en-US" w:eastAsia="en-US"/>
        </w:rPr>
        <w:t>five times chair stands time. Falls, during follow-up, were recorded using self-reported information in the previous year. A logistic binary regression analysis was run, adjusted for potential confounders at the baseline, reporting the data as odds ratios (ORs) with their 95% confidence intervals (CIs).</w:t>
      </w:r>
    </w:p>
    <w:p w14:paraId="4F98C7CC" w14:textId="77777777" w:rsidR="003C4056" w:rsidRPr="003C4056" w:rsidRDefault="003C4056" w:rsidP="003C4056">
      <w:pPr>
        <w:pStyle w:val="Corpo"/>
        <w:spacing w:before="120" w:after="120"/>
        <w:rPr>
          <w:rFonts w:eastAsiaTheme="minorHAnsi" w:cstheme="minorBidi"/>
          <w:color w:val="auto"/>
          <w:bdr w:val="none" w:sz="0" w:space="0" w:color="auto"/>
          <w:lang w:eastAsia="en-US"/>
        </w:rPr>
      </w:pPr>
      <w:r w:rsidRPr="003C4056">
        <w:rPr>
          <w:rFonts w:eastAsiaTheme="minorHAnsi" w:cstheme="minorBidi"/>
          <w:b/>
          <w:bCs/>
          <w:color w:val="auto"/>
          <w:bdr w:val="none" w:sz="0" w:space="0" w:color="auto"/>
          <w:lang w:val="en-US" w:eastAsia="en-US"/>
        </w:rPr>
        <w:t>Results</w:t>
      </w:r>
      <w:r w:rsidRPr="003C4056">
        <w:rPr>
          <w:rFonts w:eastAsiaTheme="minorHAnsi" w:cstheme="minorBidi"/>
          <w:color w:val="auto"/>
          <w:bdr w:val="none" w:sz="0" w:space="0" w:color="auto"/>
          <w:lang w:val="en-US" w:eastAsia="en-US"/>
        </w:rPr>
        <w:t xml:space="preserve">: Overall, </w:t>
      </w:r>
      <w:r w:rsidRPr="003C4056">
        <w:rPr>
          <w:rFonts w:eastAsiaTheme="minorHAnsi" w:cstheme="minorBidi"/>
          <w:color w:val="auto"/>
          <w:bdr w:val="none" w:sz="0" w:space="0" w:color="auto"/>
          <w:lang w:eastAsia="en-US"/>
        </w:rPr>
        <w:t xml:space="preserve">3,844 subjects were included, majority of whom had abdominal obesity. Across the 8 years of follow-up, 2,695 participants fell vs. 1,149 not reporting any fall. </w:t>
      </w:r>
      <w:r w:rsidRPr="003C4056">
        <w:rPr>
          <w:rFonts w:eastAsiaTheme="minorHAnsi" w:cstheme="minorBidi"/>
          <w:color w:val="auto"/>
          <w:bdr w:val="none" w:sz="0" w:space="0" w:color="auto"/>
          <w:lang w:eastAsia="en-US"/>
        </w:rPr>
        <w:lastRenderedPageBreak/>
        <w:t>Taking those without DAO as reference, the presence of only dynapenia was not associated with risk of falls  (OR=1.18;95%CI: 0.73-1.91; p=0.50), whilst the presence of abdominal obesity (OR=1.30; 95%CI: 1.09-1.56; p=0.004) and DAO (OR=1.31; 95%CI:1.01-1.73; p=0.04) were significantly associated with a higher risk of incident falls.</w:t>
      </w:r>
    </w:p>
    <w:p w14:paraId="3335C350" w14:textId="77777777" w:rsidR="003C4056" w:rsidRPr="003C4056" w:rsidRDefault="003C4056" w:rsidP="003C4056">
      <w:pPr>
        <w:pStyle w:val="Corpo"/>
        <w:spacing w:before="120" w:after="120"/>
        <w:rPr>
          <w:rFonts w:eastAsiaTheme="minorHAnsi" w:cstheme="minorBidi"/>
          <w:color w:val="auto"/>
          <w:bdr w:val="none" w:sz="0" w:space="0" w:color="auto"/>
          <w:lang w:eastAsia="en-US"/>
        </w:rPr>
      </w:pPr>
      <w:r w:rsidRPr="003C4056">
        <w:rPr>
          <w:rFonts w:eastAsiaTheme="minorHAnsi" w:cstheme="minorBidi"/>
          <w:b/>
          <w:bCs/>
          <w:color w:val="auto"/>
          <w:bdr w:val="none" w:sz="0" w:space="0" w:color="auto"/>
          <w:lang w:eastAsia="en-US"/>
        </w:rPr>
        <w:t>Conclusions</w:t>
      </w:r>
      <w:r w:rsidRPr="003C4056">
        <w:rPr>
          <w:rFonts w:eastAsiaTheme="minorHAnsi" w:cstheme="minorBidi"/>
          <w:color w:val="auto"/>
          <w:bdr w:val="none" w:sz="0" w:space="0" w:color="auto"/>
          <w:lang w:eastAsia="en-US"/>
        </w:rPr>
        <w:t xml:space="preserve">: </w:t>
      </w:r>
      <w:r w:rsidRPr="003C4056">
        <w:rPr>
          <w:rFonts w:eastAsiaTheme="minorHAnsi" w:cstheme="minorBidi"/>
          <w:color w:val="auto"/>
          <w:bdr w:val="none" w:sz="0" w:space="0" w:color="auto"/>
          <w:lang w:val="en-US" w:eastAsia="en-US"/>
        </w:rPr>
        <w:t xml:space="preserve">DAO significantly increased risk of falls as well as the presence of abdominal obesity. </w:t>
      </w:r>
    </w:p>
    <w:p w14:paraId="46DAC1F7" w14:textId="77777777" w:rsidR="00EA3D3C" w:rsidRPr="00376CC5" w:rsidRDefault="00EA3D3C" w:rsidP="00D9503C">
      <w:pPr>
        <w:pStyle w:val="Heading1"/>
      </w:pPr>
      <w:r w:rsidRPr="00376CC5">
        <w:t>Introduction</w:t>
      </w:r>
    </w:p>
    <w:p w14:paraId="61D2AE6C" w14:textId="564D6614" w:rsidR="00DE0986" w:rsidRPr="00DE0986" w:rsidRDefault="00DE0986" w:rsidP="00DE0986">
      <w:pPr>
        <w:rPr>
          <w:szCs w:val="24"/>
        </w:rPr>
      </w:pPr>
      <w:r w:rsidRPr="00DE0986">
        <w:rPr>
          <w:szCs w:val="24"/>
        </w:rPr>
        <w:t>Falls are a major public health concern in older people as they are associated with worse quality of life, increased physical comorbidity, healthcare use and early mortality.</w:t>
      </w:r>
      <w:r w:rsidRPr="00DE0986">
        <w:rPr>
          <w:szCs w:val="24"/>
        </w:rPr>
        <w:fldChar w:fldCharType="begin"/>
      </w:r>
      <w:r w:rsidRPr="00DE0986">
        <w:rPr>
          <w:szCs w:val="24"/>
        </w:rPr>
        <w:instrText xml:space="preserve"> ADDIN EN.CITE &lt;EndNote&gt;&lt;Cite&gt;&lt;Author&gt;Rubenstein&lt;/Author&gt;&lt;Year&gt;2006&lt;/Year&gt;&lt;RecNum&gt;8417&lt;/RecNum&gt;&lt;DisplayText&gt;[1]&lt;/DisplayText&gt;&lt;record&gt;&lt;rec-number&gt;8417&lt;/rec-number&gt;&lt;foreign-keys&gt;&lt;key app="EN" db-id="drpew5wfywra50esazbxawda2f59zaves90z" timestamp="1601995842"&gt;8417&lt;/key&gt;&lt;/foreign-keys&gt;&lt;ref-type name="Journal Article"&gt;17&lt;/ref-type&gt;&lt;contributors&gt;&lt;authors&gt;&lt;author&gt;Rubenstein, Laurence Z&lt;/author&gt;&lt;/authors&gt;&lt;/contributors&gt;&lt;titles&gt;&lt;title&gt;Falls in older people: epidemiology, risk factors and strategies for prevention&lt;/title&gt;&lt;secondary-title&gt;Age and ageing&lt;/secondary-title&gt;&lt;/titles&gt;&lt;periodical&gt;&lt;full-title&gt;Age and ageing&lt;/full-title&gt;&lt;/periodical&gt;&lt;pages&gt;ii37-ii41&lt;/pages&gt;&lt;volume&gt;35&lt;/volume&gt;&lt;number&gt;suppl_2&lt;/number&gt;&lt;dates&gt;&lt;year&gt;2006&lt;/year&gt;&lt;/dates&gt;&lt;isbn&gt;1468-2834&lt;/isbn&gt;&lt;urls&gt;&lt;/urls&gt;&lt;/record&gt;&lt;/Cite&gt;&lt;/EndNote&gt;</w:instrText>
      </w:r>
      <w:r w:rsidRPr="00DE0986">
        <w:rPr>
          <w:szCs w:val="24"/>
        </w:rPr>
        <w:fldChar w:fldCharType="separate"/>
      </w:r>
      <w:r w:rsidRPr="00DE0986">
        <w:rPr>
          <w:szCs w:val="24"/>
        </w:rPr>
        <w:t>[1]</w:t>
      </w:r>
      <w:r w:rsidRPr="00DE0986">
        <w:rPr>
          <w:szCs w:val="24"/>
        </w:rPr>
        <w:fldChar w:fldCharType="end"/>
      </w:r>
      <w:r w:rsidRPr="00DE0986">
        <w:rPr>
          <w:szCs w:val="24"/>
        </w:rPr>
        <w:t xml:space="preserve"> It has been estimated that approximately 1 in 3 people aged 65 years or older fall every year in the United States (US).</w:t>
      </w:r>
      <w:r w:rsidRPr="00DE0986">
        <w:rPr>
          <w:szCs w:val="24"/>
        </w:rPr>
        <w:fldChar w:fldCharType="begin"/>
      </w:r>
      <w:r w:rsidRPr="00DE0986">
        <w:rPr>
          <w:szCs w:val="24"/>
        </w:rPr>
        <w:instrText xml:space="preserve"> ADDIN EN.CITE &lt;EndNote&gt;&lt;Cite&gt;&lt;Author&gt;Pahor&lt;/Author&gt;&lt;Year&gt;2019&lt;/Year&gt;&lt;RecNum&gt;7152&lt;/RecNum&gt;&lt;DisplayText&gt;[2]&lt;/DisplayText&gt;&lt;record&gt;&lt;rec-number&gt;7152&lt;/rec-number&gt;&lt;foreign-keys&gt;&lt;key app="EN" db-id="t2wadffz0tdfane25rb50ezte9zwtdwpseft"&gt;7152&lt;/key&gt;&lt;/foreign-keys&gt;&lt;ref-type name="Journal Article"&gt;17&lt;/ref-type&gt;&lt;contributors&gt;&lt;authors&gt;&lt;author&gt;Pahor, Marco&lt;/author&gt;&lt;/authors&gt;&lt;/contributors&gt;&lt;titles&gt;&lt;title&gt;Falls in older adults: prevention, mortality, and costs&lt;/title&gt;&lt;secondary-title&gt;Jama&lt;/secondary-title&gt;&lt;/titles&gt;&lt;periodical&gt;&lt;full-title&gt;JAMA&lt;/full-title&gt;&lt;abbr-1&gt;Jama&lt;/abbr-1&gt;&lt;/periodical&gt;&lt;pages&gt;2080-2081&lt;/pages&gt;&lt;volume&gt;321&lt;/volume&gt;&lt;number&gt;21&lt;/number&gt;&lt;dates&gt;&lt;year&gt;2019&lt;/year&gt;&lt;/dates&gt;&lt;isbn&gt;0098-7484&lt;/isbn&gt;&lt;urls&gt;&lt;/urls&gt;&lt;/record&gt;&lt;/Cite&gt;&lt;/EndNote&gt;</w:instrText>
      </w:r>
      <w:r w:rsidRPr="00DE0986">
        <w:rPr>
          <w:szCs w:val="24"/>
        </w:rPr>
        <w:fldChar w:fldCharType="separate"/>
      </w:r>
      <w:r w:rsidRPr="00DE0986">
        <w:rPr>
          <w:szCs w:val="24"/>
        </w:rPr>
        <w:t>[2]</w:t>
      </w:r>
      <w:r w:rsidRPr="00DE0986">
        <w:rPr>
          <w:szCs w:val="24"/>
        </w:rPr>
        <w:fldChar w:fldCharType="end"/>
      </w:r>
      <w:r w:rsidRPr="00DE0986">
        <w:rPr>
          <w:szCs w:val="24"/>
        </w:rPr>
        <w:t xml:space="preserve"> Moreover, in the US, falls are a frequent cause of disability, institutionalization, and mortality, and are among the primary causes of traumatic injury among the older adult population.</w:t>
      </w:r>
      <w:r w:rsidRPr="00DE0986">
        <w:rPr>
          <w:szCs w:val="24"/>
        </w:rPr>
        <w:fldChar w:fldCharType="begin"/>
      </w:r>
      <w:r w:rsidRPr="00DE0986">
        <w:rPr>
          <w:szCs w:val="24"/>
        </w:rPr>
        <w:instrText xml:space="preserve"> ADDIN EN.CITE &lt;EndNote&gt;&lt;Cite&gt;&lt;Author&gt;Rubenstein&lt;/Author&gt;&lt;Year&gt;2006&lt;/Year&gt;&lt;RecNum&gt;8417&lt;/RecNum&gt;&lt;DisplayText&gt;[1; 2]&lt;/DisplayText&gt;&lt;record&gt;&lt;rec-number&gt;8417&lt;/rec-number&gt;&lt;foreign-keys&gt;&lt;key app="EN" db-id="drpew5wfywra50esazbxawda2f59zaves90z" timestamp="1601995842"&gt;8417&lt;/key&gt;&lt;/foreign-keys&gt;&lt;ref-type name="Journal Article"&gt;17&lt;/ref-type&gt;&lt;contributors&gt;&lt;authors&gt;&lt;author&gt;Rubenstein, Laurence Z&lt;/author&gt;&lt;/authors&gt;&lt;/contributors&gt;&lt;titles&gt;&lt;title&gt;Falls in older people: epidemiology, risk factors and strategies for prevention&lt;/title&gt;&lt;secondary-title&gt;Age and ageing&lt;/secondary-title&gt;&lt;/titles&gt;&lt;periodical&gt;&lt;full-title&gt;Age and ageing&lt;/full-title&gt;&lt;/periodical&gt;&lt;pages&gt;ii37-ii41&lt;/pages&gt;&lt;volume&gt;35&lt;/volume&gt;&lt;number&gt;suppl_2&lt;/number&gt;&lt;dates&gt;&lt;year&gt;2006&lt;/year&gt;&lt;/dates&gt;&lt;isbn&gt;1468-2834&lt;/isbn&gt;&lt;urls&gt;&lt;/urls&gt;&lt;/record&gt;&lt;/Cite&gt;&lt;Cite&gt;&lt;Author&gt;Pahor&lt;/Author&gt;&lt;Year&gt;2019&lt;/Year&gt;&lt;RecNum&gt;7152&lt;/RecNum&gt;&lt;record&gt;&lt;rec-number&gt;7152&lt;/rec-number&gt;&lt;foreign-keys&gt;&lt;key app="EN" db-id="t2wadffz0tdfane25rb50ezte9zwtdwpseft"&gt;7152&lt;/key&gt;&lt;/foreign-keys&gt;&lt;ref-type name="Journal Article"&gt;17&lt;/ref-type&gt;&lt;contributors&gt;&lt;authors&gt;&lt;author&gt;Pahor, Marco&lt;/author&gt;&lt;/authors&gt;&lt;/contributors&gt;&lt;titles&gt;&lt;title&gt;Falls in older adults: prevention, mortality, and costs&lt;/title&gt;&lt;secondary-title&gt;Jama&lt;/secondary-title&gt;&lt;/titles&gt;&lt;periodical&gt;&lt;full-title&gt;JAMA&lt;/full-title&gt;&lt;abbr-1&gt;Jama&lt;/abbr-1&gt;&lt;/periodical&gt;&lt;pages&gt;2080-2081&lt;/pages&gt;&lt;volume&gt;321&lt;/volume&gt;&lt;number&gt;21&lt;/number&gt;&lt;dates&gt;&lt;year&gt;2019&lt;/year&gt;&lt;/dates&gt;&lt;isbn&gt;0098-7484&lt;/isbn&gt;&lt;urls&gt;&lt;/urls&gt;&lt;/record&gt;&lt;/Cite&gt;&lt;/EndNote&gt;</w:instrText>
      </w:r>
      <w:r w:rsidRPr="00DE0986">
        <w:rPr>
          <w:szCs w:val="24"/>
        </w:rPr>
        <w:fldChar w:fldCharType="separate"/>
      </w:r>
      <w:r w:rsidRPr="00DE0986">
        <w:rPr>
          <w:szCs w:val="24"/>
        </w:rPr>
        <w:t>[1; 2]</w:t>
      </w:r>
      <w:r w:rsidRPr="00DE0986">
        <w:rPr>
          <w:szCs w:val="24"/>
        </w:rPr>
        <w:fldChar w:fldCharType="end"/>
      </w:r>
      <w:r w:rsidRPr="00DE0986">
        <w:rPr>
          <w:szCs w:val="24"/>
        </w:rPr>
        <w:t xml:space="preserve"> Several conditions are known as potential risk factors for falls, including reduction in muscle strength</w:t>
      </w:r>
      <w:r w:rsidRPr="00DE0986">
        <w:rPr>
          <w:szCs w:val="24"/>
        </w:rPr>
        <w:fldChar w:fldCharType="begin"/>
      </w:r>
      <w:r w:rsidRPr="00DE0986">
        <w:rPr>
          <w:szCs w:val="24"/>
        </w:rPr>
        <w:instrText xml:space="preserve"> ADDIN EN.CITE &lt;EndNote&gt;&lt;Cite&gt;&lt;Author&gt;Reis&lt;/Author&gt;&lt;Year&gt;2012&lt;/Year&gt;&lt;RecNum&gt;7154&lt;/RecNum&gt;&lt;DisplayText&gt;[3]&lt;/DisplayText&gt;&lt;record&gt;&lt;rec-number&gt;7154&lt;/rec-number&gt;&lt;foreign-keys&gt;&lt;key app="EN" db-id="t2wadffz0tdfane25rb50ezte9zwtdwpseft"&gt;7154&lt;/key&gt;&lt;/foreign-keys&gt;&lt;ref-type name="Journal Article"&gt;17&lt;/ref-type&gt;&lt;contributors&gt;&lt;authors&gt;&lt;author&gt;Reis, P&lt;/author&gt;&lt;author&gt;Moro, A&lt;/author&gt;&lt;author&gt;Bins Ely, V&lt;/author&gt;&lt;author&gt;Fernandes, C&lt;/author&gt;&lt;author&gt;Vilagra, J&lt;/author&gt;&lt;author&gt;Peres, L&lt;/author&gt;&lt;author&gt;Fogaça Junior, O&lt;/author&gt;&lt;author&gt;Merino, Eugenio&lt;/author&gt;&lt;/authors&gt;&lt;/contributors&gt;&lt;titles&gt;&lt;title&gt;Universal design and accessibility: an approach of the influence of muscle strength loss in the risk of falls in the elderly&lt;/title&gt;&lt;secondary-title&gt;Work&lt;/secondary-title&gt;&lt;/titles&gt;&lt;periodical&gt;&lt;full-title&gt;Work&lt;/full-title&gt;&lt;/periodical&gt;&lt;pages&gt;374-379&lt;/pages&gt;&lt;volume&gt;41&lt;/volume&gt;&lt;number&gt;Supplement 1&lt;/number&gt;&lt;dates&gt;&lt;year&gt;2012&lt;/year&gt;&lt;/dates&gt;&lt;isbn&gt;1051-9815&lt;/isbn&gt;&lt;urls&gt;&lt;/urls&gt;&lt;/record&gt;&lt;/Cite&gt;&lt;/EndNote&gt;</w:instrText>
      </w:r>
      <w:r w:rsidRPr="00DE0986">
        <w:rPr>
          <w:szCs w:val="24"/>
        </w:rPr>
        <w:fldChar w:fldCharType="separate"/>
      </w:r>
      <w:r w:rsidRPr="00DE0986">
        <w:rPr>
          <w:szCs w:val="24"/>
        </w:rPr>
        <w:t>[3]</w:t>
      </w:r>
      <w:r w:rsidRPr="00DE0986">
        <w:rPr>
          <w:szCs w:val="24"/>
        </w:rPr>
        <w:fldChar w:fldCharType="end"/>
      </w:r>
      <w:r w:rsidRPr="00DE0986">
        <w:rPr>
          <w:szCs w:val="24"/>
        </w:rPr>
        <w:t>, gait imbalance</w:t>
      </w:r>
      <w:r w:rsidRPr="00DE0986">
        <w:rPr>
          <w:szCs w:val="24"/>
        </w:rPr>
        <w:fldChar w:fldCharType="begin"/>
      </w:r>
      <w:r w:rsidRPr="00DE0986">
        <w:rPr>
          <w:szCs w:val="24"/>
        </w:rPr>
        <w:instrText xml:space="preserve"> ADDIN EN.CITE &lt;EndNote&gt;&lt;Cite&gt;&lt;Author&gt;Shumway-Cook&lt;/Author&gt;&lt;Year&gt;1997&lt;/Year&gt;&lt;RecNum&gt;7155&lt;/RecNum&gt;&lt;DisplayText&gt;[4]&lt;/DisplayText&gt;&lt;record&gt;&lt;rec-number&gt;7155&lt;/rec-number&gt;&lt;foreign-keys&gt;&lt;key app="EN" db-id="t2wadffz0tdfane25rb50ezte9zwtdwpseft"&gt;7155&lt;/key&gt;&lt;/foreign-keys&gt;&lt;ref-type name="Journal Article"&gt;17&lt;/ref-type&gt;&lt;contributors&gt;&lt;authors&gt;&lt;author&gt;Shumway-Cook, Anne&lt;/author&gt;&lt;author&gt;Baldwin, Margaret&lt;/author&gt;&lt;author&gt;Polissar, Nayak L&lt;/author&gt;&lt;author&gt;Gruber, William&lt;/author&gt;&lt;/authors&gt;&lt;/contributors&gt;&lt;titles&gt;&lt;title&gt;Predicting the probability for falls in community-dwelling older adults&lt;/title&gt;&lt;secondary-title&gt;Physical therapy&lt;/secondary-title&gt;&lt;/titles&gt;&lt;periodical&gt;&lt;full-title&gt;Phys Ther&lt;/full-title&gt;&lt;abbr-1&gt;Physical therapy&lt;/abbr-1&gt;&lt;/periodical&gt;&lt;pages&gt;812-819&lt;/pages&gt;&lt;volume&gt;77&lt;/volume&gt;&lt;number&gt;8&lt;/number&gt;&lt;dates&gt;&lt;year&gt;1997&lt;/year&gt;&lt;/dates&gt;&lt;isbn&gt;0031-9023&lt;/isbn&gt;&lt;urls&gt;&lt;/urls&gt;&lt;/record&gt;&lt;/Cite&gt;&lt;/EndNote&gt;</w:instrText>
      </w:r>
      <w:r w:rsidRPr="00DE0986">
        <w:rPr>
          <w:szCs w:val="24"/>
        </w:rPr>
        <w:fldChar w:fldCharType="separate"/>
      </w:r>
      <w:r w:rsidRPr="00DE0986">
        <w:rPr>
          <w:szCs w:val="24"/>
        </w:rPr>
        <w:t>[4]</w:t>
      </w:r>
      <w:r w:rsidRPr="00DE0986">
        <w:rPr>
          <w:szCs w:val="24"/>
        </w:rPr>
        <w:fldChar w:fldCharType="end"/>
      </w:r>
      <w:r w:rsidRPr="00DE0986">
        <w:rPr>
          <w:szCs w:val="24"/>
        </w:rPr>
        <w:t>, visual and hearing deficits</w:t>
      </w:r>
      <w:r w:rsidRPr="00DE0986">
        <w:rPr>
          <w:szCs w:val="24"/>
        </w:rPr>
        <w:fldChar w:fldCharType="begin"/>
      </w:r>
      <w:r w:rsidRPr="00DE0986">
        <w:rPr>
          <w:szCs w:val="24"/>
        </w:rPr>
        <w:instrText xml:space="preserve"> ADDIN EN.CITE &lt;EndNote&gt;&lt;Cite&gt;&lt;Author&gt;Dhital&lt;/Author&gt;&lt;Year&gt;2010&lt;/Year&gt;&lt;RecNum&gt;7156&lt;/RecNum&gt;&lt;DisplayText&gt;[5]&lt;/DisplayText&gt;&lt;record&gt;&lt;rec-number&gt;7156&lt;/rec-number&gt;&lt;foreign-keys&gt;&lt;key app="EN" db-id="t2wadffz0tdfane25rb50ezte9zwtdwpseft"&gt;7156&lt;/key&gt;&lt;/foreign-keys&gt;&lt;ref-type name="Journal Article"&gt;17&lt;/ref-type&gt;&lt;contributors&gt;&lt;authors&gt;&lt;author&gt;Dhital, A&lt;/author&gt;&lt;author&gt;Pey, T&lt;/author&gt;&lt;author&gt;Stanford, Miles R&lt;/author&gt;&lt;/authors&gt;&lt;/contributors&gt;&lt;titles&gt;&lt;title&gt;Visual loss and falls: a review&lt;/title&gt;&lt;secondary-title&gt;Eye&lt;/secondary-title&gt;&lt;/titles&gt;&lt;periodical&gt;&lt;full-title&gt;Eye&lt;/full-title&gt;&lt;/periodical&gt;&lt;pages&gt;1437&lt;/pages&gt;&lt;volume&gt;24&lt;/volume&gt;&lt;number&gt;9&lt;/number&gt;&lt;dates&gt;&lt;year&gt;2010&lt;/year&gt;&lt;/dates&gt;&lt;isbn&gt;1476-5454&lt;/isbn&gt;&lt;urls&gt;&lt;/urls&gt;&lt;/record&gt;&lt;/Cite&gt;&lt;/EndNote&gt;</w:instrText>
      </w:r>
      <w:r w:rsidRPr="00DE0986">
        <w:rPr>
          <w:szCs w:val="24"/>
        </w:rPr>
        <w:fldChar w:fldCharType="separate"/>
      </w:r>
      <w:r w:rsidRPr="00DE0986">
        <w:rPr>
          <w:szCs w:val="24"/>
        </w:rPr>
        <w:t>[5]</w:t>
      </w:r>
      <w:r w:rsidRPr="00DE0986">
        <w:rPr>
          <w:szCs w:val="24"/>
        </w:rPr>
        <w:fldChar w:fldCharType="end"/>
      </w:r>
      <w:r w:rsidRPr="00DE0986">
        <w:rPr>
          <w:szCs w:val="24"/>
        </w:rPr>
        <w:t>, osteoarthritis</w:t>
      </w:r>
      <w:r w:rsidRPr="00DE0986">
        <w:rPr>
          <w:szCs w:val="24"/>
        </w:rPr>
        <w:fldChar w:fldCharType="begin"/>
      </w:r>
      <w:r w:rsidRPr="00DE0986">
        <w:rPr>
          <w:szCs w:val="24"/>
        </w:rPr>
        <w:instrText xml:space="preserve"> ADDIN EN.CITE &lt;EndNote&gt;&lt;Cite&gt;&lt;Author&gt;Ng&lt;/Author&gt;&lt;Year&gt;2013&lt;/Year&gt;&lt;RecNum&gt;7157&lt;/RecNum&gt;&lt;DisplayText&gt;[6]&lt;/DisplayText&gt;&lt;record&gt;&lt;rec-number&gt;7157&lt;/rec-number&gt;&lt;foreign-keys&gt;&lt;key app="EN" db-id="t2wadffz0tdfane25rb50ezte9zwtdwpseft"&gt;7157&lt;/key&gt;&lt;/foreign-keys&gt;&lt;ref-type name="Journal Article"&gt;17&lt;/ref-type&gt;&lt;contributors&gt;&lt;authors&gt;&lt;author&gt;Ng, Chin Teck&lt;/author&gt;&lt;author&gt;Tan, Maw Pin&lt;/author&gt;&lt;/authors&gt;&lt;/contributors&gt;&lt;titles&gt;&lt;title&gt;Osteoarthritis and falls in the older person&lt;/title&gt;&lt;secondary-title&gt;Age and ageing&lt;/secondary-title&gt;&lt;/titles&gt;&lt;periodical&gt;&lt;full-title&gt;Age Ageing&lt;/full-title&gt;&lt;abbr-1&gt;Age and ageing&lt;/abbr-1&gt;&lt;/periodical&gt;&lt;pages&gt;561-566&lt;/pages&gt;&lt;volume&gt;42&lt;/volume&gt;&lt;number&gt;5&lt;/number&gt;&lt;dates&gt;&lt;year&gt;2013&lt;/year&gt;&lt;/dates&gt;&lt;isbn&gt;1468-2834&lt;/isbn&gt;&lt;urls&gt;&lt;/urls&gt;&lt;/record&gt;&lt;/Cite&gt;&lt;/EndNote&gt;</w:instrText>
      </w:r>
      <w:r w:rsidRPr="00DE0986">
        <w:rPr>
          <w:szCs w:val="24"/>
        </w:rPr>
        <w:fldChar w:fldCharType="separate"/>
      </w:r>
      <w:r w:rsidRPr="00DE0986">
        <w:rPr>
          <w:szCs w:val="24"/>
        </w:rPr>
        <w:t>[6]</w:t>
      </w:r>
      <w:r w:rsidRPr="00DE0986">
        <w:rPr>
          <w:szCs w:val="24"/>
        </w:rPr>
        <w:fldChar w:fldCharType="end"/>
      </w:r>
      <w:r w:rsidRPr="00DE0986">
        <w:rPr>
          <w:szCs w:val="24"/>
        </w:rPr>
        <w:t>, dementia</w:t>
      </w:r>
      <w:r w:rsidRPr="00DE0986">
        <w:rPr>
          <w:szCs w:val="24"/>
        </w:rPr>
        <w:fldChar w:fldCharType="begin"/>
      </w:r>
      <w:r w:rsidRPr="00DE0986">
        <w:rPr>
          <w:szCs w:val="24"/>
        </w:rPr>
        <w:instrText xml:space="preserve"> ADDIN EN.CITE &lt;EndNote&gt;&lt;Cite&gt;&lt;Author&gt;Van Doorn&lt;/Author&gt;&lt;Year&gt;2003&lt;/Year&gt;&lt;RecNum&gt;7158&lt;/RecNum&gt;&lt;DisplayText&gt;[7]&lt;/DisplayText&gt;&lt;record&gt;&lt;rec-number&gt;7158&lt;/rec-number&gt;&lt;foreign-keys&gt;&lt;key app="EN" db-id="t2wadffz0tdfane25rb50ezte9zwtdwpseft"&gt;7158&lt;/key&gt;&lt;/foreign-k</w:instrText>
      </w:r>
      <w:r w:rsidRPr="00DE0986">
        <w:rPr>
          <w:rFonts w:hint="eastAsia"/>
          <w:szCs w:val="24"/>
        </w:rPr>
        <w:instrText>eys&gt;&lt;ref-type name="Journal Article"&gt;17&lt;/ref-type&gt;&lt;contributors&gt;&lt;authors&gt;&lt;author&gt;Van Doorn, Carol&lt;/author&gt;&lt;author&gt;Gruber</w:instrText>
      </w:r>
      <w:r w:rsidRPr="00DE0986">
        <w:rPr>
          <w:rFonts w:hint="eastAsia"/>
          <w:szCs w:val="24"/>
        </w:rPr>
        <w:instrText>‐</w:instrText>
      </w:r>
      <w:r w:rsidRPr="00DE0986">
        <w:rPr>
          <w:rFonts w:hint="eastAsia"/>
          <w:szCs w:val="24"/>
        </w:rPr>
        <w:instrText>Baldini, Ann L&lt;/author&gt;&lt;author&gt;Zimmerman, Sheryl&lt;/author&gt;&lt;author&gt;Richard Hebel, J&lt;/author&gt;&lt;author&gt;Port, Cynthia L&lt;/author&gt;&lt;author&gt;Baum</w:instrText>
      </w:r>
      <w:r w:rsidRPr="00DE0986">
        <w:rPr>
          <w:szCs w:val="24"/>
        </w:rPr>
        <w:instrText>garten, Mona&lt;/author&gt;&lt;author&gt;Quinn, Charlene C&lt;/author&gt;&lt;author&gt;Taler, George&lt;/author&gt;&lt;author&gt;May, Conrad&lt;/author&gt;&lt;author&gt;Magaziner, Jay&lt;/author&gt;&lt;/authors&gt;&lt;/contributors&gt;&lt;titles&gt;&lt;title&gt;Dementia as a risk factor for falls and fall injuries among nursing home residents&lt;/title&gt;&lt;secondary-title&gt;Journal of the American Geriatrics Society&lt;/secondary-title&gt;&lt;/titles&gt;&lt;periodical&gt;&lt;full-title&gt;J Am Geriatr Soc&lt;/full-title&gt;&lt;abbr-1&gt;Journal of the American Geriatrics Society&lt;/abbr-1&gt;&lt;/periodical&gt;&lt;pages&gt;1213-1218&lt;/pages&gt;&lt;volume&gt;51&lt;/volume&gt;&lt;number&gt;9&lt;/number&gt;&lt;dates&gt;&lt;year&gt;2003&lt;/year&gt;&lt;/dates&gt;&lt;isbn&gt;0002-8614&lt;/isbn&gt;&lt;urls&gt;&lt;/urls&gt;&lt;/record&gt;&lt;/Cite&gt;&lt;/EndNote&gt;</w:instrText>
      </w:r>
      <w:r w:rsidRPr="00DE0986">
        <w:rPr>
          <w:szCs w:val="24"/>
        </w:rPr>
        <w:fldChar w:fldCharType="separate"/>
      </w:r>
      <w:r w:rsidRPr="00DE0986">
        <w:rPr>
          <w:szCs w:val="24"/>
        </w:rPr>
        <w:t>[7]</w:t>
      </w:r>
      <w:r w:rsidRPr="00DE0986">
        <w:rPr>
          <w:szCs w:val="24"/>
        </w:rPr>
        <w:fldChar w:fldCharType="end"/>
      </w:r>
      <w:r w:rsidRPr="00DE0986">
        <w:rPr>
          <w:szCs w:val="24"/>
        </w:rPr>
        <w:t xml:space="preserve"> and depression.</w:t>
      </w:r>
      <w:r w:rsidRPr="00DE0986">
        <w:rPr>
          <w:szCs w:val="24"/>
        </w:rPr>
        <w:fldChar w:fldCharType="begin"/>
      </w:r>
      <w:r w:rsidRPr="00DE0986">
        <w:rPr>
          <w:szCs w:val="24"/>
        </w:rPr>
        <w:instrText xml:space="preserve"> ADDIN EN.CITE &lt;EndNote&gt;&lt;Cite&gt;&lt;Author&gt;Iaboni&lt;/Author&gt;&lt;Year&gt;2013&lt;/Year&gt;&lt;RecNum&gt;7159&lt;/RecNum&gt;&lt;DisplayText&gt;[8]&lt;/DisplayText&gt;&lt;record&gt;&lt;rec-number&gt;7159&lt;/rec-number&gt;&lt;foreign-keys&gt;&lt;key app="EN" db-id="t2wadffz0tdfane25rb50ezte9zwtdwpseft"&gt;7159&lt;/key&gt;&lt;/foreign-keys&gt;&lt;ref-type name="Journal Article"&gt;17&lt;/ref-type&gt;&lt;contributors&gt;&lt;authors&gt;&lt;author&gt;Iaboni, Andrea&lt;/author&gt;&lt;author&gt;Flint, Alastair J&lt;/author&gt;&lt;/authors&gt;&lt;/contributors&gt;&lt;titles&gt;&lt;title&gt;The complex interplay of depression and falls in older adults: a clinical review&lt;/title&gt;&lt;secondary-title&gt;The American Journal of Geriatric Psychiatry&lt;/secondary-title&gt;&lt;/titles&gt;&lt;periodical&gt;&lt;full-title&gt;The American Journal of Geriatric Psychiatry&lt;/full-title&gt;&lt;/periodical&gt;&lt;pages&gt;484-492&lt;/pages&gt;&lt;volume&gt;21&lt;/volume&gt;&lt;number&gt;5&lt;/number&gt;&lt;dates&gt;&lt;year&gt;2013&lt;/year&gt;&lt;/dates&gt;&lt;isbn&gt;1064-7481&lt;/isbn&gt;&lt;urls&gt;&lt;/urls&gt;&lt;/record&gt;&lt;/Cite&gt;&lt;/EndNote&gt;</w:instrText>
      </w:r>
      <w:r w:rsidRPr="00DE0986">
        <w:rPr>
          <w:szCs w:val="24"/>
        </w:rPr>
        <w:fldChar w:fldCharType="separate"/>
      </w:r>
      <w:r w:rsidRPr="00DE0986">
        <w:rPr>
          <w:szCs w:val="24"/>
        </w:rPr>
        <w:t>[8]</w:t>
      </w:r>
      <w:r w:rsidRPr="00DE0986">
        <w:rPr>
          <w:szCs w:val="24"/>
        </w:rPr>
        <w:fldChar w:fldCharType="end"/>
      </w:r>
      <w:r w:rsidRPr="00DE0986">
        <w:rPr>
          <w:szCs w:val="24"/>
        </w:rPr>
        <w:t xml:space="preserve"> The early identification of older adults who are at risk of  falling is important in order to develop tailored interventions to prevent falls </w:t>
      </w:r>
      <w:r w:rsidRPr="00DE0986">
        <w:rPr>
          <w:szCs w:val="24"/>
        </w:rPr>
        <w:fldChar w:fldCharType="begin"/>
      </w:r>
      <w:r w:rsidRPr="00DE0986">
        <w:rPr>
          <w:szCs w:val="24"/>
        </w:rPr>
        <w:instrText xml:space="preserve"> ADDIN EN.CITE &lt;EndNote&gt;&lt;Cite&gt;&lt;Author&gt;Callaghan&lt;/Author&gt;&lt;Year&gt;2015&lt;/Year&gt;&lt;RecNum&gt;7161&lt;/RecNum&gt;&lt;DisplayText&gt;[9]&lt;/DisplayText&gt;&lt;record&gt;&lt;rec-number&gt;7161&lt;/rec-number&gt;&lt;foreign-keys&gt;&lt;key app="EN" db-id="t2wadffz0tdfane25rb50ezte9zwtdwpseft"&gt;7161&lt;/key&gt;&lt;/foreign-keys&gt;&lt;ref-type name="Journal Article"&gt;17&lt;/ref-type&gt;&lt;contributors&gt;&lt;authors&gt;&lt;author&gt;Callaghan, Brian&lt;/author&gt;&lt;author&gt;Kerber, Kevin&lt;/author&gt;&lt;author&gt;Langa, Kenneth M&lt;/author&gt;&lt;author&gt;Banerjee, Mousumi&lt;/author&gt;&lt;author&gt;Rodgers, Ann&lt;/author&gt;&lt;author&gt;McCammon, Ryan&lt;/author&gt;&lt;author&gt;Burke, James&lt;/author&gt;&lt;author&gt;Feldman, Eva&lt;/author&gt;&lt;/authors&gt;&lt;/contributors&gt;&lt;titles&gt;&lt;title&gt;Longitudinal patient-oriented outcomes in neuropathy: importance of early detection and falls&lt;/title&gt;&lt;secondary-title&gt;Neurology&lt;/secondary-title&gt;&lt;/titles&gt;&lt;periodical&gt;&lt;full-title&gt;Neurology&lt;/full-title&gt;&lt;abbr-1&gt;Neurology&lt;/abbr-1&gt;&lt;/periodical&gt;&lt;pages&gt;71-79&lt;/pages&gt;&lt;volume&gt;85&lt;/volume&gt;&lt;number&gt;1&lt;/number&gt;&lt;dates&gt;&lt;year&gt;2015&lt;/year&gt;&lt;/dates&gt;&lt;isbn&gt;0028-3878&lt;/isbn&gt;&lt;urls&gt;&lt;/urls&gt;&lt;/record&gt;&lt;/Cite&gt;&lt;/EndNote&gt;</w:instrText>
      </w:r>
      <w:r w:rsidRPr="00DE0986">
        <w:rPr>
          <w:szCs w:val="24"/>
        </w:rPr>
        <w:fldChar w:fldCharType="separate"/>
      </w:r>
      <w:r w:rsidRPr="00DE0986">
        <w:rPr>
          <w:szCs w:val="24"/>
        </w:rPr>
        <w:t>[9]</w:t>
      </w:r>
      <w:r w:rsidRPr="00DE0986">
        <w:rPr>
          <w:szCs w:val="24"/>
        </w:rPr>
        <w:fldChar w:fldCharType="end"/>
      </w:r>
      <w:r w:rsidRPr="00DE0986">
        <w:rPr>
          <w:szCs w:val="24"/>
        </w:rPr>
        <w:t>. However, the prediction of such a risk of falling remains a challenge in geriatric medicine.</w:t>
      </w:r>
      <w:r w:rsidRPr="00DE0986">
        <w:rPr>
          <w:szCs w:val="24"/>
        </w:rPr>
        <w:fldChar w:fldCharType="begin"/>
      </w:r>
      <w:r w:rsidRPr="00DE0986">
        <w:rPr>
          <w:szCs w:val="24"/>
        </w:rPr>
        <w:instrText xml:space="preserve"> ADDIN EN.CITE &lt;EndNote&gt;&lt;Cite&gt;&lt;Author&gt;Hazzard&lt;/Author&gt;&lt;Year&gt;2009&lt;/Year&gt;&lt;RecNum&gt;7195&lt;/RecNum&gt;&lt;DisplayText&gt;[10]&lt;/DisplayText&gt;&lt;record&gt;&lt;rec-number&gt;7195&lt;/rec-number&gt;&lt;foreign-keys&gt;&lt;key app="EN" db-id="t2wadffz0tdfane25rb50ezte9zwtdwpseft"&gt;7195&lt;/key&gt;&lt;/foreign-keys&gt;&lt;ref-type name="Book"&gt;6&lt;/ref-type&gt;&lt;contributors&gt;&lt;authors&gt;&lt;author&gt;Hazzard, William R&lt;/author&gt;&lt;author&gt;Halter, Jeffrey B&lt;/author&gt;&lt;/authors&gt;&lt;/contributors&gt;&lt;titles&gt;&lt;title&gt;Hazzard&amp;apos;s geriatric medicine and gerontology&lt;/title&gt;&lt;/titles&gt;&lt;pages&gt;723-31&lt;/pages&gt;&lt;dates&gt;&lt;year&gt;2009&lt;/year&gt;&lt;/dates&gt;&lt;publisher&gt;Univerza v Ljubljani, Medicinska fakulteta&lt;/publisher&gt;&lt;isbn&gt;0071641246&lt;/isbn&gt;&lt;urls&gt;&lt;/urls&gt;&lt;/record&gt;&lt;/Cite&gt;&lt;/EndNote&gt;</w:instrText>
      </w:r>
      <w:r w:rsidRPr="00DE0986">
        <w:rPr>
          <w:szCs w:val="24"/>
        </w:rPr>
        <w:fldChar w:fldCharType="separate"/>
      </w:r>
      <w:r w:rsidRPr="00DE0986">
        <w:rPr>
          <w:szCs w:val="24"/>
        </w:rPr>
        <w:t>[10]</w:t>
      </w:r>
      <w:r w:rsidRPr="00DE0986">
        <w:rPr>
          <w:szCs w:val="24"/>
        </w:rPr>
        <w:fldChar w:fldCharType="end"/>
      </w:r>
      <w:r w:rsidRPr="00DE0986">
        <w:rPr>
          <w:szCs w:val="24"/>
        </w:rPr>
        <w:t xml:space="preserve"> </w:t>
      </w:r>
      <w:hyperlink w:anchor="_ENREF_2" w:tooltip="Pahor, 2019 #7152" w:history="1"/>
    </w:p>
    <w:p w14:paraId="74364F7F" w14:textId="77777777" w:rsidR="00DE0986" w:rsidRPr="00DE0986" w:rsidRDefault="00DE0986" w:rsidP="00DE0986">
      <w:pPr>
        <w:rPr>
          <w:szCs w:val="24"/>
          <w:lang w:val="en-GB"/>
        </w:rPr>
      </w:pPr>
      <w:r w:rsidRPr="00DE0986">
        <w:rPr>
          <w:szCs w:val="24"/>
          <w:lang w:val="en-GB"/>
        </w:rPr>
        <w:t xml:space="preserve">While many risk factors for falls have been identified to date </w:t>
      </w:r>
      <w:r w:rsidRPr="00DE0986">
        <w:rPr>
          <w:szCs w:val="24"/>
          <w:lang w:val="en-GB"/>
        </w:rPr>
        <w:fldChar w:fldCharType="begin"/>
      </w:r>
      <w:r w:rsidRPr="00DE0986">
        <w:rPr>
          <w:szCs w:val="24"/>
          <w:lang w:val="en-GB"/>
        </w:rPr>
        <w:instrText xml:space="preserve"> ADDIN EN.CITE &lt;EndNote&gt;&lt;Cite&gt;&lt;Author&gt;Ambrose&lt;/Author&gt;&lt;Year&gt;2013&lt;/Year&gt;&lt;RecNum&gt;13194&lt;/RecNum&gt;&lt;DisplayText&gt;[11]&lt;/DisplayText&gt;&lt;record&gt;&lt;rec-number&gt;13194&lt;/rec-number&gt;&lt;foreign-keys&gt;&lt;key app="EN" db-id="drpew5wfywra50esazbxawda2f59zaves90z" timestamp="1667765401"&gt;13194&lt;/key&gt;&lt;/foreign-keys&gt;&lt;ref-type name="Journal Article"&gt;17&lt;/ref-type&gt;&lt;contributors&gt;&lt;authors&gt;&lt;author&gt;Ambrose, Anne Felicia&lt;/author&gt;&lt;author&gt;Paul, Geet&lt;/author&gt;&lt;author&gt;Hausdorff, Jeffrey M&lt;/author&gt;&lt;/authors&gt;&lt;/contributors&gt;&lt;titles&gt;&lt;title&gt;Risk factors for falls among older adults: a review of the literature&lt;/title&gt;&lt;secondary-title&gt;Maturitas&lt;/secondary-title&gt;&lt;/titles&gt;&lt;periodical&gt;&lt;full-title&gt;Maturitas&lt;/full-title&gt;&lt;/periodical&gt;&lt;pages&gt;51-61&lt;/pages&gt;&lt;volume&gt;75&lt;/volume&gt;&lt;number&gt;1&lt;/number&gt;&lt;dates&gt;&lt;year&gt;2013&lt;/year&gt;&lt;/dates&gt;&lt;isbn&gt;0378-5122&lt;/isbn&gt;&lt;urls&gt;&lt;/urls&gt;&lt;/record&gt;&lt;/Cite&gt;&lt;/EndNote&gt;</w:instrText>
      </w:r>
      <w:r w:rsidRPr="00DE0986">
        <w:rPr>
          <w:szCs w:val="24"/>
          <w:lang w:val="en-GB"/>
        </w:rPr>
        <w:fldChar w:fldCharType="separate"/>
      </w:r>
      <w:r w:rsidRPr="00DE0986">
        <w:rPr>
          <w:szCs w:val="24"/>
          <w:lang w:val="en-GB"/>
        </w:rPr>
        <w:t>[11]</w:t>
      </w:r>
      <w:r w:rsidRPr="00DE0986">
        <w:rPr>
          <w:szCs w:val="24"/>
        </w:rPr>
        <w:fldChar w:fldCharType="end"/>
      </w:r>
      <w:r w:rsidRPr="00DE0986">
        <w:rPr>
          <w:szCs w:val="24"/>
          <w:lang w:val="en-GB"/>
        </w:rPr>
        <w:t>, one potentially important but understudied risk factor is dynapenic abdominal obesity (DAO), usually defined as the impairment in muscle strength and high waist circumference.</w:t>
      </w:r>
      <w:r w:rsidRPr="00DE0986">
        <w:rPr>
          <w:szCs w:val="24"/>
          <w:lang w:val="en-GB"/>
        </w:rPr>
        <w:fldChar w:fldCharType="begin"/>
      </w:r>
      <w:r w:rsidRPr="00DE0986">
        <w:rPr>
          <w:szCs w:val="24"/>
          <w:lang w:val="en-GB"/>
        </w:rPr>
        <w:instrText xml:space="preserve"> ADDIN EN.CITE &lt;EndNote&gt;&lt;Cite&gt;&lt;Author&gt;de Oliveira Máximo&lt;/Author&gt;&lt;Year&gt;2021&lt;/Year&gt;&lt;RecNum&gt;13195&lt;/RecNum&gt;&lt;DisplayText&gt;[12]&lt;/DisplayText&gt;&lt;record&gt;&lt;rec-number&gt;13195&lt;/rec-number&gt;&lt;foreign-keys&gt;&lt;key app="EN" db-id="drpew5wfywra50esazbxawda2f59zaves90z" timestamp="1667765633"&gt;13195&lt;/key&gt;&lt;/foreign-keys&gt;&lt;ref-type name="Journal Article"&gt;17&lt;/ref-type&gt;&lt;contributors&gt;&lt;authors&gt;&lt;author&gt;de Oliveira Máximo, Roberta&lt;/author&gt;&lt;author&gt;de Oliveira, Dayane Capra&lt;/author&gt;&lt;author&gt;Ramírez, Paula Camila&lt;/author&gt;&lt;author&gt;Luiz, Mariane Marques&lt;/author&gt;&lt;author&gt;de Souza, Aline Fernanda&lt;/author&gt;&lt;author&gt;Delinocente, Maicon Luís Bicigo&lt;/author&gt;&lt;author&gt;Steptoe, Andrew&lt;/author&gt;&lt;author&gt;de Oliveira, Cesar&lt;/author&gt;&lt;author&gt;da Silva Alexandre, Tiago&lt;/author&gt;&lt;/authors&gt;&lt;/contributors&gt;&lt;titles&gt;&lt;title&gt;Dynapenia, abdominal obesity or both: which accelerates the gait speed decline most?&lt;/title&gt;&lt;secondary-title&gt;Age and ageing&lt;/secondary-title&gt;&lt;/titles&gt;&lt;periodical&gt;&lt;full-title&gt;Age and ageing&lt;/full-title&gt;&lt;/periodical&gt;&lt;pages&gt;1616-1625&lt;/pages&gt;&lt;volume&gt;50&lt;/volume&gt;&lt;number&gt;5&lt;/number&gt;&lt;dates&gt;&lt;year&gt;2021&lt;/year&gt;&lt;/dates&gt;&lt;isbn&gt;0002-0729&lt;/isbn&gt;&lt;urls&gt;&lt;/urls&gt;&lt;/record&gt;&lt;/Cite&gt;&lt;/EndNote&gt;</w:instrText>
      </w:r>
      <w:r w:rsidRPr="00DE0986">
        <w:rPr>
          <w:szCs w:val="24"/>
          <w:lang w:val="en-GB"/>
        </w:rPr>
        <w:fldChar w:fldCharType="separate"/>
      </w:r>
      <w:r w:rsidRPr="00DE0986">
        <w:rPr>
          <w:szCs w:val="24"/>
          <w:lang w:val="en-GB"/>
        </w:rPr>
        <w:t>[12]</w:t>
      </w:r>
      <w:r w:rsidRPr="00DE0986">
        <w:rPr>
          <w:szCs w:val="24"/>
        </w:rPr>
        <w:fldChar w:fldCharType="end"/>
      </w:r>
      <w:r w:rsidRPr="00DE0986">
        <w:rPr>
          <w:szCs w:val="24"/>
          <w:lang w:val="en-GB"/>
        </w:rPr>
        <w:t xml:space="preserve"> Those with DAO are more likely to experience decreased postural stability caused by abdominal fat accumulation and this in turn increases fall risk. </w:t>
      </w:r>
      <w:r w:rsidRPr="00DE0986">
        <w:rPr>
          <w:szCs w:val="24"/>
          <w:lang w:val="en-GB"/>
        </w:rPr>
        <w:fldChar w:fldCharType="begin"/>
      </w:r>
      <w:r w:rsidRPr="00DE0986">
        <w:rPr>
          <w:szCs w:val="24"/>
          <w:lang w:val="en-GB"/>
        </w:rPr>
        <w:instrText xml:space="preserve"> ADDIN EN.CITE &lt;EndNote&gt;&lt;Cite&gt;&lt;Author&gt;de Oliveira Máximo&lt;/Author&gt;&lt;Year&gt;2021&lt;/Year&gt;&lt;RecNum&gt;13195&lt;/RecNum&gt;&lt;DisplayText&gt;[12]&lt;/DisplayText&gt;&lt;record&gt;&lt;rec-number&gt;13195&lt;/rec-number&gt;&lt;foreign-keys&gt;&lt;key app="EN" db-id="drpew5wfywra50esazbxawda2f59zaves90z" timestamp="1667765633"&gt;13195&lt;/key&gt;&lt;/foreign-keys&gt;&lt;ref-type name="Journal Article"&gt;17&lt;/ref-type&gt;&lt;contributors&gt;&lt;authors&gt;&lt;author&gt;de Oliveira Máximo, Roberta&lt;/author&gt;&lt;author&gt;de Oliveira, Dayane Capra&lt;/author&gt;&lt;author&gt;Ramírez, Paula Camila&lt;/author&gt;&lt;author&gt;Luiz, Mariane Marques&lt;/author&gt;&lt;author&gt;de Souza, Aline Fernanda&lt;/author&gt;&lt;author&gt;Delinocente, Maicon Luís Bicigo&lt;/author&gt;&lt;author&gt;Steptoe, Andrew&lt;/author&gt;&lt;author&gt;de Oliveira, Cesar&lt;/author&gt;&lt;author&gt;da Silva Alexandre, Tiago&lt;/author&gt;&lt;/authors&gt;&lt;/contributors&gt;&lt;titles&gt;&lt;title&gt;Dynapenia, abdominal obesity or both: which accelerates the gait speed decline most?&lt;/title&gt;&lt;secondary-title&gt;Age and ageing&lt;/secondary-title&gt;&lt;/titles&gt;&lt;periodical&gt;&lt;full-title&gt;Age and ageing&lt;/full-title&gt;&lt;/periodical&gt;&lt;pages&gt;1616-1625&lt;/pages&gt;&lt;volume&gt;50&lt;/volume&gt;&lt;number&gt;5&lt;/number&gt;&lt;dates&gt;&lt;year&gt;2021&lt;/year&gt;&lt;/dates&gt;&lt;isbn&gt;0002-0729&lt;/isbn&gt;&lt;urls&gt;&lt;/urls&gt;&lt;/record&gt;&lt;/Cite&gt;&lt;/EndNote&gt;</w:instrText>
      </w:r>
      <w:r w:rsidRPr="00DE0986">
        <w:rPr>
          <w:szCs w:val="24"/>
          <w:lang w:val="en-GB"/>
        </w:rPr>
        <w:fldChar w:fldCharType="separate"/>
      </w:r>
      <w:r w:rsidRPr="00DE0986">
        <w:rPr>
          <w:szCs w:val="24"/>
          <w:lang w:val="en-GB"/>
        </w:rPr>
        <w:t>[12]</w:t>
      </w:r>
      <w:r w:rsidRPr="00DE0986">
        <w:rPr>
          <w:szCs w:val="24"/>
        </w:rPr>
        <w:fldChar w:fldCharType="end"/>
      </w:r>
      <w:r w:rsidRPr="00DE0986">
        <w:rPr>
          <w:szCs w:val="24"/>
          <w:lang w:val="en-GB"/>
        </w:rPr>
        <w:t xml:space="preserve"> Moreover, the impaired muscular system in DAO may lead to difficulties responding to postural correction with sufficient strength and speed, subsequently resulting in falls.</w:t>
      </w:r>
      <w:r w:rsidRPr="00DE0986">
        <w:rPr>
          <w:szCs w:val="24"/>
          <w:lang w:val="en-GB"/>
        </w:rPr>
        <w:fldChar w:fldCharType="begin"/>
      </w:r>
      <w:r w:rsidRPr="00DE0986">
        <w:rPr>
          <w:szCs w:val="24"/>
          <w:lang w:val="en-GB"/>
        </w:rPr>
        <w:instrText xml:space="preserve"> ADDIN EN.CITE &lt;EndNote&gt;&lt;Cite&gt;&lt;Author&gt;Zhang&lt;/Author&gt;&lt;Year&gt;2022&lt;/Year&gt;&lt;RecNum&gt;13196&lt;/RecNum&gt;&lt;DisplayText&gt;[13]&lt;/DisplayText&gt;&lt;record&gt;&lt;rec-number&gt;13196&lt;/rec-number&gt;&lt;foreign-keys&gt;&lt;key app="EN" db-id="drpew5wfywra50esazbxawda2f59zaves90z" timestamp="1667765678"&gt;13196&lt;/key&gt;&lt;/foreign-keys&gt;&lt;ref-type name="Journal Article"&gt;17&lt;/ref-type&gt;&lt;contributors&gt;&lt;authors&gt;&lt;author&gt;Zhang, Li&lt;/author&gt;&lt;author&gt;Liu, Shuqin&lt;/author&gt;&lt;author&gt;Wang, Weijing&lt;/author&gt;&lt;author&gt;Sun, Mengjie&lt;/author&gt;&lt;author&gt;Tian, Huimin&lt;/author&gt;&lt;author&gt;Wei, Lili&lt;/author&gt;&lt;author&gt;Wu, Yili&lt;/author&gt;&lt;/authors&gt;&lt;/contributors&gt;&lt;titles&gt;&lt;title&gt;Dynapenic abdominal obesity and the effect on long-term gait speed and falls in older adults&lt;/title&gt;&lt;secondary-title&gt;Clinical nutrition&lt;/secondary-title&gt;&lt;/titles&gt;&lt;periodical&gt;&lt;full-title&gt;Clinical Nutrition&lt;/full-title&gt;&lt;/periodical&gt;&lt;pages&gt;91-96&lt;/pages&gt;&lt;volume&gt;41&lt;/volume&gt;&lt;number&gt;1&lt;/number&gt;&lt;dates&gt;&lt;year&gt;2022&lt;/year&gt;&lt;/dates&gt;&lt;isbn&gt;0261-5614&lt;/isbn&gt;&lt;urls&gt;&lt;/urls&gt;&lt;/record&gt;&lt;/Cite&gt;&lt;/EndNote&gt;</w:instrText>
      </w:r>
      <w:r w:rsidRPr="00DE0986">
        <w:rPr>
          <w:szCs w:val="24"/>
          <w:lang w:val="en-GB"/>
        </w:rPr>
        <w:fldChar w:fldCharType="separate"/>
      </w:r>
      <w:r w:rsidRPr="00DE0986">
        <w:rPr>
          <w:szCs w:val="24"/>
          <w:lang w:val="en-GB"/>
        </w:rPr>
        <w:t>[13]</w:t>
      </w:r>
      <w:r w:rsidRPr="00DE0986">
        <w:rPr>
          <w:szCs w:val="24"/>
        </w:rPr>
        <w:fldChar w:fldCharType="end"/>
      </w:r>
      <w:r w:rsidRPr="00DE0986">
        <w:rPr>
          <w:szCs w:val="24"/>
          <w:lang w:val="en-GB"/>
        </w:rPr>
        <w:t xml:space="preserve">  In one large-scale longitudinal study in UK involving 4987 individuals ≥ 60 years old and followed up for of 14-years, it was observed that DAO was significantly associated with higher risk for falls, recurrent falls, or injurious falls by as much as significant 1.2-1.3 times as compared to those without DAO.</w:t>
      </w:r>
      <w:r w:rsidRPr="00DE0986">
        <w:rPr>
          <w:szCs w:val="24"/>
          <w:lang w:val="en-GB"/>
        </w:rPr>
        <w:fldChar w:fldCharType="begin"/>
      </w:r>
      <w:r w:rsidRPr="00DE0986">
        <w:rPr>
          <w:szCs w:val="24"/>
          <w:lang w:val="en-GB"/>
        </w:rPr>
        <w:instrText xml:space="preserve"> ADDIN EN.CITE &lt;EndNote&gt;&lt;Cite&gt;&lt;Author&gt;Lv&lt;/Author&gt;&lt;Year&gt;2022&lt;/Year&gt;&lt;RecNum&gt;13197&lt;/RecNum&gt;&lt;DisplayText&gt;[14]&lt;/DisplayText&gt;&lt;record&gt;&lt;rec-number&gt;13197&lt;/rec-number&gt;&lt;foreign-keys&gt;&lt;key app="EN" db-id="drpew5wfywra50esazbxawda2f59zaves90z" timestamp="1667765780"&gt;13197&lt;/key&gt;&lt;/foreign-keys&gt;&lt;ref-type name="Journal Article"&gt;17&lt;/ref-type&gt;&lt;contributors&gt;&lt;authors&gt;&lt;author&gt;Lv, Danmei&lt;/author&gt;&lt;author&gt;Shen, Shanshan&lt;/author&gt;&lt;author&gt;Chen, Xujiao&lt;/author&gt;&lt;/authors&gt;&lt;/contributors&gt;&lt;titles&gt;&lt;title&gt;Association between dynapenic abdominal obesity and fall risk in older adults&lt;/title&gt;&lt;secondary-title&gt;Clinical interventions in aging&lt;/secondary-title&gt;&lt;/titles&gt;&lt;periodical&gt;&lt;full-title&gt;Clinical interventions in aging&lt;/full-title&gt;&lt;/periodical&gt;&lt;pages&gt;439&lt;/pages&gt;&lt;volume&gt;17&lt;/volume&gt;&lt;dates&gt;&lt;year&gt;2022&lt;/year&gt;&lt;/dates&gt;&lt;urls&gt;&lt;/urls&gt;&lt;/record&gt;&lt;/Cite&gt;&lt;/EndNote&gt;</w:instrText>
      </w:r>
      <w:r w:rsidRPr="00DE0986">
        <w:rPr>
          <w:szCs w:val="24"/>
          <w:lang w:val="en-GB"/>
        </w:rPr>
        <w:fldChar w:fldCharType="separate"/>
      </w:r>
      <w:r w:rsidRPr="00DE0986">
        <w:rPr>
          <w:szCs w:val="24"/>
          <w:lang w:val="en-GB"/>
        </w:rPr>
        <w:t>[14]</w:t>
      </w:r>
      <w:r w:rsidRPr="00DE0986">
        <w:rPr>
          <w:szCs w:val="24"/>
        </w:rPr>
        <w:fldChar w:fldCharType="end"/>
      </w:r>
      <w:r w:rsidRPr="00DE0986">
        <w:rPr>
          <w:szCs w:val="24"/>
          <w:lang w:val="en-GB"/>
        </w:rPr>
        <w:t xml:space="preserve"> A similar but smaller longitudinal study in Brazil (n=201 females) with 18-months of follow-up also found that DAO was significantly associated with risk of falls (3.6 times) than those without DAO.</w:t>
      </w:r>
      <w:r w:rsidRPr="00DE0986">
        <w:rPr>
          <w:szCs w:val="24"/>
          <w:lang w:val="en-GB"/>
        </w:rPr>
        <w:fldChar w:fldCharType="begin">
          <w:fldData xml:space="preserve">PEVuZE5vdGU+PENpdGU+PEF1dGhvcj5HYWRlbGhhPC9BdXRob3I+PFllYXI+MjAyMDwvWWVhcj48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</w:fldData>
        </w:fldChar>
      </w:r>
      <w:r w:rsidRPr="00DE0986">
        <w:rPr>
          <w:szCs w:val="24"/>
          <w:lang w:val="en-GB"/>
        </w:rPr>
        <w:instrText xml:space="preserve"> ADDIN EN.CITE </w:instrText>
      </w:r>
      <w:r w:rsidRPr="00DE0986">
        <w:rPr>
          <w:szCs w:val="24"/>
          <w:lang w:val="en-GB"/>
        </w:rPr>
        <w:fldChar w:fldCharType="begin">
          <w:fldData xml:space="preserve">PEVuZE5vdGU+PENpdGU+PEF1dGhvcj5HYWRlbGhhPC9BdXRob3I+PFllYXI+MjAyMDwvWWVhcj48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</w:fldData>
        </w:fldChar>
      </w:r>
      <w:r w:rsidRPr="00DE0986">
        <w:rPr>
          <w:szCs w:val="24"/>
          <w:lang w:val="en-GB"/>
        </w:rPr>
        <w:instrText xml:space="preserve"> ADDIN EN.CITE.DATA </w:instrText>
      </w:r>
      <w:r w:rsidRPr="00DE0986">
        <w:rPr>
          <w:szCs w:val="24"/>
        </w:rPr>
      </w:r>
      <w:r w:rsidRPr="00DE0986">
        <w:rPr>
          <w:szCs w:val="24"/>
        </w:rPr>
        <w:fldChar w:fldCharType="end"/>
      </w:r>
      <w:r w:rsidRPr="00DE0986">
        <w:rPr>
          <w:szCs w:val="24"/>
          <w:lang w:val="en-GB"/>
        </w:rPr>
      </w:r>
      <w:r w:rsidRPr="00DE0986">
        <w:rPr>
          <w:szCs w:val="24"/>
          <w:lang w:val="en-GB"/>
        </w:rPr>
        <w:fldChar w:fldCharType="separate"/>
      </w:r>
      <w:r w:rsidRPr="00DE0986">
        <w:rPr>
          <w:szCs w:val="24"/>
          <w:lang w:val="en-GB"/>
        </w:rPr>
        <w:t>[15]</w:t>
      </w:r>
      <w:r w:rsidRPr="00DE0986">
        <w:rPr>
          <w:szCs w:val="24"/>
        </w:rPr>
        <w:fldChar w:fldCharType="end"/>
      </w:r>
      <w:r w:rsidRPr="00DE0986">
        <w:rPr>
          <w:szCs w:val="24"/>
          <w:lang w:val="en-GB"/>
        </w:rPr>
        <w:t xml:space="preserve"> Other studies utilizing a cross-sectional design have found similar findings.</w:t>
      </w:r>
      <w:r w:rsidRPr="00DE0986">
        <w:rPr>
          <w:szCs w:val="24"/>
          <w:lang w:val="en-GB"/>
        </w:rPr>
        <w:fldChar w:fldCharType="begin">
          <w:fldData xml:space="preserve">PEVuZE5vdGU+PENpdGU+PEF1dGhvcj5Nw6F4aW1vPC9BdXRob3I+PFllYXI+MjAxOTwvWWVhcj48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</w:fldData>
        </w:fldChar>
      </w:r>
      <w:r w:rsidRPr="00DE0986">
        <w:rPr>
          <w:szCs w:val="24"/>
          <w:lang w:val="en-GB"/>
        </w:rPr>
        <w:instrText xml:space="preserve"> ADDIN EN.CITE </w:instrText>
      </w:r>
      <w:r w:rsidRPr="00DE0986">
        <w:rPr>
          <w:szCs w:val="24"/>
          <w:lang w:val="en-GB"/>
        </w:rPr>
        <w:fldChar w:fldCharType="begin">
          <w:fldData xml:space="preserve">PEVuZE5vdGU+PENpdGU+PEF1dGhvcj5Nw6F4aW1vPC9BdXRob3I+PFllYXI+MjAxOTwvWWVhcj48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</w:fldData>
        </w:fldChar>
      </w:r>
      <w:r w:rsidRPr="00DE0986">
        <w:rPr>
          <w:szCs w:val="24"/>
          <w:lang w:val="en-GB"/>
        </w:rPr>
        <w:instrText xml:space="preserve"> ADDIN EN.CITE.DATA </w:instrText>
      </w:r>
      <w:r w:rsidRPr="00DE0986">
        <w:rPr>
          <w:szCs w:val="24"/>
        </w:rPr>
      </w:r>
      <w:r w:rsidRPr="00DE0986">
        <w:rPr>
          <w:szCs w:val="24"/>
        </w:rPr>
        <w:fldChar w:fldCharType="end"/>
      </w:r>
      <w:r w:rsidRPr="00DE0986">
        <w:rPr>
          <w:szCs w:val="24"/>
          <w:lang w:val="en-GB"/>
        </w:rPr>
      </w:r>
      <w:r w:rsidRPr="00DE0986">
        <w:rPr>
          <w:szCs w:val="24"/>
          <w:lang w:val="en-GB"/>
        </w:rPr>
        <w:fldChar w:fldCharType="separate"/>
      </w:r>
      <w:r w:rsidRPr="00DE0986">
        <w:rPr>
          <w:szCs w:val="24"/>
          <w:lang w:val="en-GB"/>
        </w:rPr>
        <w:t>[16; 17]</w:t>
      </w:r>
      <w:r w:rsidRPr="00DE0986">
        <w:rPr>
          <w:szCs w:val="24"/>
        </w:rPr>
        <w:fldChar w:fldCharType="end"/>
      </w:r>
      <w:r w:rsidRPr="00DE0986">
        <w:rPr>
          <w:szCs w:val="24"/>
          <w:lang w:val="en-GB"/>
        </w:rPr>
        <w:t xml:space="preserve"> To the best of the authors’ knowledge, no other studies exist on this topic. More longitudinal research is needed to confirm or refute findings of the two previous longitudinal studies, of which one has limited generalizability as it only included a small sample of women.</w:t>
      </w:r>
    </w:p>
    <w:p w14:paraId="7B96B05F" w14:textId="77777777" w:rsidR="00DE0986" w:rsidRPr="00DE0986" w:rsidRDefault="00DE0986" w:rsidP="00DE0986">
      <w:pPr>
        <w:rPr>
          <w:szCs w:val="24"/>
          <w:lang w:val="en-GB"/>
        </w:rPr>
      </w:pPr>
      <w:r w:rsidRPr="00DE0986">
        <w:rPr>
          <w:szCs w:val="24"/>
          <w:lang w:val="en-GB"/>
        </w:rPr>
        <w:t>Importantly, those with knee osteoarthritis (OA) or at high risk of this condition may be at a greater risk of DAO, independent from already known morbid outcomes such as falls and cardiovascular disease.</w:t>
      </w:r>
      <w:r w:rsidRPr="00DE0986">
        <w:rPr>
          <w:szCs w:val="24"/>
          <w:lang w:val="en-GB"/>
        </w:rPr>
        <w:fldChar w:fldCharType="begin"/>
      </w:r>
      <w:r w:rsidRPr="00DE0986">
        <w:rPr>
          <w:szCs w:val="24"/>
          <w:lang w:val="en-GB"/>
        </w:rPr>
        <w:instrText xml:space="preserve"> ADDIN EN.CITE &lt;EndNote&gt;&lt;Cite&gt;&lt;Author&gt;Veronese&lt;/Author&gt;&lt;Year&gt;2022&lt;/Year&gt;&lt;RecNum&gt;13392&lt;/RecNum&gt;&lt;DisplayText&gt;[18]&lt;/DisplayText&gt;&lt;record&gt;&lt;rec-number&gt;13392&lt;/rec-number&gt;&lt;foreign-keys&gt;&lt;key app="EN" db-id="drpew5wfywra50esazbxawda2f59zaves90z" timestamp="1674988268"&gt;13392&lt;/key&gt;&lt;/foreign-keys&gt;&lt;ref-type name="Journal Article"&gt;17&lt;/ref-type&gt;&lt;contributors&gt;&lt;authors&gt;&lt;author&gt;Veronese, Nicola&lt;/author&gt;&lt;author&gt;Honvo, Germain&lt;/author&gt;&lt;author&gt;Bruyère, Olivier&lt;/author&gt;&lt;author&gt;Rizzoli, René&lt;/author&gt;&lt;author&gt;Barbagallo, Mario&lt;/author&gt;&lt;author&gt;Maggi, Stefania&lt;/author&gt;&lt;author&gt;Smith, Lee&lt;/author&gt;&lt;author&gt;Sabico, Shaun&lt;/author&gt;&lt;author&gt;Al-Daghri, Nasser&lt;/author&gt;&lt;author&gt;Cooper, Cyrus&lt;/author&gt;&lt;/authors&gt;&lt;/contributors&gt;&lt;titles&gt;&lt;title&gt;Knee osteoarthritis and adverse health outcomes: an umbrella review of meta-analyses of observational studies&lt;/title&gt;&lt;secondary-title&gt;Aging Clinical and Experimental Research&lt;/secondary-title&gt;&lt;/titles&gt;&lt;periodical&gt;&lt;full-title&gt;Aging clinical and experimental research&lt;/full-title&gt;&lt;/periodical&gt;&lt;pages&gt;1-8&lt;/pages&gt;&lt;dates&gt;&lt;year&gt;2022&lt;/year&gt;&lt;/dates&gt;&lt;isbn&gt;1720-8319&lt;/isbn&gt;&lt;urls&gt;&lt;/urls&gt;&lt;/record&gt;&lt;/Cite&gt;&lt;/EndNote&gt;</w:instrText>
      </w:r>
      <w:r w:rsidRPr="00DE0986">
        <w:rPr>
          <w:szCs w:val="24"/>
          <w:lang w:val="en-GB"/>
        </w:rPr>
        <w:fldChar w:fldCharType="separate"/>
      </w:r>
      <w:r w:rsidRPr="00DE0986">
        <w:rPr>
          <w:szCs w:val="24"/>
          <w:lang w:val="en-GB"/>
        </w:rPr>
        <w:t>[18]</w:t>
      </w:r>
      <w:r w:rsidRPr="00DE0986">
        <w:rPr>
          <w:szCs w:val="24"/>
        </w:rPr>
        <w:fldChar w:fldCharType="end"/>
      </w:r>
      <w:r w:rsidRPr="00DE0986">
        <w:rPr>
          <w:szCs w:val="24"/>
          <w:lang w:val="en-GB"/>
        </w:rPr>
        <w:t xml:space="preserve"> For example, central obesity has been implicated in the development and progression of knee OA </w:t>
      </w:r>
      <w:r w:rsidRPr="00DE0986">
        <w:rPr>
          <w:szCs w:val="24"/>
          <w:lang w:val="en-GB"/>
        </w:rPr>
        <w:fldChar w:fldCharType="begin"/>
      </w:r>
      <w:r w:rsidRPr="00DE0986">
        <w:rPr>
          <w:szCs w:val="24"/>
          <w:lang w:val="en-GB"/>
        </w:rPr>
        <w:instrText xml:space="preserve"> ADDIN EN.CITE &lt;EndNote&gt;&lt;Cite&gt;&lt;Author&gt;Chang&lt;/Author&gt;&lt;Year&gt;2018&lt;/Year&gt;&lt;RecNum&gt;13216&lt;/RecNum&gt;&lt;DisplayText&gt;[19]&lt;/DisplayText&gt;&lt;record&gt;&lt;rec-number&gt;13216&lt;/rec-number&gt;&lt;foreign-keys&gt;&lt;key app="EN" db-id="drpew5wfywra50esazbxawda2f59zaves90z" timestamp="1667914343"&gt;13216&lt;/key&gt;&lt;/foreign-keys&gt;&lt;ref-type name="Journal Article"&gt;17&lt;/ref-type&gt;&lt;contributors&gt;&lt;authors&gt;&lt;author&gt;Chang, J&lt;/author&gt;&lt;author&gt;Liao, Z&lt;/author&gt;&lt;author&gt;Lu, M&lt;/author&gt;&lt;author&gt;Meng, T&lt;/author&gt;&lt;author&gt;Han, W&lt;/author&gt;&lt;author&gt;Ding, C&lt;/author&gt;&lt;/authors&gt;&lt;/contributors&gt;&lt;titles&gt;&lt;title&gt;Systemic and local adipose tissue in knee osteoarthritis&lt;/title&gt;&lt;secondary-title&gt;Osteoarthritis and cartilage&lt;/secondary-title&gt;&lt;/titles&gt;&lt;periodical&gt;&lt;full-title&gt;Osteoarthritis and cartilage&lt;/full-title&gt;&lt;/periodical&gt;&lt;pages&gt;864-871&lt;/pages&gt;&lt;volume&gt;26&lt;/volume&gt;&lt;number&gt;7&lt;/number&gt;&lt;dates&gt;&lt;year&gt;2018&lt;/year&gt;&lt;/dates&gt;&lt;isbn&gt;1063-4584&lt;/isbn&gt;&lt;urls&gt;&lt;/urls&gt;&lt;/record&gt;&lt;/Cite&gt;&lt;/EndNote&gt;</w:instrText>
      </w:r>
      <w:r w:rsidRPr="00DE0986">
        <w:rPr>
          <w:szCs w:val="24"/>
          <w:lang w:val="en-GB"/>
        </w:rPr>
        <w:fldChar w:fldCharType="separate"/>
      </w:r>
      <w:r w:rsidRPr="00DE0986">
        <w:rPr>
          <w:szCs w:val="24"/>
          <w:lang w:val="en-GB"/>
        </w:rPr>
        <w:t>[19]</w:t>
      </w:r>
      <w:r w:rsidRPr="00DE0986">
        <w:rPr>
          <w:szCs w:val="24"/>
        </w:rPr>
        <w:fldChar w:fldCharType="end"/>
      </w:r>
      <w:r w:rsidRPr="00DE0986">
        <w:rPr>
          <w:szCs w:val="24"/>
          <w:lang w:val="en-GB"/>
        </w:rPr>
        <w:t>, while those with OA have been reported to have a weak handgrip strength.</w:t>
      </w:r>
      <w:r w:rsidRPr="00DE0986">
        <w:rPr>
          <w:szCs w:val="24"/>
          <w:lang w:val="en-GB"/>
        </w:rPr>
        <w:fldChar w:fldCharType="begin"/>
      </w:r>
      <w:r w:rsidRPr="00DE0986">
        <w:rPr>
          <w:szCs w:val="24"/>
          <w:lang w:val="en-GB"/>
        </w:rPr>
        <w:instrText xml:space="preserve"> ADDIN EN.CITE &lt;EndNote&gt;&lt;Cite&gt;&lt;Author&gt;Kwak&lt;/Author&gt;&lt;Year&gt;2020&lt;/Year&gt;&lt;RecNum&gt;13217&lt;/RecNum&gt;&lt;DisplayText&gt;[20]&lt;/DisplayText&gt;&lt;record&gt;&lt;rec-number&gt;13217&lt;/rec-number&gt;&lt;foreign-keys&gt;&lt;key app="EN" db-id="drpew5wfywra50esazbxawda2f59zaves90z" timestamp="1667914382"&gt;13217&lt;/key&gt;&lt;/foreign-keys&gt;&lt;ref-type name="Journal Article"&gt;17&lt;/ref-type&gt;&lt;contributors&gt;&lt;authors&gt;&lt;author&gt;Kwak, Yeunhee&lt;/author&gt;&lt;author&gt;Kim, Yoonjung&lt;/author&gt;&lt;author&gt;Chung, Haekyung&lt;/author&gt;&lt;/authors&gt;&lt;/contributors&gt;&lt;titles&gt;&lt;title&gt;Sex-associated differences in the handgrip strength of elderly individuals&lt;/title&gt;&lt;secondary-title&gt;Western Journal of Nursing Research&lt;/secondary-title&gt;&lt;/titles&gt;&lt;periodical&gt;&lt;full-title&gt;Western journal of nursing research&lt;/full-title&gt;&lt;/periodical&gt;&lt;pages&gt;262-268&lt;/pages&gt;&lt;volume&gt;42&lt;/volume&gt;&lt;number&gt;4&lt;/number&gt;&lt;dates&gt;&lt;year&gt;2020&lt;/year&gt;&lt;/dates&gt;&lt;isbn&gt;0193-9459&lt;/isbn&gt;&lt;urls&gt;&lt;/urls&gt;&lt;/record&gt;&lt;/Cite&gt;&lt;/EndNote&gt;</w:instrText>
      </w:r>
      <w:r w:rsidRPr="00DE0986">
        <w:rPr>
          <w:szCs w:val="24"/>
          <w:lang w:val="en-GB"/>
        </w:rPr>
        <w:fldChar w:fldCharType="separate"/>
      </w:r>
      <w:r w:rsidRPr="00DE0986">
        <w:rPr>
          <w:szCs w:val="24"/>
          <w:lang w:val="en-GB"/>
        </w:rPr>
        <w:t>[20]</w:t>
      </w:r>
      <w:r w:rsidRPr="00DE0986">
        <w:rPr>
          <w:szCs w:val="24"/>
        </w:rPr>
        <w:fldChar w:fldCharType="end"/>
      </w:r>
      <w:r w:rsidRPr="00DE0986">
        <w:rPr>
          <w:szCs w:val="24"/>
          <w:lang w:val="en-GB"/>
        </w:rPr>
        <w:t xml:space="preserve"> Moreover, those with knee OA are at a higher risk of falling owing to impaired balance, muscle weakness, presence of comorbidities, and increasing number of symptomatic joints.</w:t>
      </w:r>
      <w:r w:rsidRPr="00DE0986">
        <w:rPr>
          <w:szCs w:val="24"/>
          <w:lang w:val="en-GB"/>
        </w:rPr>
        <w:fldChar w:fldCharType="begin"/>
      </w:r>
      <w:r w:rsidRPr="00DE0986">
        <w:rPr>
          <w:szCs w:val="24"/>
          <w:lang w:val="en-GB"/>
        </w:rPr>
        <w:instrText xml:space="preserve"> ADDIN EN.CITE &lt;EndNote&gt;&lt;Cite&gt;&lt;Author&gt;Manlapaz&lt;/Author&gt;&lt;Year&gt;2019&lt;/Year&gt;&lt;RecNum&gt;13218&lt;/RecNum&gt;&lt;DisplayText&gt;[21]&lt;/DisplayText&gt;&lt;record&gt;&lt;rec-number&gt;13218&lt;/rec-number&gt;&lt;foreign-keys&gt;&lt;key app="EN" db-id="drpew5wfywra50esazbxawda2f59zaves90z" timestamp="1667914415"&gt;13218&lt;/key&gt;&lt;/foreign-keys&gt;&lt;ref-type name="Journal Article"&gt;17&lt;/ref-type&gt;&lt;contributors&gt;&lt;authors&gt;&lt;author&gt;Manlapaz, Donald G&lt;/author&gt;&lt;author&gt;Sole, Gisela&lt;/author&gt;&lt;author&gt;Jayakaran, Prasath&lt;/author&gt;&lt;author&gt;Chapple, Cathy M&lt;/author&gt;&lt;/authors&gt;&lt;/contributors&gt;&lt;titles&gt;&lt;title&gt;Risk factors for falls in adults with knee osteoarthritis: a systematic review&lt;/title&gt;&lt;secondary-title&gt;Pm&amp;amp;r&lt;/secondary-title&gt;&lt;/titles&gt;&lt;periodical&gt;&lt;full-title&gt;Pm&amp;amp;r&lt;/full-title&gt;&lt;/periodical&gt;&lt;pages&gt;745-757&lt;/pages&gt;&lt;volume&gt;11&lt;/volume&gt;&lt;number&gt;7&lt;/number&gt;&lt;dates&gt;&lt;year&gt;2019&lt;/year&gt;&lt;/dates&gt;&lt;isbn&gt;1934-1482&lt;/isbn&gt;&lt;urls&gt;&lt;/urls&gt;&lt;/record&gt;&lt;/Cite&gt;&lt;/EndNote&gt;</w:instrText>
      </w:r>
      <w:r w:rsidRPr="00DE0986">
        <w:rPr>
          <w:szCs w:val="24"/>
          <w:lang w:val="en-GB"/>
        </w:rPr>
        <w:fldChar w:fldCharType="separate"/>
      </w:r>
      <w:r w:rsidRPr="00DE0986">
        <w:rPr>
          <w:szCs w:val="24"/>
          <w:lang w:val="en-GB"/>
        </w:rPr>
        <w:t>[21]</w:t>
      </w:r>
      <w:r w:rsidRPr="00DE0986">
        <w:rPr>
          <w:szCs w:val="24"/>
        </w:rPr>
        <w:fldChar w:fldCharType="end"/>
      </w:r>
      <w:r w:rsidRPr="00DE0986">
        <w:rPr>
          <w:szCs w:val="24"/>
          <w:lang w:val="en-GB"/>
        </w:rPr>
        <w:t xml:space="preserve"> It would thus be prudent to examine the relationship between DAO and incidence falls in this high-risk population. </w:t>
      </w:r>
    </w:p>
    <w:p w14:paraId="16C82A94" w14:textId="736B5852" w:rsidR="00DE0986" w:rsidRDefault="00DE0986" w:rsidP="00DE0986">
      <w:pPr>
        <w:rPr>
          <w:szCs w:val="24"/>
        </w:rPr>
      </w:pPr>
      <w:r w:rsidRPr="00DE0986">
        <w:rPr>
          <w:szCs w:val="24"/>
          <w:lang w:val="en-GB"/>
        </w:rPr>
        <w:lastRenderedPageBreak/>
        <w:t xml:space="preserve">Given this background, the aim of the present study was to </w:t>
      </w:r>
      <w:bookmarkStart w:id="0" w:name="_Hlk113628947"/>
      <w:r w:rsidRPr="00DE0986">
        <w:rPr>
          <w:szCs w:val="24"/>
          <w:lang w:val="en-GB"/>
        </w:rPr>
        <w:t xml:space="preserve">investigate the association between DAO and incident falls in a large sample of people with knee OA or at high risk for this condition, over eight years of follow-up. </w:t>
      </w:r>
      <w:r w:rsidRPr="00DE0986">
        <w:rPr>
          <w:szCs w:val="24"/>
        </w:rPr>
        <w:t xml:space="preserve"> </w:t>
      </w:r>
    </w:p>
    <w:p w14:paraId="3665F83C" w14:textId="0320E15C" w:rsidR="00DE0986" w:rsidRPr="00DE0986" w:rsidRDefault="00DE0986" w:rsidP="00DE0986">
      <w:pPr>
        <w:pStyle w:val="Heading1"/>
      </w:pPr>
      <w:r>
        <w:t>Materials and methods</w:t>
      </w:r>
    </w:p>
    <w:p w14:paraId="00F0E66D" w14:textId="09BAC378" w:rsidR="00DE0986" w:rsidRPr="00660978" w:rsidRDefault="00DE0986" w:rsidP="00DE0986">
      <w:pPr>
        <w:pStyle w:val="Corpo"/>
        <w:jc w:val="both"/>
        <w:rPr>
          <w:b/>
          <w:bCs/>
          <w:i/>
          <w:lang w:val="en-US"/>
        </w:rPr>
      </w:pPr>
      <w:r>
        <w:rPr>
          <w:b/>
          <w:bCs/>
          <w:i/>
          <w:lang w:val="en-US"/>
        </w:rPr>
        <w:t>2</w:t>
      </w:r>
      <w:r w:rsidR="00441A09">
        <w:rPr>
          <w:b/>
          <w:bCs/>
          <w:i/>
          <w:lang w:val="en-US"/>
        </w:rPr>
        <w:t>.</w:t>
      </w:r>
      <w:r>
        <w:rPr>
          <w:b/>
          <w:bCs/>
          <w:i/>
          <w:lang w:val="en-US"/>
        </w:rPr>
        <w:t xml:space="preserve">1 </w:t>
      </w:r>
      <w:r w:rsidRPr="00660978">
        <w:rPr>
          <w:b/>
          <w:bCs/>
          <w:i/>
          <w:lang w:val="en-US"/>
        </w:rPr>
        <w:t>Data source and subjects</w:t>
      </w:r>
    </w:p>
    <w:p w14:paraId="1CEAE499" w14:textId="405B3127" w:rsidR="0007526F" w:rsidRPr="00CE45BB" w:rsidRDefault="002E0C72" w:rsidP="00DE0986">
      <w:pPr>
        <w:pStyle w:val="Corpo"/>
        <w:jc w:val="both"/>
        <w:rPr>
          <w:lang w:val="en-US"/>
        </w:rPr>
      </w:pPr>
      <w:r w:rsidRPr="00CE45BB">
        <w:rPr>
          <w:lang w:val="en-US"/>
        </w:rPr>
        <w:t>The OAI cohort study is a multi-center, longitudinal, observational study focusing primarily on knee OA.</w:t>
      </w:r>
      <w:r w:rsidR="00D54BD8" w:rsidRPr="00CE45BB">
        <w:rPr>
          <w:lang w:val="en-US"/>
        </w:rPr>
        <w:fldChar w:fldCharType="begin"/>
      </w:r>
      <w:r w:rsidR="00D54BD8" w:rsidRPr="00CE45BB">
        <w:rPr>
          <w:lang w:val="en-US"/>
        </w:rPr>
        <w:instrText xml:space="preserve"> ADDIN EN.CITE &lt;EndNote&gt;&lt;Cite&gt;&lt;Author&gt;Nevitt&lt;/Author&gt;&lt;Year&gt;2006&lt;/Year&gt;&lt;RecNum&gt;632&lt;/RecNum&gt;&lt;DisplayText&gt;[22]&lt;/DisplayText&gt;&lt;record&gt;&lt;rec-number&gt;632&lt;/rec-number&gt;&lt;foreign-keys&gt;&lt;key app="EN" db-id="9xtr0wtaawf0znezse8v55xt50rx55etp250" timestamp="1678787978"&gt;632&lt;/key&gt;&lt;/foreign-keys&gt;&lt;ref-type name="Journal Article"&gt;17&lt;/ref-type&gt;&lt;contributors&gt;&lt;authors&gt;&lt;author&gt;Nevitt, M&lt;/author&gt;&lt;author&gt;Felson, D&lt;/author&gt;&lt;author&gt;Lester, Gayle&lt;/author&gt;&lt;/authors&gt;&lt;/contributors&gt;&lt;titles&gt;&lt;title&gt;The osteoarthritis initiative&lt;/title&gt;&lt;secondary-title&gt;Protocol for the cohort study&lt;/secondary-title&gt;&lt;/titles&gt;&lt;periodical&gt;&lt;full-title&gt;Protocol for the cohort study&lt;/full-title&gt;&lt;/periodical&gt;&lt;volume&gt;1&lt;/volume&gt;&lt;dates&gt;&lt;year&gt;2006&lt;/year&gt;&lt;/dates&gt;&lt;urls&gt;&lt;/urls&gt;&lt;/record&gt;&lt;/Cite&gt;&lt;/EndNote&gt;</w:instrText>
      </w:r>
      <w:r w:rsidR="00D54BD8" w:rsidRPr="00CE45BB">
        <w:rPr>
          <w:lang w:val="en-US"/>
        </w:rPr>
        <w:fldChar w:fldCharType="separate"/>
      </w:r>
      <w:r w:rsidR="00D54BD8" w:rsidRPr="00CE45BB">
        <w:rPr>
          <w:noProof/>
          <w:lang w:val="en-US"/>
        </w:rPr>
        <w:t>[22]</w:t>
      </w:r>
      <w:r w:rsidR="00D54BD8" w:rsidRPr="00CE45BB">
        <w:rPr>
          <w:lang w:val="en-US"/>
        </w:rPr>
        <w:fldChar w:fldCharType="end"/>
      </w:r>
      <w:r w:rsidRPr="00CE45BB">
        <w:rPr>
          <w:lang w:val="en-US"/>
        </w:rPr>
        <w:t xml:space="preserve"> </w:t>
      </w:r>
      <w:r w:rsidR="00DE0986" w:rsidRPr="00CE45BB">
        <w:rPr>
          <w:lang w:val="en-US"/>
        </w:rPr>
        <w:t>Participants</w:t>
      </w:r>
      <w:r w:rsidR="00D54BD8" w:rsidRPr="00CE45BB">
        <w:rPr>
          <w:lang w:val="en-US"/>
        </w:rPr>
        <w:t xml:space="preserve">, with an age between 40 and 80 years, </w:t>
      </w:r>
      <w:r w:rsidR="00DE0986" w:rsidRPr="00CE45BB">
        <w:rPr>
          <w:lang w:val="en-US"/>
        </w:rPr>
        <w:t xml:space="preserve">were recruited across four clinical sites in the United States of America (Baltimore, MD; Pittsburgh, PA; Pawtucket, RI; and Columbus, OH) between February 2004 and May 2006. </w:t>
      </w:r>
    </w:p>
    <w:p w14:paraId="7EBE0E8E" w14:textId="185EF5E7" w:rsidR="0007526F" w:rsidRPr="00CE45BB" w:rsidRDefault="0007526F" w:rsidP="00DE0986">
      <w:pPr>
        <w:pStyle w:val="Corpo"/>
        <w:jc w:val="both"/>
        <w:rPr>
          <w:lang w:val="en-US"/>
        </w:rPr>
      </w:pPr>
      <w:r w:rsidRPr="00CE45BB">
        <w:rPr>
          <w:lang w:val="en-US"/>
        </w:rPr>
        <w:t xml:space="preserve">The </w:t>
      </w:r>
      <w:r w:rsidR="002E0C72" w:rsidRPr="00CE45BB">
        <w:rPr>
          <w:lang w:val="en-US"/>
        </w:rPr>
        <w:t>OAI created</w:t>
      </w:r>
      <w:r w:rsidRPr="00CE45BB">
        <w:rPr>
          <w:lang w:val="en-US"/>
        </w:rPr>
        <w:t xml:space="preserve"> a public archive of data, biological samples, and joint images collected over time from a very well clinically characterized population of individuals comprised of two subgroups, </w:t>
      </w:r>
      <w:r w:rsidR="00D54BD8" w:rsidRPr="00CE45BB">
        <w:rPr>
          <w:lang w:val="en-US"/>
        </w:rPr>
        <w:t xml:space="preserve">: (1) had knee osteoarthritis (OA) with knee pain for a 30-day period in the past 12 months or (2) were at high risk of developing knee OA (e.g. overweight/obese (body mass index, BMI ≥25kg/m²), family history of knee OA). </w:t>
      </w:r>
      <w:r w:rsidRPr="00CE45BB">
        <w:rPr>
          <w:lang w:val="en-US"/>
        </w:rPr>
        <w:t xml:space="preserve">The baseline assessments consist of an initial eligibility assessment by telephone, a screening clinic visit and an enrollment clinic visit. </w:t>
      </w:r>
      <w:r w:rsidR="00D54BD8" w:rsidRPr="00CE45BB">
        <w:rPr>
          <w:lang w:val="en-US"/>
        </w:rPr>
        <w:t xml:space="preserve">Several </w:t>
      </w:r>
      <w:r w:rsidRPr="00CE45BB">
        <w:rPr>
          <w:lang w:val="en-US"/>
        </w:rPr>
        <w:t xml:space="preserve">follow-up visits </w:t>
      </w:r>
      <w:r w:rsidR="00D54BD8" w:rsidRPr="00CE45BB">
        <w:rPr>
          <w:lang w:val="en-US"/>
        </w:rPr>
        <w:t>were</w:t>
      </w:r>
      <w:r w:rsidRPr="00CE45BB">
        <w:rPr>
          <w:lang w:val="en-US"/>
        </w:rPr>
        <w:t xml:space="preserve"> repeated.</w:t>
      </w:r>
    </w:p>
    <w:p w14:paraId="34C481CB" w14:textId="597697B5" w:rsidR="00DE0986" w:rsidRPr="00CE45BB" w:rsidRDefault="00DE0986" w:rsidP="00DE0986">
      <w:pPr>
        <w:pStyle w:val="Corpo"/>
        <w:jc w:val="both"/>
        <w:rPr>
          <w:lang w:val="en-US"/>
        </w:rPr>
      </w:pPr>
      <w:bookmarkStart w:id="1" w:name="_Hlk532668298"/>
      <w:r w:rsidRPr="00CE45BB">
        <w:rPr>
          <w:lang w:val="en-US"/>
        </w:rPr>
        <w:t>The data of this longitudinal cohort study were collected at baseline and during subsequent evaluations, with a follow-up of 8 years</w:t>
      </w:r>
      <w:bookmarkEnd w:id="1"/>
      <w:r w:rsidRPr="00CE45BB">
        <w:rPr>
          <w:lang w:val="en-US"/>
        </w:rPr>
        <w:t>. All participants provided written informed consent. The OAI study was given full ethics approval by the institutional review board of the OAI Coordinating Center, at the University of California in San Francisco, CA, USA.</w:t>
      </w:r>
    </w:p>
    <w:p w14:paraId="03E0483B" w14:textId="4E3FBC5A" w:rsidR="00691E19" w:rsidRPr="00CE45BB" w:rsidRDefault="00691E19" w:rsidP="00DE0986">
      <w:pPr>
        <w:pStyle w:val="Corpo"/>
        <w:jc w:val="both"/>
        <w:rPr>
          <w:lang w:val="en-US"/>
        </w:rPr>
      </w:pPr>
    </w:p>
    <w:p w14:paraId="27C7C459" w14:textId="3255E63E" w:rsidR="00DE0986" w:rsidRPr="00CE45BB" w:rsidRDefault="00DE0986" w:rsidP="00DE0986">
      <w:pPr>
        <w:jc w:val="both"/>
        <w:rPr>
          <w:b/>
          <w:bCs/>
          <w:i/>
          <w:iCs/>
          <w:color w:val="000000"/>
        </w:rPr>
      </w:pPr>
      <w:r w:rsidRPr="00CE45BB">
        <w:rPr>
          <w:b/>
          <w:bCs/>
          <w:i/>
          <w:iCs/>
          <w:color w:val="000000"/>
        </w:rPr>
        <w:t xml:space="preserve">2.2 Exposure: dynapenic abdominal obesity </w:t>
      </w:r>
    </w:p>
    <w:p w14:paraId="35C449A6" w14:textId="73CFB3F3" w:rsidR="00DE0986" w:rsidRPr="00CE45BB" w:rsidRDefault="00DE0986" w:rsidP="00DE0986">
      <w:pPr>
        <w:autoSpaceDE w:val="0"/>
        <w:autoSpaceDN w:val="0"/>
        <w:adjustRightInd w:val="0"/>
        <w:jc w:val="both"/>
        <w:rPr>
          <w:color w:val="000000" w:themeColor="text1"/>
        </w:rPr>
      </w:pPr>
      <w:r w:rsidRPr="00CE45BB">
        <w:t xml:space="preserve">As measure of muscle strength, we used the five times chair stands time. According to the most recent guidelines on sarcopenia, dynapenia was defined using a value, in both genders, more than 15 seconds. </w:t>
      </w:r>
      <w:r w:rsidRPr="00CE45BB">
        <w:fldChar w:fldCharType="begin"/>
      </w:r>
      <w:r w:rsidR="00D54BD8" w:rsidRPr="00CE45BB">
        <w:instrText xml:space="preserve"> ADDIN EN.CITE &lt;EndNote&gt;&lt;Cite&gt;&lt;Author&gt;Cruz-Jentoft&lt;/Author&gt;&lt;Year&gt;2019&lt;/Year&gt;&lt;RecNum&gt;9662&lt;/RecNum&gt;&lt;DisplayText&gt;[23]&lt;/DisplayText&gt;&lt;record&gt;&lt;rec-number&gt;9662&lt;/rec-number&gt;&lt;foreign-keys&gt;&lt;key app="EN" db-id="drpew5wfywra50esazbxawda2f59zaves90z" timestamp="1611088977"&gt;9662&lt;/key&gt;&lt;/foreign-keys&gt;&lt;ref-type name="Journal Article"&gt;17&lt;/ref-type&gt;&lt;contributors&gt;&lt;authors&gt;&lt;author&gt;Cruz-Jentoft, Alfonso J&lt;/author&gt;&lt;author&gt;Bahat, Gülistan&lt;/author&gt;&lt;author&gt;Bauer, Jürgen&lt;/author&gt;&lt;author&gt;Boirie, Yves&lt;/author&gt;&lt;author&gt;Bruyère, Olivier&lt;/author&gt;&lt;author&gt;Cederholm, Tommy&lt;/author&gt;&lt;author&gt;Cooper, Cyrus&lt;/author&gt;&lt;author&gt;Landi, Francesco&lt;/author&gt;&lt;author&gt;Rolland, Yves&lt;/author&gt;&lt;author&gt;Sayer, Avan Aihie&lt;/author&gt;&lt;/authors&gt;&lt;/contributors&gt;&lt;titles&gt;&lt;title&gt;Sarcopenia: revised European consensus on definition and diagnosis&lt;/title&gt;&lt;secondary-title&gt;Age and ageing&lt;/secondary-title&gt;&lt;/titles&gt;&lt;periodical&gt;&lt;full-title&gt;Age and ageing&lt;/full-title&gt;&lt;/periodical&gt;&lt;pages&gt;16-31&lt;/pages&gt;&lt;volume&gt;48&lt;/volume&gt;&lt;number&gt;1&lt;/number&gt;&lt;dates&gt;&lt;year&gt;2019&lt;/year&gt;&lt;/dates&gt;&lt;isbn&gt;0002-0729&lt;/isbn&gt;&lt;urls&gt;&lt;/urls&gt;&lt;/record&gt;&lt;/Cite&gt;&lt;/EndNote&gt;</w:instrText>
      </w:r>
      <w:r w:rsidRPr="00CE45BB">
        <w:fldChar w:fldCharType="separate"/>
      </w:r>
      <w:r w:rsidR="00D54BD8" w:rsidRPr="00CE45BB">
        <w:rPr>
          <w:noProof/>
        </w:rPr>
        <w:t>[23]</w:t>
      </w:r>
      <w:r w:rsidRPr="00CE45BB">
        <w:fldChar w:fldCharType="end"/>
      </w:r>
      <w:r w:rsidRPr="00CE45BB">
        <w:t xml:space="preserve"> We considered a subject dynapenic if he/she score more than 15 seconds in either of the two attempts. </w:t>
      </w:r>
      <w:r w:rsidRPr="00CE45BB">
        <w:rPr>
          <w:color w:val="000000" w:themeColor="text1"/>
        </w:rPr>
        <w:t>For waist circumference, t</w:t>
      </w:r>
      <w:r w:rsidRPr="00CE45BB">
        <w:rPr>
          <w:sz w:val="23"/>
          <w:szCs w:val="23"/>
        </w:rPr>
        <w:t xml:space="preserve">he waist was defined as the point midway between the iliac crest and the costal margin (lower rib). The tape was kept horizontal and the measurement to the nearest mm was taken. </w:t>
      </w:r>
      <w:r w:rsidRPr="00CE45BB">
        <w:rPr>
          <w:color w:val="000000" w:themeColor="text1"/>
        </w:rPr>
        <w:t xml:space="preserve">Abdominal obesity was defined as a waist circumference of &gt;88 cm in women and &gt;102 in men </w:t>
      </w:r>
      <w:r w:rsidRPr="00CE45BB">
        <w:rPr>
          <w:color w:val="000000" w:themeColor="text1"/>
        </w:rPr>
        <w:fldChar w:fldCharType="begin"/>
      </w:r>
      <w:r w:rsidR="00D54BD8" w:rsidRPr="00CE45BB">
        <w:rPr>
          <w:color w:val="000000" w:themeColor="text1"/>
        </w:rPr>
        <w:instrText xml:space="preserve"> ADDIN EN.CITE &lt;EndNote&gt;&lt;Cite&gt;&lt;Author&gt;World Health Organization&lt;/Author&gt;&lt;Year&gt;2011&lt;/Year&gt;&lt;RecNum&gt;13389&lt;/RecNum&gt;&lt;DisplayText&gt;[24]&lt;/DisplayText&gt;&lt;record&gt;&lt;rec-number&gt;13389&lt;/rec-number&gt;&lt;foreign-keys&gt;&lt;key app="EN" db-id="dvtaa5vxrx0zfze5s53v0zvez99dafp2e5f5" timestamp="1660559454" guid="9812634b-ad63-4036-8123-065c97c24024"&gt;13389&lt;/key&gt;&lt;/foreign-keys&gt;&lt;ref-type name="Journal Article"&gt;17&lt;/ref-type&gt;&lt;contributors&gt;&lt;authors&gt;&lt;author&gt;World Health Organization, WHO Experts,&lt;/author&gt;&lt;/authors&gt;&lt;/contributors&gt;&lt;titles&gt;&lt;title&gt;Waist Circumference and Waist-Hip&amp;#xD;Ratio: Report of a WHO Expert Consultation, Geneva, 8–11 December 2008&lt;/title&gt;&lt;/titles&gt;&lt;dates&gt;&lt;year&gt;2011&lt;/year&gt;&lt;/dates&gt;&lt;urls&gt;&lt;/urls&gt;&lt;/record&gt;&lt;/Cite&gt;&lt;/EndNote&gt;</w:instrText>
      </w:r>
      <w:r w:rsidRPr="00CE45BB">
        <w:rPr>
          <w:color w:val="000000" w:themeColor="text1"/>
        </w:rPr>
        <w:fldChar w:fldCharType="separate"/>
      </w:r>
      <w:r w:rsidR="00D54BD8" w:rsidRPr="00CE45BB">
        <w:rPr>
          <w:noProof/>
          <w:color w:val="000000" w:themeColor="text1"/>
        </w:rPr>
        <w:t>[24]</w:t>
      </w:r>
      <w:r w:rsidRPr="00CE45BB">
        <w:rPr>
          <w:color w:val="000000" w:themeColor="text1"/>
        </w:rPr>
        <w:fldChar w:fldCharType="end"/>
      </w:r>
      <w:r w:rsidRPr="00CE45BB">
        <w:rPr>
          <w:color w:val="000000" w:themeColor="text1"/>
        </w:rPr>
        <w:t>. Accordingly, participants were divided into four groups, i.e., no dynapenia and no abdominal obesity [reference], dynapenia alone, abdominal obesity alone, and DAO.</w:t>
      </w:r>
    </w:p>
    <w:p w14:paraId="6202A8AE" w14:textId="1E74EDDB" w:rsidR="00DE0986" w:rsidRPr="00CE45BB" w:rsidRDefault="00DE0986" w:rsidP="00DE0986">
      <w:pPr>
        <w:pStyle w:val="Corpo"/>
        <w:jc w:val="both"/>
        <w:rPr>
          <w:b/>
          <w:bCs/>
          <w:i/>
          <w:lang w:val="en-US"/>
        </w:rPr>
      </w:pPr>
      <w:r w:rsidRPr="00CE45BB">
        <w:rPr>
          <w:b/>
          <w:bCs/>
          <w:i/>
          <w:lang w:val="en-US"/>
        </w:rPr>
        <w:t xml:space="preserve">2.3 Outcome: incidence of falls </w:t>
      </w:r>
    </w:p>
    <w:p w14:paraId="1B0DF9FF" w14:textId="5EB95F4F" w:rsidR="00DE0986" w:rsidRPr="00CE45BB" w:rsidRDefault="00DE0986" w:rsidP="00DE0986">
      <w:pPr>
        <w:pStyle w:val="Corpo"/>
        <w:jc w:val="both"/>
        <w:rPr>
          <w:lang w:val="en-US"/>
        </w:rPr>
      </w:pPr>
      <w:r w:rsidRPr="00CE45BB">
        <w:rPr>
          <w:lang w:val="en-US"/>
        </w:rPr>
        <w:t>A fall is traditionally defined as “</w:t>
      </w:r>
      <w:r w:rsidRPr="00CE45BB">
        <w:rPr>
          <w:iCs/>
          <w:lang w:val="en-US"/>
        </w:rPr>
        <w:t>an event which resulted in a person coming to rest inadvertently on the ground or floor or other lower level</w:t>
      </w:r>
      <w:r w:rsidRPr="00CE45BB">
        <w:rPr>
          <w:lang w:val="en-US"/>
        </w:rPr>
        <w:t>.”</w:t>
      </w:r>
      <w:r w:rsidRPr="00CE45BB">
        <w:rPr>
          <w:lang w:val="en-US"/>
        </w:rPr>
        <w:fldChar w:fldCharType="begin"/>
      </w:r>
      <w:r w:rsidR="00D54BD8" w:rsidRPr="00CE45BB">
        <w:rPr>
          <w:lang w:val="en-US"/>
        </w:rPr>
        <w:instrText xml:space="preserve"> ADDIN EN.CITE &lt;EndNote&gt;&lt;Cite&gt;&lt;Author&gt;Organization&lt;/Author&gt;&lt;Year&gt;2008&lt;/Year&gt;&lt;RecNum&gt;5411&lt;/RecNum&gt;&lt;DisplayText&gt;[25]&lt;/DisplayText&gt;&lt;record&gt;&lt;rec-number&gt;5411&lt;/rec-number&gt;&lt;foreign-keys&gt;&lt;key app="EN" db-id="t2wadffz0tdfane25rb50ezte9zwtdwpseft"&gt;5411&lt;/key&gt;&lt;/foreign-keys&gt;&lt;ref-type name="Journal Article"&gt;17&lt;/ref-type&gt;&lt;contributors&gt;&lt;authors&gt;&lt;author&gt;World Health Organization&lt;/author&gt;&lt;/authors&gt;&lt;/contributors&gt;&lt;titles&gt;&lt;title&gt;Ageing; Life Course Unit. WHO global report on falls prevention in older age&lt;/title&gt;&lt;secondary-title&gt;World Health Organization&lt;/secondary-title&gt;&lt;/titles&gt;&lt;periodical&gt;&lt;full-title&gt;World Health Organization&lt;/full-title&gt;&lt;/periodical&gt;&lt;dates&gt;&lt;year&gt;2008&lt;/year&gt;&lt;/dates&gt;&lt;urls&gt;&lt;/urls&gt;&lt;/record&gt;&lt;/Cite&gt;&lt;/EndNote&gt;</w:instrText>
      </w:r>
      <w:r w:rsidRPr="00CE45BB">
        <w:rPr>
          <w:lang w:val="en-US"/>
        </w:rPr>
        <w:fldChar w:fldCharType="separate"/>
      </w:r>
      <w:r w:rsidR="00D54BD8" w:rsidRPr="00CE45BB">
        <w:rPr>
          <w:noProof/>
          <w:lang w:val="en-US"/>
        </w:rPr>
        <w:t>[25]</w:t>
      </w:r>
      <w:r w:rsidRPr="00CE45BB">
        <w:rPr>
          <w:lang w:val="en-US"/>
        </w:rPr>
        <w:fldChar w:fldCharType="end"/>
      </w:r>
      <w:r w:rsidRPr="00CE45BB">
        <w:rPr>
          <w:lang w:val="en-US"/>
        </w:rPr>
        <w:t xml:space="preserve"> </w:t>
      </w:r>
    </w:p>
    <w:p w14:paraId="023C7CDD" w14:textId="77777777" w:rsidR="00DE0986" w:rsidRPr="00CE45BB" w:rsidRDefault="00DE0986" w:rsidP="00DE0986">
      <w:pPr>
        <w:pStyle w:val="Corpo"/>
        <w:jc w:val="both"/>
        <w:rPr>
          <w:lang w:val="en-US"/>
        </w:rPr>
      </w:pPr>
      <w:r w:rsidRPr="00CE45BB">
        <w:rPr>
          <w:lang w:val="en-US"/>
        </w:rPr>
        <w:t xml:space="preserve">The assessment of the outcome was carried out at baseline and during the follow-up visits at 12, 24, 36, 48, 72 and 96 months. At the end of each wave, including baseline evaluation, participants reported the number of falls experienced in the preceding year by answering the question: “Did you fall during the past year?”. The number of falls was also recorded. No information was available regarding the date of the fall.  </w:t>
      </w:r>
    </w:p>
    <w:p w14:paraId="658ED9DD" w14:textId="77777777" w:rsidR="00DE0986" w:rsidRPr="00CE45BB" w:rsidRDefault="00DE0986" w:rsidP="00DE0986">
      <w:pPr>
        <w:pStyle w:val="Corpo"/>
        <w:jc w:val="both"/>
        <w:rPr>
          <w:iCs/>
          <w:lang w:val="en-US"/>
        </w:rPr>
      </w:pPr>
    </w:p>
    <w:p w14:paraId="3448DA3D" w14:textId="17C0904A" w:rsidR="00DE0986" w:rsidRPr="00CE45BB" w:rsidRDefault="00DE0986" w:rsidP="00DE0986">
      <w:pPr>
        <w:pStyle w:val="Corpo"/>
        <w:jc w:val="both"/>
        <w:rPr>
          <w:b/>
          <w:bCs/>
          <w:i/>
          <w:lang w:val="en-US"/>
        </w:rPr>
      </w:pPr>
      <w:r w:rsidRPr="00CE45BB">
        <w:rPr>
          <w:b/>
          <w:bCs/>
          <w:i/>
          <w:lang w:val="en-US"/>
        </w:rPr>
        <w:t>2.4 Control variables</w:t>
      </w:r>
    </w:p>
    <w:p w14:paraId="69E936AA" w14:textId="24B8C883" w:rsidR="00DE0986" w:rsidRPr="00CE45BB" w:rsidRDefault="00DE0986" w:rsidP="00DE0986">
      <w:pPr>
        <w:pStyle w:val="Corpo"/>
        <w:jc w:val="both"/>
        <w:rPr>
          <w:iCs/>
          <w:lang w:val="en-US"/>
        </w:rPr>
      </w:pPr>
      <w:r w:rsidRPr="00CE45BB">
        <w:rPr>
          <w:iCs/>
          <w:lang w:val="en-US"/>
        </w:rPr>
        <w:t xml:space="preserve">In the association between DAO and incident falls, we considered several factors at the baseline evaluation, including: demographic characteristics (age, sex, ethnicity); education level (categorized as college vs. lower grades); smoking status (categorized as actual vs. never/previous); yearly income (more or less than 50,000 $); number of alcoholic drinks consumed during a typical week in the last month; </w:t>
      </w:r>
      <w:r w:rsidRPr="00CE45BB">
        <w:rPr>
          <w:lang w:val="en-US"/>
        </w:rPr>
        <w:t xml:space="preserve">physical activity was  measured through the </w:t>
      </w:r>
      <w:r w:rsidRPr="00CE45BB">
        <w:rPr>
          <w:lang w:val="en-US"/>
        </w:rPr>
        <w:lastRenderedPageBreak/>
        <w:t xml:space="preserve">Physical Activity Scale for the Elderly scale (PASE) </w:t>
      </w:r>
      <w:r w:rsidRPr="00CE45BB">
        <w:rPr>
          <w:lang w:val="en-US"/>
        </w:rPr>
        <w:fldChar w:fldCharType="begin"/>
      </w:r>
      <w:r w:rsidR="00D54BD8" w:rsidRPr="00CE45BB">
        <w:rPr>
          <w:lang w:val="en-US"/>
        </w:rPr>
        <w:instrText xml:space="preserve"> ADDIN EN.CITE &lt;EndNote&gt;&lt;Cite&gt;&lt;Author&gt;Washburn&lt;/Author&gt;&lt;Year&gt;1999&lt;/Year&gt;&lt;RecNum&gt;2090&lt;/RecNum&gt;&lt;DisplayText&gt;[26]&lt;/DisplayText&gt;&lt;record&gt;&lt;rec-number&gt;2090&lt;/rec-number&gt;&lt;foreign-keys&gt;&lt;key app="EN" db-id="t2wadffz0tdfane25rb50ezte9zwtdwpseft"&gt;2090&lt;/key&gt;&lt;/foreign-keys&gt;&lt;ref-type name="Journal Article"&gt;17&lt;/ref-type&gt;&lt;contributors&gt;&lt;authors&gt;&lt;author&gt;Washburn, R. A.&lt;/author&gt;&lt;author&gt;McAuley, E.&lt;/author&gt;&lt;author&gt;Katula, J.&lt;/author&gt;&lt;author&gt;Mihalko, S. L.&lt;/author&gt;&lt;author&gt;Boileau, R. A.&lt;/author&gt;&lt;/authors&gt;&lt;/contributors&gt;&lt;titles&gt;&lt;title&gt;The physical activity scale for the elderly (PASE): evidence for validity&lt;/title&gt;&lt;secondary-title&gt;Journal of clinical epidemiology&lt;/secondary-title&gt;&lt;/titles&gt;&lt;periodical&gt;&lt;full-title&gt;Journal of Clinical Epidemiology&lt;/full-title&gt;&lt;/periodical&gt;&lt;pages&gt;643-51&lt;/pages&gt;&lt;volume&gt;52&lt;/volume&gt;&lt;number&gt;7&lt;/number&gt;&lt;keywords&gt;&lt;keyword&gt;Aged&lt;/keyword&gt;&lt;keyword&gt;Aging&lt;/keyword&gt;&lt;keyword&gt;Aging: physiology&lt;/keyword&gt;&lt;keyword&gt;Body Composition&lt;/keyword&gt;&lt;keyword&gt;Chi-Square Distribution&lt;/keyword&gt;&lt;keyword&gt;Educational Status&lt;/keyword&gt;&lt;keyword&gt;Exercise&lt;/keyword&gt;&lt;keyword&gt;Exercise Tolerance&lt;/keyword&gt;&lt;keyword&gt;Female&lt;/keyword&gt;&lt;keyword&gt;Geriatric Assessment&lt;/keyword&gt;&lt;keyword&gt;Hemodynamics&lt;/keyword&gt;&lt;keyword&gt;Humans&lt;/keyword&gt;&lt;keyword&gt;Male&lt;/keyword&gt;&lt;keyword&gt;Marital Status&lt;/keyword&gt;&lt;keyword&gt;Middle Aged&lt;/keyword&gt;&lt;keyword&gt;Reproducibility of Results&lt;/keyword&gt;&lt;/keywords&gt;&lt;dates&gt;&lt;year&gt;1999&lt;/year&gt;&lt;/dates&gt;&lt;urls&gt;&lt;related-urls&gt;&lt;url&gt;http://www.ncbi.nlm.nih.gov/pubmed/10391658&lt;/url&gt;&lt;/related-urls&gt;&lt;/urls&gt;&lt;/record&gt;&lt;/Cite&gt;&lt;/EndNote&gt;</w:instrText>
      </w:r>
      <w:r w:rsidRPr="00CE45BB">
        <w:rPr>
          <w:lang w:val="en-US"/>
        </w:rPr>
        <w:fldChar w:fldCharType="separate"/>
      </w:r>
      <w:r w:rsidR="00D54BD8" w:rsidRPr="00CE45BB">
        <w:rPr>
          <w:noProof/>
          <w:lang w:val="en-US"/>
        </w:rPr>
        <w:t>[26]</w:t>
      </w:r>
      <w:r w:rsidRPr="00CE45BB">
        <w:rPr>
          <w:lang w:val="en-US"/>
        </w:rPr>
        <w:fldChar w:fldCharType="end"/>
      </w:r>
      <w:r w:rsidRPr="00CE45BB">
        <w:rPr>
          <w:lang w:val="en-US"/>
        </w:rPr>
        <w:t xml:space="preserve">; the presence and severity of comorbidities assessed by the </w:t>
      </w:r>
      <w:proofErr w:type="spellStart"/>
      <w:r w:rsidRPr="00CE45BB">
        <w:rPr>
          <w:lang w:val="en-US"/>
        </w:rPr>
        <w:t>Charlson</w:t>
      </w:r>
      <w:proofErr w:type="spellEnd"/>
      <w:r w:rsidRPr="00CE45BB">
        <w:rPr>
          <w:lang w:val="en-US"/>
        </w:rPr>
        <w:t xml:space="preserve"> Comorbidity Index score</w:t>
      </w:r>
      <w:r w:rsidRPr="00CE45BB">
        <w:rPr>
          <w:lang w:val="en-US"/>
        </w:rPr>
        <w:fldChar w:fldCharType="begin"/>
      </w:r>
      <w:r w:rsidR="00D54BD8" w:rsidRPr="00CE45BB">
        <w:rPr>
          <w:lang w:val="en-US"/>
        </w:rPr>
        <w:instrText xml:space="preserve"> ADDIN EN.CITE &lt;EndNote&gt;&lt;Cite&gt;&lt;Author&gt;Katz&lt;/Author&gt;&lt;Year&gt;1996&lt;/Year&gt;&lt;RecNum&gt;994&lt;/RecNum&gt;&lt;DisplayText&gt;[27]&lt;/DisplayText&gt;&lt;record&gt;&lt;rec-number&gt;994&lt;/rec-number&gt;&lt;foreign-keys&gt;&lt;key app="EN" db-id="t2wadffz0tdfane25rb50ezte9zwtdwpseft"&gt;994&lt;/key&gt;&lt;/foreign-keys&gt;&lt;ref-type name="Journal Article"&gt;17&lt;/ref-type&gt;&lt;contributors&gt;&lt;authors&gt;&lt;author&gt;Katz, J. N.&lt;/author&gt;&lt;author&gt;Chang, L. C.&lt;/author&gt;&lt;author&gt;Sangha, O.&lt;/author&gt;&lt;author&gt;Fossel, A. H.&lt;/author&gt;&lt;author&gt;Bates, D. W.&lt;/author&gt;&lt;/authors&gt;&lt;/contributors&gt;&lt;titles&gt;&lt;title&gt;Can comorbidity be measured by questionnaire rather than medical record review?&lt;/title&gt;&lt;secondary-title&gt;Medical care&lt;/secondary-title&gt;&lt;/titles&gt;&lt;periodical&gt;&lt;full-title&gt;Medical care&lt;/full-title&gt;&lt;/periodical&gt;&lt;pages&gt;73-84&lt;/pages&gt;&lt;volume&gt;34&lt;/volume&gt;&lt;number&gt;1&lt;/number&gt;&lt;keywords&gt;&lt;keyword&gt;Aged&lt;/keyword&gt;&lt;keyword&gt;Aged, 80 and over&lt;/keyword&gt;&lt;keyword&gt;Comorbidity&lt;/keyword&gt;&lt;keyword&gt;Drug Prescriptions&lt;/keyword&gt;&lt;keyword&gt;Drug Prescriptions: economics&lt;/keyword&gt;&lt;keyword&gt;Female&lt;/keyword&gt;&lt;keyword&gt;Health Services Research&lt;/keyword&gt;&lt;keyword&gt;Health Services Research: methods&lt;/keyword&gt;&lt;keyword&gt;Hospital Charges&lt;/keyword&gt;&lt;keyword&gt;Hospital Charges: statistics &amp;amp; numerical data&lt;/keyword&gt;&lt;keyword&gt;Hospitalization&lt;/keyword&gt;&lt;keyword&gt;Hospitalization: statistics &amp;amp; numerical data&lt;/keyword&gt;&lt;keyword&gt;Humans&lt;/keyword&gt;&lt;keyword&gt;Length of Stay&lt;/keyword&gt;&lt;keyword&gt;Length of Stay: statistics &amp;amp; numerical data&lt;/keyword&gt;&lt;keyword&gt;Male&lt;/keyword&gt;&lt;keyword&gt;Medical History Taking&lt;/keyword&gt;&lt;keyword&gt;Medical History Taking: methods&lt;/keyword&gt;&lt;keyword&gt;Medical History Taking: standards&lt;/keyword&gt;&lt;keyword&gt;Medical Records&lt;/keyword&gt;&lt;keyword&gt;Middle Aged&lt;/keyword&gt;&lt;keyword&gt;Reproducibility of Results&lt;/keyword&gt;&lt;keyword&gt;Surveys and Questionnaires&lt;/keyword&gt;&lt;keyword&gt;Surveys and Questionnaires: standards&lt;/keyword&gt;&lt;keyword&gt;Utilization Review&lt;/keyword&gt;&lt;keyword&gt;Utilization Review: standards&lt;/keyword&gt;&lt;/keywords&gt;&lt;dates&gt;&lt;year&gt;1996&lt;/year&gt;&lt;/dates&gt;&lt;urls&gt;&lt;related-urls&gt;&lt;url&gt;http://www.ncbi.nlm.nih.gov/pubmed/8551813&lt;/url&gt;&lt;/related-urls&gt;&lt;/urls&gt;&lt;/record&gt;&lt;/Cite&gt;&lt;/EndNote&gt;</w:instrText>
      </w:r>
      <w:r w:rsidRPr="00CE45BB">
        <w:rPr>
          <w:lang w:val="en-US"/>
        </w:rPr>
        <w:fldChar w:fldCharType="separate"/>
      </w:r>
      <w:r w:rsidR="00D54BD8" w:rsidRPr="00CE45BB">
        <w:rPr>
          <w:noProof/>
          <w:lang w:val="en-US"/>
        </w:rPr>
        <w:t>[27]</w:t>
      </w:r>
      <w:r w:rsidRPr="00CE45BB">
        <w:rPr>
          <w:lang w:val="en-US"/>
        </w:rPr>
        <w:fldChar w:fldCharType="end"/>
      </w:r>
      <w:r w:rsidRPr="00CE45BB">
        <w:rPr>
          <w:lang w:val="en-US"/>
        </w:rPr>
        <w:t>; number of medications used; presence, at the baseline, of previous falls</w:t>
      </w:r>
      <w:r w:rsidR="00C36137" w:rsidRPr="00CE45BB">
        <w:rPr>
          <w:lang w:val="en-US"/>
        </w:rPr>
        <w:t>.</w:t>
      </w:r>
      <w:r w:rsidR="00966898" w:rsidRPr="00CE45BB">
        <w:rPr>
          <w:lang w:val="en-US"/>
        </w:rPr>
        <w:t xml:space="preserve"> </w:t>
      </w:r>
      <w:r w:rsidR="00C36137" w:rsidRPr="00CE45BB">
        <w:rPr>
          <w:lang w:val="en-US"/>
        </w:rPr>
        <w:t xml:space="preserve">The OAI database includes bilateral posteroanterior fixed-flexion knee radiographs from patients. Semiquantitative </w:t>
      </w:r>
      <w:proofErr w:type="spellStart"/>
      <w:r w:rsidR="00C36137" w:rsidRPr="00CE45BB">
        <w:rPr>
          <w:lang w:val="en-US"/>
        </w:rPr>
        <w:t>Kellgren</w:t>
      </w:r>
      <w:proofErr w:type="spellEnd"/>
      <w:r w:rsidR="00C36137" w:rsidRPr="00CE45BB">
        <w:rPr>
          <w:lang w:val="en-US"/>
        </w:rPr>
        <w:t xml:space="preserve"> and Lawrence (KL) Grades were used for grading the severity of knee OA.</w:t>
      </w:r>
      <w:r w:rsidR="00C36137" w:rsidRPr="00CE45BB">
        <w:rPr>
          <w:lang w:val="en-US"/>
        </w:rPr>
        <w:fldChar w:fldCharType="begin"/>
      </w:r>
      <w:r w:rsidR="00D54BD8" w:rsidRPr="00CE45BB">
        <w:rPr>
          <w:lang w:val="en-US"/>
        </w:rPr>
        <w:instrText xml:space="preserve"> ADDIN EN.CITE &lt;EndNote&gt;&lt;Cite&gt;&lt;Author&gt;Kohn&lt;/Author&gt;&lt;Year&gt;2016&lt;/Year&gt;&lt;RecNum&gt;631&lt;/RecNum&gt;&lt;DisplayText&gt;[28]&lt;/DisplayText&gt;&lt;record&gt;&lt;rec-number&gt;631&lt;/rec-number&gt;&lt;foreign-keys&gt;&lt;key app="EN" db-id="9xtr0wtaawf0znezse8v55xt50rx55etp250" timestamp="1678785863"&gt;631&lt;/key&gt;&lt;/foreign-keys&gt;&lt;ref-type name="Journal Article"&gt;17&lt;/ref-type&gt;&lt;contributors&gt;&lt;authors&gt;&lt;author&gt;Kohn, Mark D&lt;/author&gt;&lt;author&gt;Sassoon, Adam A&lt;/author&gt;&lt;author&gt;Fernando, Navin D&lt;/author&gt;&lt;/authors&gt;&lt;/contributors&gt;&lt;titles&gt;&lt;title&gt;Classifications in brief: Kellgren-Lawrence classification of osteoarthritis&lt;/title&gt;&lt;secondary-title&gt;Clinical Orthopaedics and Related Research®&lt;/secondary-title&gt;&lt;/titles&gt;&lt;periodical&gt;&lt;full-title&gt;Clinical Orthopaedics and Related Research®&lt;/full-title&gt;&lt;/periodical&gt;&lt;pages&gt;1886-1893&lt;/pages&gt;&lt;volume&gt;474&lt;/volume&gt;&lt;dates&gt;&lt;year&gt;2016&lt;/year&gt;&lt;/dates&gt;&lt;isbn&gt;0009-921X&lt;/isbn&gt;&lt;urls&gt;&lt;/urls&gt;&lt;/record&gt;&lt;/Cite&gt;&lt;/EndNote&gt;</w:instrText>
      </w:r>
      <w:r w:rsidR="00C36137" w:rsidRPr="00CE45BB">
        <w:rPr>
          <w:lang w:val="en-US"/>
        </w:rPr>
        <w:fldChar w:fldCharType="separate"/>
      </w:r>
      <w:r w:rsidR="00D54BD8" w:rsidRPr="00CE45BB">
        <w:rPr>
          <w:noProof/>
          <w:lang w:val="en-US"/>
        </w:rPr>
        <w:t>[28]</w:t>
      </w:r>
      <w:r w:rsidR="00C36137" w:rsidRPr="00CE45BB">
        <w:rPr>
          <w:lang w:val="en-US"/>
        </w:rPr>
        <w:fldChar w:fldCharType="end"/>
      </w:r>
      <w:r w:rsidR="00C36137" w:rsidRPr="00CE45BB">
        <w:rPr>
          <w:lang w:val="en-US"/>
        </w:rPr>
        <w:t xml:space="preserve"> The images were centrally graded by two expert readers who were blinded to each other’s readings and to clinical data from the patient.</w:t>
      </w:r>
      <w:r w:rsidR="00C36137" w:rsidRPr="00CE45BB">
        <w:rPr>
          <w:lang w:val="en-US"/>
        </w:rPr>
        <w:fldChar w:fldCharType="begin"/>
      </w:r>
      <w:r w:rsidR="00D54BD8" w:rsidRPr="00CE45BB">
        <w:rPr>
          <w:lang w:val="en-US"/>
        </w:rPr>
        <w:instrText xml:space="preserve"> ADDIN EN.CITE &lt;EndNote&gt;&lt;Cite&gt;&lt;Author&gt;Leung&lt;/Author&gt;&lt;Year&gt;2020&lt;/Year&gt;&lt;RecNum&gt;630&lt;/RecNum&gt;&lt;DisplayText&gt;[29]&lt;/DisplayText&gt;&lt;record&gt;&lt;rec-number&gt;630&lt;/rec-number&gt;&lt;foreign-keys&gt;&lt;key app="EN" db-id="9xtr0wtaawf0znezse8v55xt50rx55etp250" timestamp="1678785825"&gt;630&lt;/key&gt;&lt;/foreign-keys&gt;&lt;ref-type name="Journal Article"&gt;17&lt;/ref-type&gt;&lt;contributors&gt;&lt;authors&gt;&lt;author&gt;Leung, Kevin&lt;/author&gt;&lt;author&gt;Zhang, Bofei&lt;/author&gt;&lt;author&gt;Tan, Jimin&lt;/author&gt;&lt;author&gt;Shen, Yiqiu&lt;/author&gt;&lt;author&gt;Geras, Krzysztof J&lt;/author&gt;&lt;author&gt;Babb, James S&lt;/author&gt;&lt;author&gt;Cho, Kyunghyun&lt;/author&gt;&lt;author&gt;Chang, Gregory&lt;/author&gt;&lt;author&gt;Deniz, Cem M&lt;/author&gt;&lt;/authors&gt;&lt;/contributors&gt;&lt;titles&gt;&lt;title&gt;Prediction of total knee replacement and diagnosis of osteoarthritis by using deep learning on knee radiographs: data from the osteoarthritis initiative&lt;/title&gt;&lt;secondary-title&gt;Radiology&lt;/secondary-title&gt;&lt;/titles&gt;&lt;periodical&gt;&lt;full-title&gt;Radiology&lt;/full-title&gt;&lt;/periodical&gt;&lt;pages&gt;584-593&lt;/pages&gt;&lt;volume&gt;296&lt;/volume&gt;&lt;number&gt;3&lt;/number&gt;&lt;dates&gt;&lt;year&gt;2020&lt;/year&gt;&lt;/dates&gt;&lt;isbn&gt;0033-8419&lt;/isbn&gt;&lt;urls&gt;&lt;/urls&gt;&lt;/record&gt;&lt;/Cite&gt;&lt;/EndNote&gt;</w:instrText>
      </w:r>
      <w:r w:rsidR="00C36137" w:rsidRPr="00CE45BB">
        <w:rPr>
          <w:lang w:val="en-US"/>
        </w:rPr>
        <w:fldChar w:fldCharType="separate"/>
      </w:r>
      <w:r w:rsidR="00D54BD8" w:rsidRPr="00CE45BB">
        <w:rPr>
          <w:noProof/>
          <w:lang w:val="en-US"/>
        </w:rPr>
        <w:t>[29]</w:t>
      </w:r>
      <w:r w:rsidR="00C36137" w:rsidRPr="00CE45BB">
        <w:rPr>
          <w:lang w:val="en-US"/>
        </w:rPr>
        <w:fldChar w:fldCharType="end"/>
      </w:r>
    </w:p>
    <w:p w14:paraId="32E3162A" w14:textId="77777777" w:rsidR="00DE0986" w:rsidRPr="00CE45BB" w:rsidRDefault="00DE0986" w:rsidP="00DE0986">
      <w:pPr>
        <w:pStyle w:val="Corpo"/>
        <w:jc w:val="both"/>
        <w:rPr>
          <w:b/>
          <w:bCs/>
          <w:i/>
          <w:lang w:val="en-US"/>
        </w:rPr>
      </w:pPr>
    </w:p>
    <w:p w14:paraId="4CD60D24" w14:textId="0AFC83F7" w:rsidR="00DE0986" w:rsidRPr="00CE45BB" w:rsidRDefault="00DE0986" w:rsidP="00DE0986">
      <w:pPr>
        <w:pStyle w:val="Corpo"/>
        <w:jc w:val="both"/>
        <w:rPr>
          <w:b/>
          <w:bCs/>
          <w:i/>
          <w:lang w:val="en-US"/>
        </w:rPr>
      </w:pPr>
      <w:r w:rsidRPr="00CE45BB">
        <w:rPr>
          <w:b/>
          <w:bCs/>
          <w:i/>
          <w:lang w:val="en-US"/>
        </w:rPr>
        <w:t>2.5 Statistical analyses</w:t>
      </w:r>
    </w:p>
    <w:p w14:paraId="4AC30DA5" w14:textId="77777777" w:rsidR="00DE0986" w:rsidRPr="00CE45BB" w:rsidRDefault="00DE0986" w:rsidP="00DE0986">
      <w:pPr>
        <w:pStyle w:val="Corpo"/>
        <w:jc w:val="both"/>
        <w:rPr>
          <w:lang w:val="en-US"/>
        </w:rPr>
      </w:pPr>
      <w:r w:rsidRPr="00CE45BB">
        <w:rPr>
          <w:lang w:val="en-US"/>
        </w:rPr>
        <w:t>Data on continuous variables were normally distributed according to the Kolmogorov-Smirnov test. Data were presented as means and standard deviation values (SD) for quantitative measures (if normally distributed) or as medians and interquartile ranges (if not normally distributed), and percentages for all categorical variables by incidence of falls during follow-up period (yes vs. no). P</w:t>
      </w:r>
      <w:r w:rsidRPr="00CE45BB">
        <w:rPr>
          <w:iCs/>
          <w:lang w:val="en-US"/>
        </w:rPr>
        <w:t>-values were calculated with the Fisher’s Exact test for frequencies, Mann-Whitney test for medians and independent t-Test for means.</w:t>
      </w:r>
    </w:p>
    <w:p w14:paraId="37EF5E8A" w14:textId="077CEBF5" w:rsidR="00DE0986" w:rsidRPr="00CE45BB" w:rsidRDefault="00DE0986" w:rsidP="00DE0986">
      <w:pPr>
        <w:pStyle w:val="Corpo"/>
        <w:jc w:val="both"/>
        <w:rPr>
          <w:lang w:val="en-US"/>
        </w:rPr>
      </w:pPr>
      <w:r w:rsidRPr="00CE45BB">
        <w:rPr>
          <w:lang w:val="en-US"/>
        </w:rPr>
        <w:t xml:space="preserve">Logistic binary regression analysis was run, considering as outcome the incidence of falls during follow-up and as main exposures the presence, at the baseline, of dynapenia and/or abdominal obesity status. Similarly, we reported the associations found for the other control variables. The strength of the association between factors at the baseline and the outcomes of interest were reported as odds ratios (ORs) with their 95 % confidence intervals (CIs). </w:t>
      </w:r>
      <w:r w:rsidR="00A7064C" w:rsidRPr="00CE45BB">
        <w:rPr>
          <w:lang w:val="en-US"/>
        </w:rPr>
        <w:t>To the test the robustness of our results, we did run several sensitivity analyses (e.g., DAO by sex, age</w:t>
      </w:r>
      <w:r w:rsidR="00940E87" w:rsidRPr="00CE45BB">
        <w:rPr>
          <w:lang w:val="en-US"/>
        </w:rPr>
        <w:t>, race</w:t>
      </w:r>
      <w:r w:rsidR="00865CA1" w:rsidRPr="00CE45BB">
        <w:rPr>
          <w:lang w:val="en-US"/>
        </w:rPr>
        <w:t>, presence at the baseline of knee OA and its severity</w:t>
      </w:r>
      <w:r w:rsidR="00A7064C" w:rsidRPr="00CE45BB">
        <w:rPr>
          <w:lang w:val="en-US"/>
        </w:rPr>
        <w:t xml:space="preserve"> and other covariates cited in paragraph 2.4), but all </w:t>
      </w:r>
      <w:proofErr w:type="gramStart"/>
      <w:r w:rsidR="00A7064C" w:rsidRPr="00CE45BB">
        <w:rPr>
          <w:lang w:val="en-US"/>
        </w:rPr>
        <w:t>these interaction</w:t>
      </w:r>
      <w:proofErr w:type="gramEnd"/>
      <w:r w:rsidR="00A7064C" w:rsidRPr="00CE45BB">
        <w:rPr>
          <w:lang w:val="en-US"/>
        </w:rPr>
        <w:t xml:space="preserve"> reported a p-value &gt;0.05.</w:t>
      </w:r>
    </w:p>
    <w:p w14:paraId="750AA7AD" w14:textId="77777777" w:rsidR="00DE0986" w:rsidRPr="00CE45BB" w:rsidRDefault="00DE0986" w:rsidP="00DE0986">
      <w:pPr>
        <w:pStyle w:val="Corpo"/>
        <w:jc w:val="both"/>
        <w:rPr>
          <w:rStyle w:val="None"/>
          <w:rFonts w:cs="Times New Roman"/>
          <w:lang w:val="en-US"/>
        </w:rPr>
      </w:pPr>
      <w:r w:rsidRPr="00CE45BB">
        <w:rPr>
          <w:rFonts w:cs="Times New Roman"/>
          <w:lang w:val="en-US"/>
        </w:rPr>
        <w:t xml:space="preserve">A p&lt;0.05 was deemed statistically significant. Analyses were performed using SPSS 26.0. </w:t>
      </w:r>
    </w:p>
    <w:p w14:paraId="7FABD61F" w14:textId="2A394765" w:rsidR="00DE0986" w:rsidRPr="00CE45BB" w:rsidRDefault="00441A09" w:rsidP="00082B78">
      <w:pPr>
        <w:pStyle w:val="Heading1"/>
      </w:pPr>
      <w:r w:rsidRPr="00CE45BB">
        <w:t>Results</w:t>
      </w:r>
    </w:p>
    <w:p w14:paraId="603CA7A5" w14:textId="4F377FA0" w:rsidR="00441A09" w:rsidRPr="00CE45BB" w:rsidRDefault="00441A09" w:rsidP="00441A09">
      <w:pPr>
        <w:rPr>
          <w:szCs w:val="24"/>
        </w:rPr>
      </w:pPr>
      <w:r w:rsidRPr="00CE45BB">
        <w:rPr>
          <w:szCs w:val="24"/>
        </w:rPr>
        <w:t>Among the 4,796 participants initially included, 943 did not have sufficient information regarding chair stands time or waist circumference, making it not possible to allocated them to any of the four categories of DAO and nine did not report any information regarding incident falls. Therefore, 3,844 subjects were included. Overall, at the baseline, participants without abdominal obesity and dynapenia included 27.5% of the population, whilst abdominal obesity affected 58.8% of the participants and dynapenia 2.5%. Finally, the co-presence of DAO affected 11.2% of the population examined at the baseline.</w:t>
      </w:r>
      <w:r w:rsidR="00B6581C" w:rsidRPr="00CE45BB">
        <w:rPr>
          <w:szCs w:val="24"/>
        </w:rPr>
        <w:t xml:space="preserve"> As expected, the prevalence of radiological knee OA was significantly higher in DAO (79.1%) compared to only obesity (64.6%) and only dynapenia (62.1%) than in people without these two conditions (51.2%) (p&lt;0.0001 for the comparison). </w:t>
      </w:r>
    </w:p>
    <w:p w14:paraId="7E2DF210" w14:textId="77777777" w:rsidR="00441A09" w:rsidRPr="00CE45BB" w:rsidRDefault="00441A09" w:rsidP="00441A09">
      <w:pPr>
        <w:rPr>
          <w:szCs w:val="24"/>
        </w:rPr>
      </w:pPr>
      <w:r w:rsidRPr="00CE45BB">
        <w:rPr>
          <w:b/>
          <w:bCs/>
          <w:szCs w:val="24"/>
        </w:rPr>
        <w:t>Table 1</w:t>
      </w:r>
      <w:r w:rsidRPr="00CE45BB">
        <w:rPr>
          <w:szCs w:val="24"/>
        </w:rPr>
        <w:t xml:space="preserve"> shows the baseline characteristics by incident falls during the 8 years of follow-up. Compared to participants not reporting any fall during follow-up (n=1,149) incident fallers (n=2,695) were more likely to be female (p&lt;0.0001), but no differences in terms of age was observed (p=0.21). Incident fallers reported a significantly higher number of medications (p&lt;0.0001), but a similar rate of comorbidities (p=0.16). Moreover, they were more depressed and reported a higher presence of previous falls at the baseline (p&lt;0.0001 for both comparisons). </w:t>
      </w:r>
    </w:p>
    <w:p w14:paraId="43AC0507" w14:textId="77777777" w:rsidR="00441A09" w:rsidRPr="00CE45BB" w:rsidRDefault="00441A09" w:rsidP="00441A09">
      <w:pPr>
        <w:rPr>
          <w:szCs w:val="24"/>
        </w:rPr>
      </w:pPr>
      <w:r w:rsidRPr="00CE45BB">
        <w:rPr>
          <w:szCs w:val="24"/>
        </w:rPr>
        <w:t>Among the items constituting DAO, incident fallers reported a significantly higher prevalence of abdominal obesity (72.6 vs. 63.8%, p&lt;0.0001), but not of dynapenia (p=0.19) (</w:t>
      </w:r>
      <w:r w:rsidRPr="00CE45BB">
        <w:rPr>
          <w:b/>
          <w:bCs/>
          <w:szCs w:val="24"/>
        </w:rPr>
        <w:t>Table 1</w:t>
      </w:r>
      <w:r w:rsidRPr="00CE45BB">
        <w:rPr>
          <w:szCs w:val="24"/>
        </w:rPr>
        <w:t xml:space="preserve">). This leads to the data shown in </w:t>
      </w:r>
      <w:r w:rsidRPr="00CE45BB">
        <w:rPr>
          <w:b/>
          <w:bCs/>
          <w:szCs w:val="24"/>
        </w:rPr>
        <w:t>Figure 1</w:t>
      </w:r>
      <w:r w:rsidRPr="00CE45BB">
        <w:rPr>
          <w:szCs w:val="24"/>
        </w:rPr>
        <w:t xml:space="preserve"> in which participants without abdominal obesity and dynapenia reported the lowest incidence of falls (63.6%), followed by only dynapenia (68.4%), abdominal obesity (72.6%), and DAO (73.5%). </w:t>
      </w:r>
    </w:p>
    <w:p w14:paraId="5DF88628" w14:textId="77777777" w:rsidR="00441A09" w:rsidRPr="00CE45BB" w:rsidRDefault="00441A09" w:rsidP="00441A09">
      <w:pPr>
        <w:rPr>
          <w:szCs w:val="24"/>
        </w:rPr>
      </w:pPr>
      <w:r w:rsidRPr="00CE45BB">
        <w:rPr>
          <w:b/>
          <w:bCs/>
          <w:szCs w:val="24"/>
        </w:rPr>
        <w:lastRenderedPageBreak/>
        <w:t>Table 2</w:t>
      </w:r>
      <w:r w:rsidRPr="00CE45BB">
        <w:rPr>
          <w:szCs w:val="24"/>
        </w:rPr>
        <w:t xml:space="preserve"> shows the logistic regression analysis adjusted for the potential confounders at the baseline. Taking those without DAO as reference, the presence of only dynapenia was not associated with any increased risk of falls</w:t>
      </w:r>
      <w:r w:rsidRPr="00CE45BB">
        <w:rPr>
          <w:szCs w:val="24"/>
        </w:rPr>
        <w:tab/>
        <w:t xml:space="preserve">(OR=1.18;95%CI: 0.73-1.91; p=0.50), whilst the presence of abdominal obesity (OR=1.30; 95%CI: 1.09-1.56; p=0.004) and dynapenia and abdominal obesity (OR=1.31; 95%CI: 1.01-1.73; p=0.04) were associated with a higher risk of incident falls. Among the other factors considered, being females, white, and highly educated were associated with a higher risk of falling during the follow-up. Moreover, higher values of alcohol drinking in a typical week, CES-D, PASE, number of medications as well as falls reported before the baseline had a significant higher risk of falling during the 8 years follow-up. </w:t>
      </w:r>
    </w:p>
    <w:p w14:paraId="7CED7747" w14:textId="562E7FDC" w:rsidR="00441A09" w:rsidRPr="00CE45BB" w:rsidRDefault="00441A09" w:rsidP="00EC229B">
      <w:pPr>
        <w:pStyle w:val="Heading1"/>
      </w:pPr>
      <w:r w:rsidRPr="00CE45BB">
        <w:t>Discussion</w:t>
      </w:r>
    </w:p>
    <w:p w14:paraId="4C9A2067" w14:textId="0FAF5AAC" w:rsidR="00441A09" w:rsidRPr="00CE45BB" w:rsidRDefault="00441A09" w:rsidP="00441A09">
      <w:pPr>
        <w:rPr>
          <w:szCs w:val="24"/>
        </w:rPr>
      </w:pPr>
      <w:r w:rsidRPr="00CE45BB">
        <w:rPr>
          <w:szCs w:val="24"/>
        </w:rPr>
        <w:t>In this large study of North American people affected by knee OA or at high risk for this condition with over eight years of follow-up, we found that abdominal obesity and DAO</w:t>
      </w:r>
      <w:proofErr w:type="gramStart"/>
      <w:r w:rsidRPr="00CE45BB">
        <w:rPr>
          <w:szCs w:val="24"/>
        </w:rPr>
        <w:t>, in particular, were</w:t>
      </w:r>
      <w:proofErr w:type="gramEnd"/>
      <w:r w:rsidRPr="00CE45BB">
        <w:rPr>
          <w:szCs w:val="24"/>
        </w:rPr>
        <w:t xml:space="preserve"> associated with a higher incidence of falls, even after controlling for multiple confounders. On the contrary, dynapenia alone was not associated with incident falls. </w:t>
      </w:r>
    </w:p>
    <w:p w14:paraId="74EAA540" w14:textId="6DBCE261" w:rsidR="00441A09" w:rsidRPr="00CE45BB" w:rsidRDefault="00441A09" w:rsidP="00441A09">
      <w:pPr>
        <w:rPr>
          <w:szCs w:val="24"/>
          <w:lang w:val="en-GB"/>
        </w:rPr>
      </w:pPr>
      <w:r w:rsidRPr="00CE45BB">
        <w:rPr>
          <w:szCs w:val="24"/>
        </w:rPr>
        <w:t xml:space="preserve">Our analyses showed that being female, white, highly educated, drinking high levels of alcohol, depressed, and using an elevated number of medications were significant factors for falls, overall confirming previous research. </w:t>
      </w:r>
      <w:r w:rsidRPr="00CE45BB">
        <w:rPr>
          <w:szCs w:val="24"/>
        </w:rPr>
        <w:fldChar w:fldCharType="begin"/>
      </w:r>
      <w:r w:rsidR="00D54BD8" w:rsidRPr="00CE45BB">
        <w:rPr>
          <w:szCs w:val="24"/>
        </w:rPr>
        <w:instrText xml:space="preserve"> ADDIN EN.CITE &lt;EndNote&gt;&lt;Cite&gt;&lt;Author&gt;Stubbs&lt;/Author&gt;&lt;Year&gt;2015&lt;/Year&gt;&lt;RecNum&gt;13205&lt;/RecNum&gt;&lt;DisplayText&gt;[30]&lt;/DisplayText&gt;&lt;record&gt;&lt;rec-number&gt;13205&lt;/rec-number&gt;&lt;foreign-keys&gt;&lt;key app="EN" db-id="drpew5wfywra50esazbxawda2f59zaves90z" timestamp="1667851769"&gt;13205&lt;/key&gt;&lt;/foreign-keys&gt;&lt;ref-type name="Journal Article"&gt;17&lt;/ref-type&gt;&lt;contributors&gt;&lt;authors&gt;&lt;author&gt;Stubbs, Brendon&lt;/author&gt;&lt;author&gt;Brefka, Simone&lt;/author&gt;&lt;author&gt;Denkinger, Michael D&lt;/author&gt;&lt;/authors&gt;&lt;/contributors&gt;&lt;titles&gt;&lt;title&gt;What works to prevent falls in community-dwelling older adults? Umbrella review of meta-analyses of randomized controlled trials&lt;/title&gt;&lt;secondary-title&gt;Physical therapy&lt;/secondary-title&gt;&lt;/titles&gt;&lt;periodical&gt;&lt;full-title&gt;Physical therapy&lt;/full-title&gt;&lt;/periodical&gt;&lt;pages&gt;1095-1110&lt;/pages&gt;&lt;volume&gt;95&lt;/volume&gt;&lt;number&gt;8&lt;/number&gt;&lt;dates&gt;&lt;year&gt;2015&lt;/year&gt;&lt;/dates&gt;&lt;isbn&gt;0031-9023&lt;/isbn&gt;&lt;urls&gt;&lt;/urls&gt;&lt;/record&gt;&lt;/Cite&gt;&lt;/EndNote&gt;</w:instrText>
      </w:r>
      <w:r w:rsidRPr="00CE45BB">
        <w:rPr>
          <w:szCs w:val="24"/>
        </w:rPr>
        <w:fldChar w:fldCharType="separate"/>
      </w:r>
      <w:r w:rsidR="00D54BD8" w:rsidRPr="00CE45BB">
        <w:rPr>
          <w:noProof/>
          <w:szCs w:val="24"/>
        </w:rPr>
        <w:t>[30]</w:t>
      </w:r>
      <w:r w:rsidRPr="00CE45BB">
        <w:rPr>
          <w:szCs w:val="24"/>
        </w:rPr>
        <w:fldChar w:fldCharType="end"/>
      </w:r>
      <w:r w:rsidRPr="00CE45BB">
        <w:rPr>
          <w:szCs w:val="24"/>
        </w:rPr>
        <w:t xml:space="preserve"> The finding that DAO is associated with particularly high odds for falls is in line with the two previous longitudinal studies on this topic.</w:t>
      </w:r>
      <w:r w:rsidRPr="00CE45BB">
        <w:rPr>
          <w:szCs w:val="24"/>
        </w:rPr>
        <w:fldChar w:fldCharType="begin">
          <w:fldData xml:space="preserve">PEVuZE5vdGU+PENpdGU+PEF1dGhvcj5aaGFuZzwvQXV0aG9yPjxZZWFyPjIwMjI8L1llYXI+PFJl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</w:fldData>
        </w:fldChar>
      </w:r>
      <w:r w:rsidRPr="00CE45BB">
        <w:rPr>
          <w:szCs w:val="24"/>
        </w:rPr>
        <w:instrText xml:space="preserve"> ADDIN EN.CITE </w:instrText>
      </w:r>
      <w:r w:rsidRPr="00CE45BB">
        <w:rPr>
          <w:szCs w:val="24"/>
        </w:rPr>
        <w:fldChar w:fldCharType="begin">
          <w:fldData xml:space="preserve">PEVuZE5vdGU+PENpdGU+PEF1dGhvcj5aaGFuZzwvQXV0aG9yPjxZZWFyPjIwMjI8L1llYXI+PFJl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</w:fldData>
        </w:fldChar>
      </w:r>
      <w:r w:rsidRPr="00CE45BB">
        <w:rPr>
          <w:szCs w:val="24"/>
        </w:rPr>
        <w:instrText xml:space="preserve"> ADDIN EN.CITE.DATA </w:instrText>
      </w:r>
      <w:r w:rsidRPr="00CE45BB">
        <w:rPr>
          <w:szCs w:val="24"/>
        </w:rPr>
      </w:r>
      <w:r w:rsidRPr="00CE45BB">
        <w:rPr>
          <w:szCs w:val="24"/>
        </w:rPr>
        <w:fldChar w:fldCharType="end"/>
      </w:r>
      <w:r w:rsidRPr="00CE45BB">
        <w:rPr>
          <w:szCs w:val="24"/>
        </w:rPr>
      </w:r>
      <w:r w:rsidRPr="00CE45BB">
        <w:rPr>
          <w:szCs w:val="24"/>
        </w:rPr>
        <w:fldChar w:fldCharType="separate"/>
      </w:r>
      <w:r w:rsidRPr="00CE45BB">
        <w:rPr>
          <w:szCs w:val="24"/>
        </w:rPr>
        <w:t>[13; 15]</w:t>
      </w:r>
      <w:r w:rsidRPr="00CE45BB">
        <w:rPr>
          <w:szCs w:val="24"/>
        </w:rPr>
        <w:fldChar w:fldCharType="end"/>
      </w:r>
      <w:r w:rsidRPr="00CE45BB">
        <w:rPr>
          <w:szCs w:val="24"/>
        </w:rPr>
        <w:t xml:space="preserve"> There are several plausible pathways that may explain why DAO is associated with greater risk of falling among middle-aged and older adults. First, </w:t>
      </w:r>
      <w:r w:rsidRPr="00CE45BB">
        <w:rPr>
          <w:szCs w:val="24"/>
          <w:lang w:val="en-GB"/>
        </w:rPr>
        <w:t xml:space="preserve">the impaired muscular system in </w:t>
      </w:r>
      <w:r w:rsidRPr="00CE45BB">
        <w:rPr>
          <w:szCs w:val="24"/>
        </w:rPr>
        <w:t xml:space="preserve">dynapenic abdominal obesity </w:t>
      </w:r>
      <w:r w:rsidRPr="00CE45BB">
        <w:rPr>
          <w:szCs w:val="24"/>
          <w:lang w:val="en-GB"/>
        </w:rPr>
        <w:t>may lead to difficulties responding to postural correction with sufficient strength and speed, subsequently resulting in falls.</w:t>
      </w:r>
      <w:r w:rsidRPr="00CE45BB">
        <w:rPr>
          <w:szCs w:val="24"/>
          <w:lang w:val="en-GB"/>
        </w:rPr>
        <w:fldChar w:fldCharType="begin"/>
      </w:r>
      <w:r w:rsidRPr="00CE45BB">
        <w:rPr>
          <w:szCs w:val="24"/>
          <w:lang w:val="en-GB"/>
        </w:rPr>
        <w:instrText xml:space="preserve"> ADDIN EN.CITE &lt;EndNote&gt;&lt;Cite&gt;&lt;Author&gt;Zhang&lt;/Author&gt;&lt;Year&gt;2022&lt;/Year&gt;&lt;RecNum&gt;13196&lt;/RecNum&gt;&lt;DisplayText&gt;[13]&lt;/DisplayText&gt;&lt;record&gt;&lt;rec-number&gt;13196&lt;/rec-number&gt;&lt;foreign-keys&gt;&lt;key app="EN" db-id="drpew5wfywra50esazbxawda2f59zaves90z" timestamp="1667765678"&gt;13196&lt;/key&gt;&lt;/foreign-keys&gt;&lt;ref-type name="Journal Article"&gt;17&lt;/ref-type&gt;&lt;contributors&gt;&lt;authors&gt;&lt;author&gt;Zhang, Li&lt;/author&gt;&lt;author&gt;Liu, Shuqin&lt;/author&gt;&lt;author&gt;Wang, Weijing&lt;/author&gt;&lt;author&gt;Sun, Mengjie&lt;/author&gt;&lt;author&gt;Tian, Huimin&lt;/author&gt;&lt;author&gt;Wei, Lili&lt;/author&gt;&lt;author&gt;Wu, Yili&lt;/author&gt;&lt;/authors&gt;&lt;/contributors&gt;&lt;titles&gt;&lt;title&gt;Dynapenic abdominal obesity and the effect on long-term gait speed and falls in older adults&lt;/title&gt;&lt;secondary-title&gt;Clinical nutrition&lt;/secondary-title&gt;&lt;/titles&gt;&lt;periodical&gt;&lt;full-title&gt;Clinical Nutrition&lt;/full-title&gt;&lt;/periodical&gt;&lt;pages&gt;91-96&lt;/pages&gt;&lt;volume&gt;41&lt;/volume&gt;&lt;number&gt;1&lt;/number&gt;&lt;dates&gt;&lt;year&gt;2022&lt;/year&gt;&lt;/dates&gt;&lt;isbn&gt;0261-5614&lt;/isbn&gt;&lt;urls&gt;&lt;/urls&gt;&lt;/record&gt;&lt;/Cite&gt;&lt;/EndNote&gt;</w:instrText>
      </w:r>
      <w:r w:rsidRPr="00CE45BB">
        <w:rPr>
          <w:szCs w:val="24"/>
          <w:lang w:val="en-GB"/>
        </w:rPr>
        <w:fldChar w:fldCharType="separate"/>
      </w:r>
      <w:r w:rsidRPr="00CE45BB">
        <w:rPr>
          <w:szCs w:val="24"/>
          <w:lang w:val="en-GB"/>
        </w:rPr>
        <w:t>[13]</w:t>
      </w:r>
      <w:r w:rsidRPr="00CE45BB">
        <w:rPr>
          <w:szCs w:val="24"/>
        </w:rPr>
        <w:fldChar w:fldCharType="end"/>
      </w:r>
      <w:r w:rsidRPr="00CE45BB">
        <w:rPr>
          <w:szCs w:val="24"/>
          <w:lang w:val="en-GB"/>
        </w:rPr>
        <w:t xml:space="preserve">  Importantly, </w:t>
      </w:r>
      <w:r w:rsidRPr="00CE45BB">
        <w:rPr>
          <w:szCs w:val="24"/>
        </w:rPr>
        <w:t>muscles in older individuals likely have limited ability to react to changing balance threats when compared to young adults, and unstable older adults present this to a greater extent than younger adults.</w:t>
      </w:r>
      <w:r w:rsidRPr="00CE45BB">
        <w:rPr>
          <w:szCs w:val="24"/>
        </w:rPr>
        <w:fldChar w:fldCharType="begin"/>
      </w:r>
      <w:r w:rsidR="00D54BD8" w:rsidRPr="00CE45BB">
        <w:rPr>
          <w:szCs w:val="24"/>
        </w:rPr>
        <w:instrText xml:space="preserve"> ADDIN EN.CITE &lt;EndNote&gt;&lt;Cite&gt;&lt;Author&gt;Lin&lt;/Author&gt;&lt;Year&gt;2002&lt;/Year&gt;&lt;RecNum&gt;13202&lt;/RecNum&gt;&lt;DisplayText&gt;[31]&lt;/DisplayText&gt;&lt;record&gt;&lt;rec-number&gt;13202&lt;/rec-number&gt;&lt;foreign-keys&gt;&lt;key app="EN" db-id="drpew5wfywra50esazbxawda2f59zaves90z" timestamp="1667850902"&gt;13202&lt;/key&gt;&lt;/foreign-keys&gt;&lt;ref-type name="Journal Article"&gt;17&lt;/ref-type&gt;&lt;contributors&gt;&lt;authors&gt;&lt;author&gt;Lin, Sang-I&lt;/author&gt;&lt;author&gt;Woollacott, Marjorie H&lt;/author&gt;&lt;/authors&gt;&lt;/contributors&gt;&lt;titles&gt;&lt;title&gt;Postural muscle responses following changing balance threats in young, stable older, and unstable older adults&lt;/title&gt;&lt;secondary-title&gt;Journal of motor behavior&lt;/secondary-title&gt;&lt;/titles&gt;&lt;periodical&gt;&lt;full-title&gt;Journal of motor behavior&lt;/full-title&gt;&lt;/periodical&gt;&lt;pages&gt;37-44&lt;/pages&gt;&lt;volume&gt;34&lt;/volume&gt;&lt;number&gt;1&lt;/number&gt;&lt;dates&gt;&lt;year&gt;2002&lt;/year&gt;&lt;/dates&gt;&lt;isbn&gt;0022-2895&lt;/isbn&gt;&lt;urls&gt;&lt;/urls&gt;&lt;/record&gt;&lt;/Cite&gt;&lt;/EndNote&gt;</w:instrText>
      </w:r>
      <w:r w:rsidRPr="00CE45BB">
        <w:rPr>
          <w:szCs w:val="24"/>
        </w:rPr>
        <w:fldChar w:fldCharType="separate"/>
      </w:r>
      <w:r w:rsidR="00D54BD8" w:rsidRPr="00CE45BB">
        <w:rPr>
          <w:noProof/>
          <w:szCs w:val="24"/>
        </w:rPr>
        <w:t>[31]</w:t>
      </w:r>
      <w:r w:rsidRPr="00CE45BB">
        <w:rPr>
          <w:szCs w:val="24"/>
        </w:rPr>
        <w:fldChar w:fldCharType="end"/>
      </w:r>
      <w:r w:rsidRPr="00CE45BB">
        <w:rPr>
          <w:szCs w:val="24"/>
        </w:rPr>
        <w:t xml:space="preserve"> </w:t>
      </w:r>
      <w:r w:rsidRPr="00CE45BB">
        <w:rPr>
          <w:szCs w:val="24"/>
          <w:lang w:val="en-GB"/>
        </w:rPr>
        <w:t xml:space="preserve">Next, </w:t>
      </w:r>
      <w:r w:rsidRPr="00CE45BB">
        <w:rPr>
          <w:szCs w:val="24"/>
        </w:rPr>
        <w:t xml:space="preserve">dynapenic abdominal obesity </w:t>
      </w:r>
      <w:r w:rsidRPr="00CE45BB">
        <w:rPr>
          <w:szCs w:val="24"/>
          <w:lang w:val="en-GB"/>
        </w:rPr>
        <w:t>may increase the risk of falls owing to decreased postural stability caused by abdominal fat, as previously discussed. Those with abdominal obesity exhibit a greater proportion of body mass further away from the ankle axis of rotation and thus a larger ankle torque is required to counter the greater gravitational torque.</w:t>
      </w:r>
      <w:r w:rsidRPr="00CE45BB">
        <w:rPr>
          <w:szCs w:val="24"/>
          <w:lang w:val="en-GB"/>
        </w:rPr>
        <w:fldChar w:fldCharType="begin"/>
      </w:r>
      <w:r w:rsidR="00D54BD8" w:rsidRPr="00CE45BB">
        <w:rPr>
          <w:szCs w:val="24"/>
          <w:lang w:val="en-GB"/>
        </w:rPr>
        <w:instrText xml:space="preserve"> ADDIN EN.CITE &lt;EndNote&gt;&lt;Cite&gt;&lt;Author&gt;Simoneau&lt;/Author&gt;&lt;Year&gt;2015&lt;/Year&gt;&lt;RecNum&gt;13203&lt;/RecNum&gt;&lt;DisplayText&gt;[32]&lt;/DisplayText&gt;&lt;record&gt;&lt;rec-number&gt;13203&lt;/rec-number&gt;&lt;foreign-keys&gt;&lt;key app="EN" db-id="drpew5wfywra50esazbxawda2f59zaves90z" timestamp="1667850961"&gt;13203&lt;/key&gt;&lt;/foreign-keys&gt;&lt;ref-type name="Journal Article"&gt;17&lt;/ref-type&gt;&lt;contributors&gt;&lt;authors&gt;&lt;author&gt;Simoneau, Martin&lt;/author&gt;&lt;author&gt;Teasdale, Normand&lt;/author&gt;&lt;/authors&gt;&lt;/contributors&gt;&lt;titles&gt;&lt;title&gt;Balance control impairment in obese individuals is caused by larger balance motor commands variability&lt;/title&gt;&lt;secondary-title&gt;Gait &amp;amp; posture&lt;/secondary-title&gt;&lt;/titles&gt;&lt;periodical&gt;&lt;full-title&gt;Gait &amp;amp; posture&lt;/full-title&gt;&lt;/periodical&gt;&lt;pages&gt;203-208&lt;/pages&gt;&lt;volume&gt;41&lt;/volume&gt;&lt;number&gt;1&lt;/number&gt;&lt;dates&gt;&lt;year&gt;2015&lt;/year&gt;&lt;/dates&gt;&lt;isbn&gt;0966-6362&lt;/isbn&gt;&lt;urls&gt;&lt;/urls&gt;&lt;/record&gt;&lt;/Cite&gt;&lt;/EndNote&gt;</w:instrText>
      </w:r>
      <w:r w:rsidRPr="00CE45BB">
        <w:rPr>
          <w:szCs w:val="24"/>
          <w:lang w:val="en-GB"/>
        </w:rPr>
        <w:fldChar w:fldCharType="separate"/>
      </w:r>
      <w:r w:rsidR="00D54BD8" w:rsidRPr="00CE45BB">
        <w:rPr>
          <w:noProof/>
          <w:szCs w:val="24"/>
          <w:lang w:val="en-GB"/>
        </w:rPr>
        <w:t>[32]</w:t>
      </w:r>
      <w:r w:rsidRPr="00CE45BB">
        <w:rPr>
          <w:szCs w:val="24"/>
        </w:rPr>
        <w:fldChar w:fldCharType="end"/>
      </w:r>
      <w:r w:rsidRPr="00CE45BB">
        <w:rPr>
          <w:szCs w:val="24"/>
          <w:lang w:val="en-GB"/>
        </w:rPr>
        <w:t xml:space="preserve"> This latter finding is also confirmed by our study that shows that abdominal obesity is a significant risk factor for falls, more than the presence of dynapenia alone. It is thus likely that both muscle strength and central obesity interact in the maintenance of postural control and thus the presence of </w:t>
      </w:r>
      <w:r w:rsidRPr="00CE45BB">
        <w:rPr>
          <w:szCs w:val="24"/>
        </w:rPr>
        <w:t xml:space="preserve">dynapenic abdominal obesity </w:t>
      </w:r>
      <w:r w:rsidRPr="00CE45BB">
        <w:rPr>
          <w:szCs w:val="24"/>
          <w:lang w:val="en-GB"/>
        </w:rPr>
        <w:t xml:space="preserve">increases risk of falls. </w:t>
      </w:r>
    </w:p>
    <w:p w14:paraId="6E9EA956" w14:textId="079C4B27" w:rsidR="00441A09" w:rsidRPr="00CE45BB" w:rsidRDefault="00441A09" w:rsidP="00441A09">
      <w:pPr>
        <w:rPr>
          <w:szCs w:val="24"/>
          <w:lang w:val="en-GB"/>
        </w:rPr>
      </w:pPr>
      <w:r w:rsidRPr="00CE45BB">
        <w:rPr>
          <w:szCs w:val="24"/>
          <w:lang w:val="en-GB"/>
        </w:rPr>
        <w:t xml:space="preserve">Findings from the present study and that of previous research </w:t>
      </w:r>
      <w:r w:rsidRPr="00CE45BB">
        <w:rPr>
          <w:szCs w:val="24"/>
          <w:lang w:val="en-GB"/>
        </w:rPr>
        <w:fldChar w:fldCharType="begin"/>
      </w:r>
      <w:r w:rsidRPr="00CE45BB">
        <w:rPr>
          <w:szCs w:val="24"/>
          <w:lang w:val="en-GB"/>
        </w:rPr>
        <w:instrText xml:space="preserve"> ADDIN EN.CITE &lt;EndNote&gt;&lt;Cite&gt;&lt;Author&gt;Zhang&lt;/Author&gt;&lt;Year&gt;2022&lt;/Year&gt;&lt;RecNum&gt;13196&lt;/RecNum&gt;&lt;DisplayText&gt;[13]&lt;/DisplayText&gt;&lt;record&gt;&lt;rec-number&gt;13196&lt;/rec-number&gt;&lt;foreign-keys&gt;&lt;key app="EN" db-id="drpew5wfywra50esazbxawda2f59zaves90z" timestamp="1667765678"&gt;13196&lt;/key&gt;&lt;/foreign-keys&gt;&lt;ref-type name="Journal Article"&gt;17&lt;/ref-type&gt;&lt;contributors&gt;&lt;authors&gt;&lt;author&gt;Zhang, Li&lt;/author&gt;&lt;author&gt;Liu, Shuqin&lt;/author&gt;&lt;author&gt;Wang, Weijing&lt;/author&gt;&lt;author&gt;Sun, Mengjie&lt;/author&gt;&lt;author&gt;Tian, Huimin&lt;/author&gt;&lt;author&gt;Wei, Lili&lt;/author&gt;&lt;author&gt;Wu, Yili&lt;/author&gt;&lt;/authors&gt;&lt;/contributors&gt;&lt;titles&gt;&lt;title&gt;Dynapenic abdominal obesity and the effect on long-term gait speed and falls in older adults&lt;/title&gt;&lt;secondary-title&gt;Clinical nutrition&lt;/secondary-title&gt;&lt;/titles&gt;&lt;periodical&gt;&lt;full-title&gt;Clinical Nutrition&lt;/full-title&gt;&lt;/periodical&gt;&lt;pages&gt;91-96&lt;/pages&gt;&lt;volume&gt;41&lt;/volume&gt;&lt;number&gt;1&lt;/number&gt;&lt;dates&gt;&lt;year&gt;2022&lt;/year&gt;&lt;/dates&gt;&lt;isbn&gt;0261-5614&lt;/isbn&gt;&lt;urls&gt;&lt;/urls&gt;&lt;/record&gt;&lt;/Cite&gt;&lt;/EndNote&gt;</w:instrText>
      </w:r>
      <w:r w:rsidRPr="00CE45BB">
        <w:rPr>
          <w:szCs w:val="24"/>
          <w:lang w:val="en-GB"/>
        </w:rPr>
        <w:fldChar w:fldCharType="separate"/>
      </w:r>
      <w:r w:rsidRPr="00CE45BB">
        <w:rPr>
          <w:szCs w:val="24"/>
          <w:lang w:val="en-GB"/>
        </w:rPr>
        <w:t>[13]</w:t>
      </w:r>
      <w:r w:rsidRPr="00CE45BB">
        <w:rPr>
          <w:szCs w:val="24"/>
        </w:rPr>
        <w:fldChar w:fldCharType="end"/>
      </w:r>
      <w:r w:rsidRPr="00CE45BB">
        <w:rPr>
          <w:szCs w:val="24"/>
          <w:lang w:val="en-GB"/>
        </w:rPr>
        <w:t xml:space="preserve"> suggest that the implementation of interventions to prevent or reverse </w:t>
      </w:r>
      <w:r w:rsidRPr="00CE45BB">
        <w:rPr>
          <w:szCs w:val="24"/>
        </w:rPr>
        <w:t xml:space="preserve">DAO </w:t>
      </w:r>
      <w:r w:rsidRPr="00CE45BB">
        <w:rPr>
          <w:szCs w:val="24"/>
          <w:lang w:val="en-GB"/>
        </w:rPr>
        <w:t>may subsequently reduce fall risk. In this sense, it may be prudent to implement interventions to improve or maintain muscle strength and reduce excess central adiposity. Such interventions could focus on promotion of physical activity, strength training and proper nutrition.</w:t>
      </w:r>
      <w:r w:rsidRPr="00CE45BB">
        <w:rPr>
          <w:szCs w:val="24"/>
          <w:lang w:val="en-GB"/>
        </w:rPr>
        <w:fldChar w:fldCharType="begin"/>
      </w:r>
      <w:r w:rsidR="00D54BD8" w:rsidRPr="00CE45BB">
        <w:rPr>
          <w:szCs w:val="24"/>
          <w:lang w:val="en-GB"/>
        </w:rPr>
        <w:instrText xml:space="preserve"> ADDIN EN.CITE &lt;EndNote&gt;&lt;Cite&gt;&lt;Author&gt;Cruz-Jentoft&lt;/Author&gt;&lt;Year&gt;2014&lt;/Year&gt;&lt;RecNum&gt;13204&lt;/RecNum&gt;&lt;DisplayText&gt;[33]&lt;/DisplayText&gt;&lt;record&gt;&lt;rec-number&gt;13204&lt;/rec-number&gt;&lt;foreign-keys&gt;&lt;key app="EN" db-id="drpew5wfywra50esazbxawda2f59zaves90z" timestamp="1667851135"&gt;13204&lt;/key&gt;&lt;/foreign-keys&gt;&lt;ref-type name="Journal Article"&gt;17&lt;/ref-type&gt;&lt;contributors&gt;&lt;authors&gt;&lt;author&gt;Cruz-Jentoft, Alfonso J&lt;/author&gt;&lt;author&gt;Landi, Francesco&lt;/author&gt;&lt;author&gt;Schneider, Stéphane M&lt;/author&gt;&lt;author&gt;Zúñiga, Clemente&lt;/author&gt;&lt;author&gt;Arai, Hidenori&lt;/author&gt;&lt;author&gt;Boirie, Yves&lt;/author&gt;&lt;author&gt;Chen, Liang-Kung&lt;/author&gt;&lt;author&gt;Fielding, Roger A&lt;/author&gt;&lt;author&gt;Martin, Finbarr C&lt;/author&gt;&lt;author&gt;Michel, Jean-Pierre&lt;/author&gt;&lt;/authors&gt;&lt;/contributors&gt;&lt;titles&gt;&lt;title&gt;Prevalence of and interventions for sarcopenia in ageing adults: a systematic review. Report of the International Sarcopenia Initiative (EWGSOP and IWGS)&lt;/title&gt;&lt;secondary-title&gt;Age and ageing&lt;/secondary-title&gt;&lt;/titles&gt;&lt;periodical&gt;&lt;full-title&gt;Age and ageing&lt;/full-title&gt;&lt;/periodical&gt;&lt;pages&gt;748-759&lt;/pages&gt;&lt;volume&gt;43&lt;/volume&gt;&lt;number&gt;6&lt;/number&gt;&lt;dates&gt;&lt;year&gt;2014&lt;/year&gt;&lt;/dates&gt;&lt;isbn&gt;0002-0729&lt;/isbn&gt;&lt;urls&gt;&lt;/urls&gt;&lt;/record&gt;&lt;/Cite&gt;&lt;/EndNote&gt;</w:instrText>
      </w:r>
      <w:r w:rsidRPr="00CE45BB">
        <w:rPr>
          <w:szCs w:val="24"/>
          <w:lang w:val="en-GB"/>
        </w:rPr>
        <w:fldChar w:fldCharType="separate"/>
      </w:r>
      <w:r w:rsidR="00D54BD8" w:rsidRPr="00CE45BB">
        <w:rPr>
          <w:noProof/>
          <w:szCs w:val="24"/>
          <w:lang w:val="en-GB"/>
        </w:rPr>
        <w:t>[33]</w:t>
      </w:r>
      <w:r w:rsidRPr="00CE45BB">
        <w:rPr>
          <w:szCs w:val="24"/>
        </w:rPr>
        <w:fldChar w:fldCharType="end"/>
      </w:r>
      <w:r w:rsidRPr="00CE45BB">
        <w:rPr>
          <w:szCs w:val="24"/>
          <w:lang w:val="en-GB"/>
        </w:rPr>
        <w:t xml:space="preserve"> Finally, some interventions could be appropriate for both knee OA and decreasing the risk of falls including mind-body exercise, such as Tai-Chi. </w:t>
      </w:r>
      <w:r w:rsidRPr="00CE45BB">
        <w:rPr>
          <w:szCs w:val="24"/>
          <w:lang w:val="en-GB"/>
        </w:rPr>
        <w:fldChar w:fldCharType="begin"/>
      </w:r>
      <w:r w:rsidR="00D54BD8" w:rsidRPr="00CE45BB">
        <w:rPr>
          <w:szCs w:val="24"/>
          <w:lang w:val="en-GB"/>
        </w:rPr>
        <w:instrText xml:space="preserve"> ADDIN EN.CITE &lt;EndNote&gt;&lt;Cite&gt;&lt;Author&gt;Goh&lt;/Author&gt;&lt;Year&gt;2019&lt;/Year&gt;&lt;RecNum&gt;13219&lt;/RecNum&gt;&lt;DisplayText&gt;[34]&lt;/DisplayText&gt;&lt;record&gt;&lt;rec-number&gt;13219&lt;/rec-number&gt;&lt;foreign-keys&gt;&lt;key app="EN" db-id="drpew5wfywra50esazbxawda2f59zaves90z" timestamp="1667914506"&gt;13219&lt;/key&gt;&lt;/foreign-keys&gt;&lt;ref-type name="Journal Article"&gt;17&lt;/ref-type&gt;&lt;contributors&gt;&lt;authors&gt;&lt;author&gt;Goh, Siew-Li&lt;/author&gt;&lt;author&gt;Persson, Monica SM&lt;/author&gt;&lt;author&gt;Stocks, Joanne&lt;/author&gt;&lt;author&gt;Hou, Yunfei&lt;/author&gt;&lt;author&gt;Welton, Nicky J&lt;/author&gt;&lt;author&gt;Lin, Jianhao&lt;/author&gt;&lt;author&gt;Hall, Michelle C&lt;/author&gt;&lt;author&gt;Doherty, Michael&lt;/author&gt;&lt;author&gt;Zhang, Weiya&lt;/author&gt;&lt;/authors&gt;&lt;/contributors&gt;&lt;titles&gt;&lt;title&gt;Relative efficacy of different exercises for pain, function, performance and quality of life in knee and hip osteoarthritis: systematic review and network meta-analysis&lt;/title&gt;&lt;secondary-title&gt;Sports Medicine&lt;/secondary-title&gt;&lt;/titles&gt;&lt;periodical&gt;&lt;full-title&gt;Sports Medicine&lt;/full-title&gt;&lt;/periodical&gt;&lt;pages&gt;743-761&lt;/pages&gt;&lt;volume&gt;49&lt;/volume&gt;&lt;number&gt;5&lt;/number&gt;&lt;dates&gt;&lt;year&gt;2019&lt;/year&gt;&lt;/dates&gt;&lt;isbn&gt;1179-2035&lt;/isbn&gt;&lt;urls&gt;&lt;/urls&gt;&lt;/record&gt;&lt;/Cite&gt;&lt;/EndNote&gt;</w:instrText>
      </w:r>
      <w:r w:rsidRPr="00CE45BB">
        <w:rPr>
          <w:szCs w:val="24"/>
          <w:lang w:val="en-GB"/>
        </w:rPr>
        <w:fldChar w:fldCharType="separate"/>
      </w:r>
      <w:r w:rsidR="00D54BD8" w:rsidRPr="00CE45BB">
        <w:rPr>
          <w:noProof/>
          <w:szCs w:val="24"/>
          <w:lang w:val="en-GB"/>
        </w:rPr>
        <w:t>[34]</w:t>
      </w:r>
      <w:r w:rsidRPr="00CE45BB">
        <w:rPr>
          <w:szCs w:val="24"/>
        </w:rPr>
        <w:fldChar w:fldCharType="end"/>
      </w:r>
    </w:p>
    <w:p w14:paraId="5BC65AD1" w14:textId="2AF10D2D" w:rsidR="00441A09" w:rsidRPr="00CE45BB" w:rsidRDefault="00441A09" w:rsidP="00441A09">
      <w:pPr>
        <w:rPr>
          <w:szCs w:val="24"/>
          <w:lang w:val="en-GB"/>
        </w:rPr>
      </w:pPr>
      <w:r w:rsidRPr="00CE45BB">
        <w:rPr>
          <w:szCs w:val="24"/>
          <w:lang w:val="en-GB"/>
        </w:rPr>
        <w:t xml:space="preserve">The findings of our work must be interpreted within its limitations. First, several variables used in the analysis including falls were self-reported, potentially introducing a recall bias. Second, the OAI includes only people with knee OA or at high risk for this condition: therefore, this population is not representative of the general population. Third, handgrip strength was not available in the OAI dataset and, therefore, it is possible that people with </w:t>
      </w:r>
      <w:r w:rsidRPr="00CE45BB">
        <w:rPr>
          <w:szCs w:val="24"/>
          <w:lang w:val="en-GB"/>
        </w:rPr>
        <w:lastRenderedPageBreak/>
        <w:t>knee OA may do badly on chair stands time due to pain.</w:t>
      </w:r>
      <w:r w:rsidR="00E258D0" w:rsidRPr="00CE45BB">
        <w:rPr>
          <w:szCs w:val="24"/>
          <w:lang w:val="en-GB"/>
        </w:rPr>
        <w:t xml:space="preserve"> Fourth, the changes of anthropometric parameters and knee OA status were not included in the analyses, but they may affect our results. </w:t>
      </w:r>
      <w:r w:rsidRPr="00CE45BB">
        <w:rPr>
          <w:szCs w:val="24"/>
          <w:lang w:val="en-GB"/>
        </w:rPr>
        <w:t xml:space="preserve"> Finally, it is possible for DAO status or other control variables to have changed during the follow-up, but we did not assess these changes that could modify our results. </w:t>
      </w:r>
    </w:p>
    <w:p w14:paraId="30F3F547" w14:textId="34967012" w:rsidR="00441A09" w:rsidRPr="00CE45BB" w:rsidRDefault="00441A09" w:rsidP="00441A09">
      <w:pPr>
        <w:rPr>
          <w:b/>
          <w:bCs/>
          <w:szCs w:val="24"/>
        </w:rPr>
      </w:pPr>
      <w:r w:rsidRPr="00CE45BB">
        <w:rPr>
          <w:szCs w:val="24"/>
          <w:lang w:val="en-GB"/>
        </w:rPr>
        <w:t xml:space="preserve">In conclusion, in the present study including a large representative sample of adults participating in the Osteoarthritis Initiative, over 8 years of follow-up, </w:t>
      </w:r>
      <w:bookmarkStart w:id="2" w:name="_Hlk113629004"/>
      <w:r w:rsidRPr="00CE45BB">
        <w:rPr>
          <w:szCs w:val="24"/>
          <w:lang w:val="en-GB"/>
        </w:rPr>
        <w:t xml:space="preserve">it was observed that </w:t>
      </w:r>
      <w:r w:rsidRPr="00CE45BB">
        <w:rPr>
          <w:szCs w:val="24"/>
        </w:rPr>
        <w:t>DAO</w:t>
      </w:r>
      <w:r w:rsidRPr="00CE45BB">
        <w:rPr>
          <w:szCs w:val="24"/>
          <w:lang w:val="en-GB"/>
        </w:rPr>
        <w:t xml:space="preserve"> significantly increased risk of falls as well as the presence of abdominal obesity. Therefore, interventions to prevent or reverse </w:t>
      </w:r>
      <w:r w:rsidRPr="00CE45BB">
        <w:rPr>
          <w:szCs w:val="24"/>
        </w:rPr>
        <w:t>dynapenic abdominal obesity</w:t>
      </w:r>
      <w:r w:rsidRPr="00CE45BB">
        <w:rPr>
          <w:szCs w:val="24"/>
          <w:lang w:val="en-GB"/>
        </w:rPr>
        <w:t xml:space="preserve"> may be beneficial for fall reduction</w:t>
      </w:r>
      <w:bookmarkEnd w:id="2"/>
      <w:r w:rsidRPr="00CE45BB">
        <w:rPr>
          <w:szCs w:val="24"/>
          <w:lang w:val="en-GB"/>
        </w:rPr>
        <w:t xml:space="preserve">, a phenomenon that afflict several people with important consequences. </w:t>
      </w:r>
    </w:p>
    <w:bookmarkEnd w:id="0"/>
    <w:p w14:paraId="478D8026" w14:textId="77777777" w:rsidR="00CB43D5" w:rsidRPr="00CE45BB" w:rsidRDefault="00CB43D5" w:rsidP="00CB43D5">
      <w:pPr>
        <w:pStyle w:val="Heading1"/>
      </w:pPr>
      <w:r w:rsidRPr="00CE45BB">
        <w:t>Conflict of Interest</w:t>
      </w:r>
    </w:p>
    <w:p w14:paraId="55E438B5" w14:textId="77777777" w:rsidR="00CB43D5" w:rsidRPr="00CE45BB" w:rsidRDefault="00CB43D5" w:rsidP="00CB43D5">
      <w:pPr>
        <w:rPr>
          <w:iCs/>
        </w:rPr>
      </w:pPr>
      <w:r w:rsidRPr="00CE45BB">
        <w:rPr>
          <w:rFonts w:eastAsia="Times New Roman" w:cs="Times New Roman"/>
          <w:iCs/>
          <w:szCs w:val="24"/>
          <w:lang w:val="en-GB" w:eastAsia="en-GB"/>
        </w:rPr>
        <w:t>The authors declare that the research was conducted in the absence of any commercial or financial relationships that could be construed as a potential conflict of interest.</w:t>
      </w:r>
    </w:p>
    <w:p w14:paraId="2F606C58" w14:textId="77777777" w:rsidR="00045678" w:rsidRPr="00CE45BB" w:rsidRDefault="00045678" w:rsidP="00045678">
      <w:pPr>
        <w:pStyle w:val="Heading1"/>
      </w:pPr>
      <w:r w:rsidRPr="00CE45BB">
        <w:t>Author Contributions</w:t>
      </w:r>
    </w:p>
    <w:p w14:paraId="212937B9" w14:textId="02F865D1" w:rsidR="00045678" w:rsidRPr="00CE45BB" w:rsidRDefault="00441A09" w:rsidP="00265660">
      <w:r w:rsidRPr="00CE45BB">
        <w:rPr>
          <w:lang w:val="en-GB"/>
        </w:rPr>
        <w:t xml:space="preserve">Nicola Veronese drafted the first version of the manuscript and made the statistical analysis; Ai Koyanagi supervised the statistical analysis and critically revised the manuscript; Pinar Soysal drafted the first version of the manuscript; Francesco Bolzetta contributed to the data collection and drafted the first version of the manuscript; Ligia J. Dominguez, Mario </w:t>
      </w:r>
      <w:proofErr w:type="spellStart"/>
      <w:r w:rsidRPr="00CE45BB">
        <w:rPr>
          <w:lang w:val="en-GB"/>
        </w:rPr>
        <w:t>Barbagallo</w:t>
      </w:r>
      <w:proofErr w:type="spellEnd"/>
      <w:r w:rsidRPr="00CE45BB">
        <w:rPr>
          <w:lang w:val="en-GB"/>
        </w:rPr>
        <w:t xml:space="preserve">, Shaun </w:t>
      </w:r>
      <w:proofErr w:type="spellStart"/>
      <w:r w:rsidRPr="00CE45BB">
        <w:rPr>
          <w:lang w:val="en-GB"/>
        </w:rPr>
        <w:t>Sabico</w:t>
      </w:r>
      <w:proofErr w:type="spellEnd"/>
      <w:r w:rsidRPr="00CE45BB">
        <w:rPr>
          <w:lang w:val="en-GB"/>
        </w:rPr>
        <w:t>, Nasser Al-</w:t>
      </w:r>
      <w:proofErr w:type="spellStart"/>
      <w:r w:rsidRPr="00CE45BB">
        <w:rPr>
          <w:lang w:val="en-GB"/>
        </w:rPr>
        <w:t>Daghri</w:t>
      </w:r>
      <w:proofErr w:type="spellEnd"/>
      <w:r w:rsidRPr="00CE45BB">
        <w:rPr>
          <w:lang w:val="en-GB"/>
        </w:rPr>
        <w:t xml:space="preserve"> and Lee Smith critically revised the manuscript. All authors saw and approved the final </w:t>
      </w:r>
      <w:proofErr w:type="gramStart"/>
      <w:r w:rsidRPr="00CE45BB">
        <w:rPr>
          <w:lang w:val="en-GB"/>
        </w:rPr>
        <w:t>version</w:t>
      </w:r>
      <w:proofErr w:type="gramEnd"/>
      <w:r w:rsidRPr="00CE45BB">
        <w:rPr>
          <w:lang w:val="en-GB"/>
        </w:rPr>
        <w:t xml:space="preserve"> and no other person made a substantial contribution to the paper.</w:t>
      </w:r>
    </w:p>
    <w:p w14:paraId="454B802F" w14:textId="77777777" w:rsidR="00AC3EA3" w:rsidRPr="00CE45BB" w:rsidRDefault="00AC3EA3" w:rsidP="00A53000">
      <w:pPr>
        <w:pStyle w:val="Heading1"/>
      </w:pPr>
      <w:r w:rsidRPr="00CE45BB">
        <w:t>Funding</w:t>
      </w:r>
    </w:p>
    <w:p w14:paraId="7C816BF4" w14:textId="5E372BE6" w:rsidR="00AC3EA3" w:rsidRPr="00CE45BB" w:rsidRDefault="00441A09" w:rsidP="00AC3EA3">
      <w:pPr>
        <w:rPr>
          <w:szCs w:val="24"/>
        </w:rPr>
      </w:pPr>
      <w:r w:rsidRPr="00CE45BB">
        <w:rPr>
          <w:szCs w:val="24"/>
        </w:rPr>
        <w:t xml:space="preserve">The OAI is a public-private partnership comprised of five contracts (N01-AR-2-2258; N01-AR-2-2259; N01-AR-2-2260; N01-AR-2-2261; N01-AR-2-2262) funded by the National Institutes of Health, a branch of the Department of Health and Human </w:t>
      </w:r>
      <w:proofErr w:type="gramStart"/>
      <w:r w:rsidRPr="00CE45BB">
        <w:rPr>
          <w:szCs w:val="24"/>
        </w:rPr>
        <w:t>Services, and</w:t>
      </w:r>
      <w:proofErr w:type="gramEnd"/>
      <w:r w:rsidRPr="00CE45BB">
        <w:rPr>
          <w:szCs w:val="24"/>
        </w:rPr>
        <w:t xml:space="preserve"> conducted by the OAI Study Investigators. Private funding partners include Merck Research Laboratories; Novartis Pharmaceuticals Corporation, GlaxoSmithKline; and Pfizer, Inc. Private sector funding for the OAI is managed by the Foundation for the National Institutes of Health. This manuscript was prepared using an OAI public use data set and does not necessarily reflect the opinions or views of the OAI investigators, the NIH, or the private funding </w:t>
      </w:r>
      <w:proofErr w:type="gramStart"/>
      <w:r w:rsidRPr="00CE45BB">
        <w:rPr>
          <w:szCs w:val="24"/>
        </w:rPr>
        <w:t>partners.</w:t>
      </w:r>
      <w:r w:rsidR="00AC3EA3" w:rsidRPr="00CE45BB">
        <w:rPr>
          <w:szCs w:val="24"/>
        </w:rPr>
        <w:t>.</w:t>
      </w:r>
      <w:proofErr w:type="gramEnd"/>
    </w:p>
    <w:p w14:paraId="0C176A87" w14:textId="77777777" w:rsidR="006B2D5B" w:rsidRPr="00CE45BB" w:rsidRDefault="006B2D5B" w:rsidP="00A53000">
      <w:pPr>
        <w:pStyle w:val="Heading1"/>
      </w:pPr>
      <w:r w:rsidRPr="00CE45BB">
        <w:t>Acknowledgments</w:t>
      </w:r>
    </w:p>
    <w:p w14:paraId="795E6C52" w14:textId="4E851316" w:rsidR="006D5B93" w:rsidRPr="00CE45BB" w:rsidRDefault="00441A09" w:rsidP="00A53000">
      <w:pPr>
        <w:rPr>
          <w:szCs w:val="24"/>
          <w:shd w:val="clear" w:color="auto" w:fill="FFFFFF"/>
        </w:rPr>
      </w:pPr>
      <w:r w:rsidRPr="00CE45BB">
        <w:rPr>
          <w:szCs w:val="24"/>
          <w:shd w:val="clear" w:color="auto" w:fill="FFFFFF"/>
        </w:rPr>
        <w:t>The authors thank the Researchers Supporting Project (RSP2023R21) in King Saud University, Saudi Arabia for their support.</w:t>
      </w:r>
      <w:r w:rsidR="006B2D5B" w:rsidRPr="00CE45BB">
        <w:rPr>
          <w:szCs w:val="24"/>
          <w:shd w:val="clear" w:color="auto" w:fill="FFFFFF"/>
        </w:rPr>
        <w:t xml:space="preserve"> </w:t>
      </w:r>
    </w:p>
    <w:p w14:paraId="727B5D99" w14:textId="364D80B5" w:rsidR="00441A09" w:rsidRPr="00CE45BB" w:rsidRDefault="00441A09" w:rsidP="00441A09">
      <w:pPr>
        <w:pStyle w:val="Heading1"/>
      </w:pPr>
      <w:r w:rsidRPr="00CE45BB">
        <w:t>References</w:t>
      </w:r>
    </w:p>
    <w:p w14:paraId="70AF8E63" w14:textId="77777777" w:rsidR="00D54BD8" w:rsidRPr="00CE45BB" w:rsidRDefault="00441A09" w:rsidP="00D54BD8">
      <w:pPr>
        <w:pStyle w:val="EndNoteBibliography"/>
        <w:spacing w:after="0"/>
        <w:ind w:left="720" w:hanging="720"/>
      </w:pPr>
      <w:r w:rsidRPr="00CE45BB">
        <w:rPr>
          <w:szCs w:val="24"/>
        </w:rPr>
        <w:fldChar w:fldCharType="begin"/>
      </w:r>
      <w:r w:rsidRPr="00CE45BB">
        <w:rPr>
          <w:szCs w:val="24"/>
        </w:rPr>
        <w:instrText xml:space="preserve"> ADDIN EN.REFLIST </w:instrText>
      </w:r>
      <w:r w:rsidRPr="00CE45BB">
        <w:rPr>
          <w:szCs w:val="24"/>
        </w:rPr>
        <w:fldChar w:fldCharType="separate"/>
      </w:r>
      <w:r w:rsidR="00D54BD8" w:rsidRPr="00CE45BB">
        <w:t>[1] L.Z. Rubenstein, Falls in older people: epidemiology, risk factors and strategies for prevention. Age and ageing 35 (2006) ii37-ii41.</w:t>
      </w:r>
    </w:p>
    <w:p w14:paraId="1D083D3A" w14:textId="77777777" w:rsidR="00D54BD8" w:rsidRPr="00CE45BB" w:rsidRDefault="00D54BD8" w:rsidP="00D54BD8">
      <w:pPr>
        <w:pStyle w:val="EndNoteBibliography"/>
        <w:spacing w:after="0"/>
        <w:ind w:left="720" w:hanging="720"/>
      </w:pPr>
      <w:r w:rsidRPr="00CE45BB">
        <w:t>[2] M. Pahor, Falls in older adults: prevention, mortality, and costs. Jama 321 (2019) 2080-2081.</w:t>
      </w:r>
    </w:p>
    <w:p w14:paraId="336BD2B3" w14:textId="77777777" w:rsidR="00D54BD8" w:rsidRPr="00CE45BB" w:rsidRDefault="00D54BD8" w:rsidP="00D54BD8">
      <w:pPr>
        <w:pStyle w:val="EndNoteBibliography"/>
        <w:spacing w:after="0"/>
        <w:ind w:left="720" w:hanging="720"/>
      </w:pPr>
      <w:r w:rsidRPr="00CE45BB">
        <w:lastRenderedPageBreak/>
        <w:t>[3] P. Reis, A. Moro, V. Bins Ely, C. Fernandes, J. Vilagra, L. Peres, O. Fogaça Junior, and E. Merino, Universal design and accessibility: an approach of the influence of muscle strength loss in the risk of falls in the elderly. Work 41 (2012) 374-379.</w:t>
      </w:r>
    </w:p>
    <w:p w14:paraId="09C0B496" w14:textId="77777777" w:rsidR="00D54BD8" w:rsidRPr="00CE45BB" w:rsidRDefault="00D54BD8" w:rsidP="00D54BD8">
      <w:pPr>
        <w:pStyle w:val="EndNoteBibliography"/>
        <w:spacing w:after="0"/>
        <w:ind w:left="720" w:hanging="720"/>
      </w:pPr>
      <w:r w:rsidRPr="00CE45BB">
        <w:t>[4] A. Shumway-Cook, M. Baldwin, N.L. Polissar, and W. Gruber, Predicting the probability for falls in community-dwelling older adults. Physical therapy 77 (1997) 812-819.</w:t>
      </w:r>
    </w:p>
    <w:p w14:paraId="6806E933" w14:textId="77777777" w:rsidR="00D54BD8" w:rsidRPr="00CE45BB" w:rsidRDefault="00D54BD8" w:rsidP="00D54BD8">
      <w:pPr>
        <w:pStyle w:val="EndNoteBibliography"/>
        <w:spacing w:after="0"/>
        <w:ind w:left="720" w:hanging="720"/>
      </w:pPr>
      <w:r w:rsidRPr="00CE45BB">
        <w:t>[5] A. Dhital, T. Pey, and M.R. Stanford, Visual loss and falls: a review. Eye 24 (2010) 1437.</w:t>
      </w:r>
    </w:p>
    <w:p w14:paraId="650514E5" w14:textId="77777777" w:rsidR="00D54BD8" w:rsidRPr="00CE45BB" w:rsidRDefault="00D54BD8" w:rsidP="00D54BD8">
      <w:pPr>
        <w:pStyle w:val="EndNoteBibliography"/>
        <w:spacing w:after="0"/>
        <w:ind w:left="720" w:hanging="720"/>
      </w:pPr>
      <w:r w:rsidRPr="00CE45BB">
        <w:t>[6] C.T. Ng, and M.P. Tan, Osteoarthritis and falls in the older person. Age and ageing 42 (2013) 561-566.</w:t>
      </w:r>
    </w:p>
    <w:p w14:paraId="5F8D7E13" w14:textId="77777777" w:rsidR="00D54BD8" w:rsidRPr="00CE45BB" w:rsidRDefault="00D54BD8" w:rsidP="00D54BD8">
      <w:pPr>
        <w:pStyle w:val="EndNoteBibliography"/>
        <w:spacing w:after="0"/>
        <w:ind w:left="720" w:hanging="720"/>
      </w:pPr>
      <w:r w:rsidRPr="00CE45BB">
        <w:t>[7] C. Van Doorn, A.L. Gruber‐Baldini, S. Zimmerman, J. Richard Hebel, C.L. Port, M. Baumgarten, C.C. Quinn, G. Taler, C. May, and J. Magaziner, Dementia as a risk factor for falls and fall injuries among nursing home residents. Journal of the American Geriatrics Society 51 (2003) 1213-1218.</w:t>
      </w:r>
    </w:p>
    <w:p w14:paraId="346696A2" w14:textId="77777777" w:rsidR="00D54BD8" w:rsidRPr="00CE45BB" w:rsidRDefault="00D54BD8" w:rsidP="00D54BD8">
      <w:pPr>
        <w:pStyle w:val="EndNoteBibliography"/>
        <w:spacing w:after="0"/>
        <w:ind w:left="720" w:hanging="720"/>
      </w:pPr>
      <w:r w:rsidRPr="00CE45BB">
        <w:t>[8] A. Iaboni, and A.J. Flint, The complex interplay of depression and falls in older adults: a clinical review. The American Journal of Geriatric Psychiatry 21 (2013) 484-492.</w:t>
      </w:r>
    </w:p>
    <w:p w14:paraId="430B669D" w14:textId="77777777" w:rsidR="00D54BD8" w:rsidRPr="00CE45BB" w:rsidRDefault="00D54BD8" w:rsidP="00D54BD8">
      <w:pPr>
        <w:pStyle w:val="EndNoteBibliography"/>
        <w:spacing w:after="0"/>
        <w:ind w:left="720" w:hanging="720"/>
      </w:pPr>
      <w:r w:rsidRPr="00CE45BB">
        <w:t>[9] B. Callaghan, K. Kerber, K.M. Langa, M. Banerjee, A. Rodgers, R. McCammon, J. Burke, and E. Feldman, Longitudinal patient-oriented outcomes in neuropathy: importance of early detection and falls. Neurology 85 (2015) 71-79.</w:t>
      </w:r>
    </w:p>
    <w:p w14:paraId="075C083D" w14:textId="77777777" w:rsidR="00D54BD8" w:rsidRPr="00CE45BB" w:rsidRDefault="00D54BD8" w:rsidP="00D54BD8">
      <w:pPr>
        <w:pStyle w:val="EndNoteBibliography"/>
        <w:spacing w:after="0"/>
        <w:ind w:left="720" w:hanging="720"/>
      </w:pPr>
      <w:r w:rsidRPr="00CE45BB">
        <w:t>[10] W.R. Hazzard, and J.B. Halter, Hazzard's geriatric medicine and gerontology, Univerza v Ljubljani, Medicinska fakulteta, 2009.</w:t>
      </w:r>
    </w:p>
    <w:p w14:paraId="1A2451B2" w14:textId="77777777" w:rsidR="00D54BD8" w:rsidRPr="00CE45BB" w:rsidRDefault="00D54BD8" w:rsidP="00D54BD8">
      <w:pPr>
        <w:pStyle w:val="EndNoteBibliography"/>
        <w:spacing w:after="0"/>
        <w:ind w:left="720" w:hanging="720"/>
      </w:pPr>
      <w:r w:rsidRPr="00CE45BB">
        <w:t>[11] A.F. Ambrose, G. Paul, and J.M. Hausdorff, Risk factors for falls among older adults: a review of the literature. Maturitas 75 (2013) 51-61.</w:t>
      </w:r>
    </w:p>
    <w:p w14:paraId="009AD645" w14:textId="77777777" w:rsidR="00D54BD8" w:rsidRPr="00CE45BB" w:rsidRDefault="00D54BD8" w:rsidP="00D54BD8">
      <w:pPr>
        <w:pStyle w:val="EndNoteBibliography"/>
        <w:spacing w:after="0"/>
        <w:ind w:left="720" w:hanging="720"/>
      </w:pPr>
      <w:r w:rsidRPr="00CE45BB">
        <w:t>[12] R. de Oliveira Máximo, D.C. de Oliveira, P.C. Ramírez, M.M. Luiz, A.F. de Souza, M.L.B. Delinocente, A. Steptoe, C. de Oliveira, and T. da Silva Alexandre, Dynapenia, abdominal obesity or both: which accelerates the gait speed decline most? Age and ageing 50 (2021) 1616-1625.</w:t>
      </w:r>
    </w:p>
    <w:p w14:paraId="4BE4737C" w14:textId="77777777" w:rsidR="00D54BD8" w:rsidRPr="00CE45BB" w:rsidRDefault="00D54BD8" w:rsidP="00D54BD8">
      <w:pPr>
        <w:pStyle w:val="EndNoteBibliography"/>
        <w:spacing w:after="0"/>
        <w:ind w:left="720" w:hanging="720"/>
      </w:pPr>
      <w:r w:rsidRPr="00CE45BB">
        <w:t>[13] L. Zhang, S. Liu, W. Wang, M. Sun, H. Tian, L. Wei, and Y. Wu, Dynapenic abdominal obesity and the effect on long-term gait speed and falls in older adults. Clinical nutrition 41 (2022) 91-96.</w:t>
      </w:r>
    </w:p>
    <w:p w14:paraId="2E13218A" w14:textId="77777777" w:rsidR="00D54BD8" w:rsidRPr="00CE45BB" w:rsidRDefault="00D54BD8" w:rsidP="00D54BD8">
      <w:pPr>
        <w:pStyle w:val="EndNoteBibliography"/>
        <w:spacing w:after="0"/>
        <w:ind w:left="720" w:hanging="720"/>
      </w:pPr>
      <w:r w:rsidRPr="00CE45BB">
        <w:t>[14] D. Lv, S. Shen, and X. Chen, Association between dynapenic abdominal obesity and fall risk in older adults. Clinical interventions in aging 17 (2022) 439.</w:t>
      </w:r>
    </w:p>
    <w:p w14:paraId="045A20A6" w14:textId="77777777" w:rsidR="00D54BD8" w:rsidRPr="00CE45BB" w:rsidRDefault="00D54BD8" w:rsidP="00D54BD8">
      <w:pPr>
        <w:pStyle w:val="EndNoteBibliography"/>
        <w:spacing w:after="0"/>
        <w:ind w:left="720" w:hanging="720"/>
      </w:pPr>
      <w:r w:rsidRPr="00CE45BB">
        <w:t>[15] A.B. Gadelha, S.G.R. Neri, B. Vainshelboim, A.P. Ferreira, and R.M. Lima, Dynapenic abdominal obesity and the incidence of falls in older women: a prospective study. Aging Clin Exp Res 32 (2020) 1263-1270.</w:t>
      </w:r>
    </w:p>
    <w:p w14:paraId="012A7430" w14:textId="77777777" w:rsidR="00D54BD8" w:rsidRPr="00CE45BB" w:rsidRDefault="00D54BD8" w:rsidP="00D54BD8">
      <w:pPr>
        <w:pStyle w:val="EndNoteBibliography"/>
        <w:spacing w:after="0"/>
        <w:ind w:left="720" w:hanging="720"/>
      </w:pPr>
      <w:r w:rsidRPr="00CE45BB">
        <w:t>[16] R.O. Máximo, J.L.F. Santos, M.R. Perracini, C. Oliveira, Y.A.O. Duarte, and T.D.S. Alexandre, Abdominal obesity, dynapenia and dynapenic-abdominal obesity as factors associated with falls. Braz J Phys Ther 23 (2019) 497-505.</w:t>
      </w:r>
    </w:p>
    <w:p w14:paraId="1C6DF96F" w14:textId="77777777" w:rsidR="00D54BD8" w:rsidRPr="00CE45BB" w:rsidRDefault="00D54BD8" w:rsidP="00D54BD8">
      <w:pPr>
        <w:pStyle w:val="EndNoteBibliography"/>
        <w:spacing w:after="0"/>
        <w:ind w:left="720" w:hanging="720"/>
      </w:pPr>
      <w:r w:rsidRPr="00CE45BB">
        <w:t>[17] D. Lv, S. Shen, and X. Chen, Association Between Dynapenic Abdominal Obesity and Fall Risk in Older Adults. Clin Interv Aging 17 (2022) 439-445.</w:t>
      </w:r>
    </w:p>
    <w:p w14:paraId="6EA0164B" w14:textId="77777777" w:rsidR="00D54BD8" w:rsidRPr="00CE45BB" w:rsidRDefault="00D54BD8" w:rsidP="00D54BD8">
      <w:pPr>
        <w:pStyle w:val="EndNoteBibliography"/>
        <w:spacing w:after="0"/>
        <w:ind w:left="720" w:hanging="720"/>
      </w:pPr>
      <w:r w:rsidRPr="00CE45BB">
        <w:t>[18] N. Veronese, G. Honvo, O. Bruyère, R. Rizzoli, M. Barbagallo, S. Maggi, L. Smith, S. Sabico, N. Al-Daghri, and C. Cooper, Knee osteoarthritis and adverse health outcomes: an umbrella review of meta-analyses of observational studies. Aging Clinical and Experimental Research (2022) 1-8.</w:t>
      </w:r>
    </w:p>
    <w:p w14:paraId="7D93EE71" w14:textId="77777777" w:rsidR="00D54BD8" w:rsidRPr="00CE45BB" w:rsidRDefault="00D54BD8" w:rsidP="00D54BD8">
      <w:pPr>
        <w:pStyle w:val="EndNoteBibliography"/>
        <w:spacing w:after="0"/>
        <w:ind w:left="720" w:hanging="720"/>
      </w:pPr>
      <w:r w:rsidRPr="00CE45BB">
        <w:lastRenderedPageBreak/>
        <w:t>[19] J. Chang, Z. Liao, M. Lu, T. Meng, W. Han, and C. Ding, Systemic and local adipose tissue in knee osteoarthritis. Osteoarthritis and cartilage 26 (2018) 864-871.</w:t>
      </w:r>
    </w:p>
    <w:p w14:paraId="22DBB05B" w14:textId="77777777" w:rsidR="00D54BD8" w:rsidRPr="00CE45BB" w:rsidRDefault="00D54BD8" w:rsidP="00D54BD8">
      <w:pPr>
        <w:pStyle w:val="EndNoteBibliography"/>
        <w:spacing w:after="0"/>
        <w:ind w:left="720" w:hanging="720"/>
      </w:pPr>
      <w:r w:rsidRPr="00CE45BB">
        <w:t>[20] Y. Kwak, Y. Kim, and H. Chung, Sex-associated differences in the handgrip strength of elderly individuals. Western Journal of Nursing Research 42 (2020) 262-268.</w:t>
      </w:r>
    </w:p>
    <w:p w14:paraId="4B138EAD" w14:textId="77777777" w:rsidR="00D54BD8" w:rsidRPr="00CE45BB" w:rsidRDefault="00D54BD8" w:rsidP="00D54BD8">
      <w:pPr>
        <w:pStyle w:val="EndNoteBibliography"/>
        <w:spacing w:after="0"/>
        <w:ind w:left="720" w:hanging="720"/>
      </w:pPr>
      <w:r w:rsidRPr="00CE45BB">
        <w:t>[21] D.G. Manlapaz, G. Sole, P. Jayakaran, and C.M. Chapple, Risk factors for falls in adults with knee osteoarthritis: a systematic review. Pm&amp;r 11 (2019) 745-757.</w:t>
      </w:r>
    </w:p>
    <w:p w14:paraId="0E1F3A1F" w14:textId="77777777" w:rsidR="00D54BD8" w:rsidRPr="00CE45BB" w:rsidRDefault="00D54BD8" w:rsidP="00D54BD8">
      <w:pPr>
        <w:pStyle w:val="EndNoteBibliography"/>
        <w:spacing w:after="0"/>
        <w:ind w:left="720" w:hanging="720"/>
      </w:pPr>
      <w:r w:rsidRPr="00CE45BB">
        <w:t>[22] M. Nevitt, D. Felson, and G. Lester, The osteoarthritis initiative. Protocol for the cohort study 1 (2006).</w:t>
      </w:r>
    </w:p>
    <w:p w14:paraId="2746815A" w14:textId="77777777" w:rsidR="00D54BD8" w:rsidRPr="00CE45BB" w:rsidRDefault="00D54BD8" w:rsidP="00D54BD8">
      <w:pPr>
        <w:pStyle w:val="EndNoteBibliography"/>
        <w:spacing w:after="0"/>
        <w:ind w:left="720" w:hanging="720"/>
      </w:pPr>
      <w:r w:rsidRPr="00CE45BB">
        <w:t>[23] A.J. Cruz-Jentoft, G. Bahat, J. Bauer, Y. Boirie, O. Bruyère, T. Cederholm, C. Cooper, F. Landi, Y. Rolland, and A.A. Sayer, Sarcopenia: revised European consensus on definition and diagnosis. Age and ageing 48 (2019) 16-31.</w:t>
      </w:r>
    </w:p>
    <w:p w14:paraId="7A1E1957" w14:textId="77777777" w:rsidR="00D54BD8" w:rsidRPr="00CE45BB" w:rsidRDefault="00D54BD8" w:rsidP="00D54BD8">
      <w:pPr>
        <w:pStyle w:val="EndNoteBibliography"/>
        <w:ind w:left="720" w:hanging="720"/>
      </w:pPr>
      <w:r w:rsidRPr="00CE45BB">
        <w:t>[24] W.E. World Health Organization, Waist Circumference and Waist-Hip</w:t>
      </w:r>
    </w:p>
    <w:p w14:paraId="33D83622" w14:textId="77777777" w:rsidR="00D54BD8" w:rsidRPr="00CE45BB" w:rsidRDefault="00D54BD8" w:rsidP="00D54BD8">
      <w:pPr>
        <w:pStyle w:val="EndNoteBibliography"/>
        <w:spacing w:after="0"/>
        <w:ind w:left="720" w:hanging="720"/>
      </w:pPr>
      <w:r w:rsidRPr="00CE45BB">
        <w:t>Ratio: Report of a WHO Expert Consultation, Geneva, 8–11 December 2008.  (2011).</w:t>
      </w:r>
    </w:p>
    <w:p w14:paraId="3961D6C2" w14:textId="77777777" w:rsidR="00D54BD8" w:rsidRPr="00CE45BB" w:rsidRDefault="00D54BD8" w:rsidP="00D54BD8">
      <w:pPr>
        <w:pStyle w:val="EndNoteBibliography"/>
        <w:spacing w:after="0"/>
        <w:ind w:left="720" w:hanging="720"/>
      </w:pPr>
      <w:r w:rsidRPr="00CE45BB">
        <w:t>[25] W.H. Organization, Ageing; Life Course Unit. WHO global report on falls prevention in older age. World Health Organization (2008).</w:t>
      </w:r>
    </w:p>
    <w:p w14:paraId="6F106886" w14:textId="77777777" w:rsidR="00D54BD8" w:rsidRPr="00CE45BB" w:rsidRDefault="00D54BD8" w:rsidP="00D54BD8">
      <w:pPr>
        <w:pStyle w:val="EndNoteBibliography"/>
        <w:spacing w:after="0"/>
        <w:ind w:left="720" w:hanging="720"/>
      </w:pPr>
      <w:r w:rsidRPr="00CE45BB">
        <w:t>[26] R.A. Washburn, E. McAuley, J. Katula, S.L. Mihalko, and R.A. Boileau, The physical activity scale for the elderly (PASE): evidence for validity. Journal of clinical epidemiology 52 (1999) 643-51.</w:t>
      </w:r>
    </w:p>
    <w:p w14:paraId="07C5A004" w14:textId="77777777" w:rsidR="00D54BD8" w:rsidRPr="00CE45BB" w:rsidRDefault="00D54BD8" w:rsidP="00D54BD8">
      <w:pPr>
        <w:pStyle w:val="EndNoteBibliography"/>
        <w:spacing w:after="0"/>
        <w:ind w:left="720" w:hanging="720"/>
      </w:pPr>
      <w:r w:rsidRPr="00CE45BB">
        <w:t>[27] J.N. Katz, L.C. Chang, O. Sangha, A.H. Fossel, and D.W. Bates, Can comorbidity be measured by questionnaire rather than medical record review? Medical care 34 (1996) 73-84.</w:t>
      </w:r>
    </w:p>
    <w:p w14:paraId="4BE7DD7E" w14:textId="77777777" w:rsidR="00D54BD8" w:rsidRPr="00CE45BB" w:rsidRDefault="00D54BD8" w:rsidP="00D54BD8">
      <w:pPr>
        <w:pStyle w:val="EndNoteBibliography"/>
        <w:spacing w:after="0"/>
        <w:ind w:left="720" w:hanging="720"/>
      </w:pPr>
      <w:r w:rsidRPr="00CE45BB">
        <w:t>[28] M.D. Kohn, A.A. Sassoon, and N.D. Fernando, Classifications in brief: Kellgren-Lawrence classification of osteoarthritis. Clinical Orthopaedics and Related Research® 474 (2016) 1886-1893.</w:t>
      </w:r>
    </w:p>
    <w:p w14:paraId="5DC64D04" w14:textId="77777777" w:rsidR="00D54BD8" w:rsidRPr="00CE45BB" w:rsidRDefault="00D54BD8" w:rsidP="00D54BD8">
      <w:pPr>
        <w:pStyle w:val="EndNoteBibliography"/>
        <w:spacing w:after="0"/>
        <w:ind w:left="720" w:hanging="720"/>
      </w:pPr>
      <w:r w:rsidRPr="00CE45BB">
        <w:t>[29] K. Leung, B. Zhang, J. Tan, Y. Shen, K.J. Geras, J.S. Babb, K. Cho, G. Chang, and C.M. Deniz, Prediction of total knee replacement and diagnosis of osteoarthritis by using deep learning on knee radiographs: data from the osteoarthritis initiative. Radiology 296 (2020) 584-593.</w:t>
      </w:r>
    </w:p>
    <w:p w14:paraId="6AABB516" w14:textId="77777777" w:rsidR="00D54BD8" w:rsidRPr="00CE45BB" w:rsidRDefault="00D54BD8" w:rsidP="00D54BD8">
      <w:pPr>
        <w:pStyle w:val="EndNoteBibliography"/>
        <w:spacing w:after="0"/>
        <w:ind w:left="720" w:hanging="720"/>
      </w:pPr>
      <w:r w:rsidRPr="00CE45BB">
        <w:t>[30] B. Stubbs, S. Brefka, and M.D. Denkinger, What works to prevent falls in community-dwelling older adults? Umbrella review of meta-analyses of randomized controlled trials. Physical therapy 95 (2015) 1095-1110.</w:t>
      </w:r>
    </w:p>
    <w:p w14:paraId="202F81B9" w14:textId="77777777" w:rsidR="00D54BD8" w:rsidRPr="00CE45BB" w:rsidRDefault="00D54BD8" w:rsidP="00D54BD8">
      <w:pPr>
        <w:pStyle w:val="EndNoteBibliography"/>
        <w:spacing w:after="0"/>
        <w:ind w:left="720" w:hanging="720"/>
      </w:pPr>
      <w:r w:rsidRPr="00CE45BB">
        <w:t>[31] S.-I. Lin, and M.H. Woollacott, Postural muscle responses following changing balance threats in young, stable older, and unstable older adults. Journal of motor behavior 34 (2002) 37-44.</w:t>
      </w:r>
    </w:p>
    <w:p w14:paraId="424F7633" w14:textId="77777777" w:rsidR="00D54BD8" w:rsidRPr="00CE45BB" w:rsidRDefault="00D54BD8" w:rsidP="00D54BD8">
      <w:pPr>
        <w:pStyle w:val="EndNoteBibliography"/>
        <w:spacing w:after="0"/>
        <w:ind w:left="720" w:hanging="720"/>
      </w:pPr>
      <w:r w:rsidRPr="00CE45BB">
        <w:t>[32] M. Simoneau, and N. Teasdale, Balance control impairment in obese individuals is caused by larger balance motor commands variability. Gait &amp; posture 41 (2015) 203-208.</w:t>
      </w:r>
    </w:p>
    <w:p w14:paraId="2195A764" w14:textId="77777777" w:rsidR="00D54BD8" w:rsidRPr="00CE45BB" w:rsidRDefault="00D54BD8" w:rsidP="00D54BD8">
      <w:pPr>
        <w:pStyle w:val="EndNoteBibliography"/>
        <w:spacing w:after="0"/>
        <w:ind w:left="720" w:hanging="720"/>
      </w:pPr>
      <w:r w:rsidRPr="00CE45BB">
        <w:t>[33] A.J. Cruz-Jentoft, F. Landi, S.M. Schneider, C. Zúñiga, H. Arai, Y. Boirie, L.-K. Chen, R.A. Fielding, F.C. Martin, and J.-P. Michel, Prevalence of and interventions for sarcopenia in ageing adults: a systematic review. Report of the International Sarcopenia Initiative (EWGSOP and IWGS). Age and ageing 43 (2014) 748-759.</w:t>
      </w:r>
    </w:p>
    <w:p w14:paraId="2449720D" w14:textId="77777777" w:rsidR="00D54BD8" w:rsidRPr="00CE45BB" w:rsidRDefault="00D54BD8" w:rsidP="00D54BD8">
      <w:pPr>
        <w:pStyle w:val="EndNoteBibliography"/>
        <w:ind w:left="720" w:hanging="720"/>
      </w:pPr>
      <w:r w:rsidRPr="00CE45BB">
        <w:t xml:space="preserve">[34] S.-L. Goh, M.S. Persson, J. Stocks, Y. Hou, N.J. Welton, J. Lin, M.C. Hall, M. Doherty, and W. Zhang, Relative efficacy of different exercises for pain, function, performance </w:t>
      </w:r>
      <w:r w:rsidRPr="00CE45BB">
        <w:lastRenderedPageBreak/>
        <w:t>and quality of life in knee and hip osteoarthritis: systematic review and network meta-analysis. Sports Medicine 49 (2019) 743-761.</w:t>
      </w:r>
    </w:p>
    <w:p w14:paraId="48779153" w14:textId="06B9E316" w:rsidR="00441A09" w:rsidRPr="00CE45BB" w:rsidRDefault="00441A09" w:rsidP="00441A09">
      <w:pPr>
        <w:pStyle w:val="Heading1"/>
      </w:pPr>
      <w:r w:rsidRPr="00CE45BB">
        <w:fldChar w:fldCharType="end"/>
      </w:r>
      <w:r w:rsidRPr="00CE45BB">
        <w:t xml:space="preserve"> Data Availability Statement</w:t>
      </w:r>
    </w:p>
    <w:p w14:paraId="530E8C15" w14:textId="25BD5105" w:rsidR="0088513A" w:rsidRPr="00CE45BB" w:rsidRDefault="00441A09" w:rsidP="006B2D5B">
      <w:pPr>
        <w:rPr>
          <w:rFonts w:cs="Times New Roman"/>
          <w:szCs w:val="24"/>
        </w:rPr>
      </w:pPr>
      <w:r w:rsidRPr="00CE45BB">
        <w:rPr>
          <w:rFonts w:cs="Times New Roman"/>
          <w:szCs w:val="24"/>
        </w:rPr>
        <w:t xml:space="preserve">The datasets analyzed for this study can be found in the https://www.niams.nih.gov/grants-funding/funded-research/osteoarthritis-initiative. </w:t>
      </w:r>
    </w:p>
    <w:p w14:paraId="47E112BA" w14:textId="0DF73F59" w:rsidR="00206861" w:rsidRPr="00CE45BB" w:rsidRDefault="00206861" w:rsidP="00206861">
      <w:pPr>
        <w:spacing w:line="480" w:lineRule="auto"/>
        <w:jc w:val="both"/>
        <w:sectPr w:rsidR="00206861" w:rsidRPr="00CE45BB" w:rsidSect="002207A0">
          <w:pgSz w:w="11900" w:h="16840"/>
          <w:pgMar w:top="1440" w:right="1440" w:bottom="1440" w:left="1440" w:header="708" w:footer="708" w:gutter="0"/>
          <w:cols w:space="708"/>
          <w:docGrid w:linePitch="360"/>
        </w:sectPr>
      </w:pPr>
    </w:p>
    <w:p w14:paraId="20984D01" w14:textId="77777777" w:rsidR="00206861" w:rsidRPr="00CE45BB" w:rsidRDefault="00206861" w:rsidP="00206861">
      <w:pPr>
        <w:spacing w:before="0" w:after="0"/>
        <w:rPr>
          <w:sz w:val="20"/>
          <w:szCs w:val="20"/>
        </w:rPr>
      </w:pPr>
      <w:r w:rsidRPr="00CE45BB">
        <w:rPr>
          <w:b/>
          <w:bCs/>
          <w:color w:val="000000"/>
        </w:rPr>
        <w:lastRenderedPageBreak/>
        <w:t xml:space="preserve">Table 1 </w:t>
      </w:r>
      <w:r w:rsidRPr="00CE45BB">
        <w:rPr>
          <w:color w:val="000000"/>
        </w:rPr>
        <w:t>Baseline characteristics, by incident falls during follow-up</w:t>
      </w:r>
    </w:p>
    <w:tbl>
      <w:tblPr>
        <w:tblpPr w:leftFromText="141" w:rightFromText="141" w:vertAnchor="page" w:horzAnchor="margin" w:tblpXSpec="center" w:tblpY="1997"/>
        <w:tblW w:w="5464" w:type="pct"/>
        <w:tblLayout w:type="fixed"/>
        <w:tblLook w:val="04A0" w:firstRow="1" w:lastRow="0" w:firstColumn="1" w:lastColumn="0" w:noHBand="0" w:noVBand="1"/>
      </w:tblPr>
      <w:tblGrid>
        <w:gridCol w:w="5020"/>
        <w:gridCol w:w="2291"/>
        <w:gridCol w:w="1402"/>
        <w:gridCol w:w="1386"/>
        <w:gridCol w:w="1045"/>
      </w:tblGrid>
      <w:tr w:rsidR="00206861" w:rsidRPr="00CE45BB" w14:paraId="3BA1A795" w14:textId="77777777" w:rsidTr="00B6244D">
        <w:trPr>
          <w:trHeight w:val="340"/>
        </w:trPr>
        <w:tc>
          <w:tcPr>
            <w:tcW w:w="2252" w:type="pct"/>
            <w:tcBorders>
              <w:top w:val="single" w:sz="4" w:space="0" w:color="auto"/>
              <w:left w:val="nil"/>
              <w:bottom w:val="double" w:sz="6" w:space="0" w:color="auto"/>
              <w:right w:val="nil"/>
            </w:tcBorders>
            <w:shd w:val="clear" w:color="auto" w:fill="auto"/>
            <w:noWrap/>
            <w:vAlign w:val="center"/>
            <w:hideMark/>
          </w:tcPr>
          <w:p w14:paraId="0DCED444" w14:textId="77777777" w:rsidR="00206861" w:rsidRPr="00CE45BB" w:rsidRDefault="00206861" w:rsidP="00206861">
            <w:pPr>
              <w:spacing w:before="0" w:after="0"/>
              <w:rPr>
                <w:b/>
                <w:bCs/>
                <w:color w:val="000000"/>
              </w:rPr>
            </w:pPr>
            <w:r w:rsidRPr="00CE45BB">
              <w:rPr>
                <w:b/>
                <w:bCs/>
                <w:color w:val="000000"/>
              </w:rPr>
              <w:t>Characteristic</w:t>
            </w:r>
          </w:p>
        </w:tc>
        <w:tc>
          <w:tcPr>
            <w:tcW w:w="1028" w:type="pct"/>
            <w:tcBorders>
              <w:top w:val="single" w:sz="4" w:space="0" w:color="auto"/>
              <w:left w:val="nil"/>
              <w:bottom w:val="double" w:sz="6" w:space="0" w:color="auto"/>
              <w:right w:val="nil"/>
            </w:tcBorders>
            <w:shd w:val="clear" w:color="auto" w:fill="auto"/>
            <w:noWrap/>
            <w:vAlign w:val="center"/>
            <w:hideMark/>
          </w:tcPr>
          <w:p w14:paraId="52B1F152" w14:textId="77777777" w:rsidR="00206861" w:rsidRPr="00CE45BB" w:rsidRDefault="00206861" w:rsidP="00206861">
            <w:pPr>
              <w:spacing w:before="0" w:after="0"/>
              <w:rPr>
                <w:b/>
                <w:bCs/>
                <w:color w:val="000000"/>
              </w:rPr>
            </w:pPr>
            <w:r w:rsidRPr="00CE45BB">
              <w:rPr>
                <w:b/>
                <w:bCs/>
                <w:color w:val="000000"/>
              </w:rPr>
              <w:t> Categories</w:t>
            </w:r>
          </w:p>
        </w:tc>
        <w:tc>
          <w:tcPr>
            <w:tcW w:w="629" w:type="pct"/>
            <w:tcBorders>
              <w:top w:val="single" w:sz="4" w:space="0" w:color="auto"/>
              <w:left w:val="nil"/>
              <w:bottom w:val="double" w:sz="6" w:space="0" w:color="auto"/>
              <w:right w:val="nil"/>
            </w:tcBorders>
            <w:shd w:val="clear" w:color="auto" w:fill="auto"/>
            <w:noWrap/>
            <w:vAlign w:val="center"/>
            <w:hideMark/>
          </w:tcPr>
          <w:p w14:paraId="0F83AE9C" w14:textId="77777777" w:rsidR="00206861" w:rsidRPr="00CE45BB" w:rsidRDefault="00206861" w:rsidP="00206861">
            <w:pPr>
              <w:spacing w:before="0" w:after="0"/>
              <w:rPr>
                <w:b/>
                <w:bCs/>
                <w:color w:val="000000"/>
              </w:rPr>
            </w:pPr>
            <w:r w:rsidRPr="00CE45BB">
              <w:rPr>
                <w:b/>
                <w:bCs/>
                <w:color w:val="000000"/>
              </w:rPr>
              <w:t xml:space="preserve">No incident </w:t>
            </w:r>
            <w:proofErr w:type="gramStart"/>
            <w:r w:rsidRPr="00CE45BB">
              <w:rPr>
                <w:b/>
                <w:bCs/>
                <w:color w:val="000000"/>
              </w:rPr>
              <w:t>falls</w:t>
            </w:r>
            <w:proofErr w:type="gramEnd"/>
          </w:p>
          <w:p w14:paraId="49CE45A7" w14:textId="77777777" w:rsidR="00206861" w:rsidRPr="00CE45BB" w:rsidRDefault="00206861" w:rsidP="00206861">
            <w:pPr>
              <w:spacing w:before="0" w:after="0"/>
              <w:rPr>
                <w:b/>
                <w:bCs/>
                <w:color w:val="000000"/>
              </w:rPr>
            </w:pPr>
            <w:r w:rsidRPr="00CE45BB">
              <w:rPr>
                <w:b/>
                <w:bCs/>
                <w:color w:val="000000"/>
              </w:rPr>
              <w:t>(n=1,149)</w:t>
            </w:r>
          </w:p>
        </w:tc>
        <w:tc>
          <w:tcPr>
            <w:tcW w:w="622" w:type="pct"/>
            <w:tcBorders>
              <w:top w:val="single" w:sz="4" w:space="0" w:color="auto"/>
              <w:left w:val="nil"/>
              <w:bottom w:val="double" w:sz="6" w:space="0" w:color="auto"/>
              <w:right w:val="nil"/>
            </w:tcBorders>
            <w:shd w:val="clear" w:color="auto" w:fill="auto"/>
            <w:noWrap/>
            <w:vAlign w:val="center"/>
            <w:hideMark/>
          </w:tcPr>
          <w:p w14:paraId="0952ED3D" w14:textId="77777777" w:rsidR="00206861" w:rsidRPr="00CE45BB" w:rsidRDefault="00206861" w:rsidP="00206861">
            <w:pPr>
              <w:spacing w:before="0" w:after="0"/>
              <w:rPr>
                <w:b/>
                <w:bCs/>
                <w:color w:val="000000"/>
              </w:rPr>
            </w:pPr>
            <w:r w:rsidRPr="00CE45BB">
              <w:rPr>
                <w:b/>
                <w:bCs/>
                <w:color w:val="000000"/>
              </w:rPr>
              <w:t>Incident falls</w:t>
            </w:r>
          </w:p>
          <w:p w14:paraId="4D640145" w14:textId="77777777" w:rsidR="00206861" w:rsidRPr="00CE45BB" w:rsidRDefault="00206861" w:rsidP="00206861">
            <w:pPr>
              <w:spacing w:before="0" w:after="0"/>
              <w:rPr>
                <w:b/>
                <w:bCs/>
                <w:color w:val="000000"/>
              </w:rPr>
            </w:pPr>
            <w:r w:rsidRPr="00CE45BB">
              <w:rPr>
                <w:b/>
                <w:bCs/>
                <w:color w:val="000000"/>
              </w:rPr>
              <w:t>(n=2,695)</w:t>
            </w:r>
          </w:p>
        </w:tc>
        <w:tc>
          <w:tcPr>
            <w:tcW w:w="469" w:type="pct"/>
            <w:tcBorders>
              <w:top w:val="single" w:sz="4" w:space="0" w:color="auto"/>
              <w:left w:val="nil"/>
              <w:bottom w:val="double" w:sz="6" w:space="0" w:color="auto"/>
              <w:right w:val="nil"/>
            </w:tcBorders>
            <w:shd w:val="clear" w:color="auto" w:fill="auto"/>
            <w:noWrap/>
            <w:vAlign w:val="center"/>
            <w:hideMark/>
          </w:tcPr>
          <w:p w14:paraId="1091922E" w14:textId="77777777" w:rsidR="00206861" w:rsidRPr="00CE45BB" w:rsidRDefault="00206861" w:rsidP="00206861">
            <w:pPr>
              <w:spacing w:before="0" w:after="0"/>
              <w:rPr>
                <w:b/>
                <w:bCs/>
                <w:color w:val="000000"/>
              </w:rPr>
            </w:pPr>
            <w:r w:rsidRPr="00CE45BB">
              <w:rPr>
                <w:b/>
                <w:bCs/>
                <w:color w:val="000000"/>
              </w:rPr>
              <w:t>P-</w:t>
            </w:r>
            <w:proofErr w:type="spellStart"/>
            <w:r w:rsidRPr="00CE45BB">
              <w:rPr>
                <w:b/>
                <w:bCs/>
                <w:color w:val="000000"/>
              </w:rPr>
              <w:t>value</w:t>
            </w:r>
            <w:r w:rsidRPr="00CE45BB">
              <w:rPr>
                <w:b/>
                <w:bCs/>
                <w:color w:val="000000"/>
                <w:vertAlign w:val="superscript"/>
              </w:rPr>
              <w:t>a</w:t>
            </w:r>
            <w:proofErr w:type="spellEnd"/>
          </w:p>
        </w:tc>
      </w:tr>
      <w:tr w:rsidR="00206861" w:rsidRPr="00CE45BB" w14:paraId="7328EA0D" w14:textId="77777777" w:rsidTr="00B6244D">
        <w:trPr>
          <w:trHeight w:val="340"/>
        </w:trPr>
        <w:tc>
          <w:tcPr>
            <w:tcW w:w="2252" w:type="pct"/>
            <w:tcBorders>
              <w:top w:val="nil"/>
              <w:left w:val="nil"/>
              <w:bottom w:val="nil"/>
              <w:right w:val="nil"/>
            </w:tcBorders>
            <w:shd w:val="clear" w:color="auto" w:fill="auto"/>
            <w:noWrap/>
            <w:vAlign w:val="center"/>
            <w:hideMark/>
          </w:tcPr>
          <w:p w14:paraId="43A6D3CC" w14:textId="77777777" w:rsidR="00206861" w:rsidRPr="00CE45BB" w:rsidRDefault="00206861" w:rsidP="00206861">
            <w:pPr>
              <w:spacing w:before="0" w:after="0"/>
              <w:rPr>
                <w:color w:val="000000"/>
              </w:rPr>
            </w:pPr>
            <w:r w:rsidRPr="00CE45BB">
              <w:rPr>
                <w:color w:val="000000"/>
              </w:rPr>
              <w:t>Sex (%)</w:t>
            </w:r>
          </w:p>
        </w:tc>
        <w:tc>
          <w:tcPr>
            <w:tcW w:w="1028" w:type="pct"/>
            <w:tcBorders>
              <w:top w:val="nil"/>
              <w:left w:val="nil"/>
              <w:bottom w:val="nil"/>
              <w:right w:val="nil"/>
            </w:tcBorders>
            <w:shd w:val="clear" w:color="auto" w:fill="auto"/>
            <w:noWrap/>
            <w:vAlign w:val="center"/>
            <w:hideMark/>
          </w:tcPr>
          <w:p w14:paraId="72181CB0" w14:textId="77777777" w:rsidR="00206861" w:rsidRPr="00CE45BB" w:rsidRDefault="00206861" w:rsidP="00206861">
            <w:pPr>
              <w:spacing w:before="0" w:after="0"/>
              <w:rPr>
                <w:color w:val="000000"/>
              </w:rPr>
            </w:pPr>
            <w:r w:rsidRPr="00CE45BB">
              <w:rPr>
                <w:color w:val="000000"/>
              </w:rPr>
              <w:t>Females</w:t>
            </w:r>
          </w:p>
        </w:tc>
        <w:tc>
          <w:tcPr>
            <w:tcW w:w="629" w:type="pct"/>
            <w:tcBorders>
              <w:top w:val="nil"/>
              <w:left w:val="nil"/>
              <w:bottom w:val="nil"/>
              <w:right w:val="nil"/>
            </w:tcBorders>
            <w:shd w:val="clear" w:color="auto" w:fill="auto"/>
            <w:noWrap/>
            <w:vAlign w:val="center"/>
          </w:tcPr>
          <w:p w14:paraId="22117524" w14:textId="77777777" w:rsidR="00206861" w:rsidRPr="00CE45BB" w:rsidRDefault="00206861" w:rsidP="00206861">
            <w:pPr>
              <w:spacing w:before="0" w:after="0"/>
              <w:rPr>
                <w:color w:val="000000"/>
              </w:rPr>
            </w:pPr>
            <w:r w:rsidRPr="00CE45BB">
              <w:rPr>
                <w:color w:val="000000"/>
              </w:rPr>
              <w:t>48.7</w:t>
            </w:r>
          </w:p>
        </w:tc>
        <w:tc>
          <w:tcPr>
            <w:tcW w:w="622" w:type="pct"/>
            <w:tcBorders>
              <w:top w:val="nil"/>
              <w:left w:val="nil"/>
              <w:bottom w:val="nil"/>
              <w:right w:val="nil"/>
            </w:tcBorders>
            <w:shd w:val="clear" w:color="auto" w:fill="auto"/>
            <w:noWrap/>
            <w:vAlign w:val="center"/>
          </w:tcPr>
          <w:p w14:paraId="12C79A75" w14:textId="77777777" w:rsidR="00206861" w:rsidRPr="00CE45BB" w:rsidRDefault="00206861" w:rsidP="00206861">
            <w:pPr>
              <w:spacing w:before="0" w:after="0"/>
              <w:rPr>
                <w:color w:val="000000"/>
              </w:rPr>
            </w:pPr>
            <w:r w:rsidRPr="00CE45BB">
              <w:rPr>
                <w:color w:val="000000"/>
              </w:rPr>
              <w:t>60.5</w:t>
            </w:r>
          </w:p>
        </w:tc>
        <w:tc>
          <w:tcPr>
            <w:tcW w:w="469" w:type="pct"/>
            <w:tcBorders>
              <w:top w:val="nil"/>
              <w:left w:val="nil"/>
              <w:bottom w:val="nil"/>
              <w:right w:val="nil"/>
            </w:tcBorders>
            <w:shd w:val="clear" w:color="auto" w:fill="auto"/>
            <w:noWrap/>
            <w:vAlign w:val="center"/>
          </w:tcPr>
          <w:p w14:paraId="0E7D2CB6" w14:textId="77777777" w:rsidR="00206861" w:rsidRPr="00CE45BB" w:rsidRDefault="00206861" w:rsidP="00206861">
            <w:pPr>
              <w:spacing w:before="0" w:after="0"/>
              <w:rPr>
                <w:color w:val="000000"/>
              </w:rPr>
            </w:pPr>
            <w:r w:rsidRPr="00CE45BB">
              <w:rPr>
                <w:color w:val="000000"/>
              </w:rPr>
              <w:t>&lt;0.0001</w:t>
            </w:r>
          </w:p>
        </w:tc>
      </w:tr>
      <w:tr w:rsidR="00206861" w:rsidRPr="00CE45BB" w14:paraId="5FDAEC4D" w14:textId="77777777" w:rsidTr="00B6244D">
        <w:trPr>
          <w:trHeight w:val="320"/>
        </w:trPr>
        <w:tc>
          <w:tcPr>
            <w:tcW w:w="2252" w:type="pct"/>
            <w:tcBorders>
              <w:top w:val="nil"/>
              <w:left w:val="nil"/>
              <w:bottom w:val="nil"/>
              <w:right w:val="nil"/>
            </w:tcBorders>
            <w:shd w:val="clear" w:color="auto" w:fill="auto"/>
            <w:noWrap/>
            <w:vAlign w:val="center"/>
            <w:hideMark/>
          </w:tcPr>
          <w:p w14:paraId="03A7EDD0" w14:textId="77777777" w:rsidR="00206861" w:rsidRPr="00CE45BB" w:rsidRDefault="00206861" w:rsidP="00206861">
            <w:pPr>
              <w:spacing w:before="0" w:after="0"/>
              <w:rPr>
                <w:color w:val="000000"/>
              </w:rPr>
            </w:pPr>
            <w:r w:rsidRPr="00CE45BB">
              <w:rPr>
                <w:color w:val="000000"/>
              </w:rPr>
              <w:t>Age (years)</w:t>
            </w:r>
          </w:p>
        </w:tc>
        <w:tc>
          <w:tcPr>
            <w:tcW w:w="1028" w:type="pct"/>
            <w:tcBorders>
              <w:top w:val="nil"/>
              <w:left w:val="nil"/>
              <w:bottom w:val="nil"/>
              <w:right w:val="nil"/>
            </w:tcBorders>
            <w:shd w:val="clear" w:color="auto" w:fill="auto"/>
            <w:noWrap/>
            <w:vAlign w:val="center"/>
            <w:hideMark/>
          </w:tcPr>
          <w:p w14:paraId="5C5AE60E" w14:textId="77777777" w:rsidR="00206861" w:rsidRPr="00CE45BB" w:rsidRDefault="00206861" w:rsidP="00206861">
            <w:pPr>
              <w:spacing w:before="0" w:after="0"/>
              <w:rPr>
                <w:color w:val="000000"/>
              </w:rPr>
            </w:pPr>
            <w:r w:rsidRPr="00CE45BB">
              <w:rPr>
                <w:color w:val="000000"/>
              </w:rPr>
              <w:t>Mean (SD)</w:t>
            </w:r>
          </w:p>
        </w:tc>
        <w:tc>
          <w:tcPr>
            <w:tcW w:w="629" w:type="pct"/>
            <w:tcBorders>
              <w:top w:val="nil"/>
              <w:left w:val="nil"/>
              <w:bottom w:val="nil"/>
              <w:right w:val="nil"/>
            </w:tcBorders>
            <w:shd w:val="clear" w:color="auto" w:fill="auto"/>
            <w:noWrap/>
            <w:vAlign w:val="center"/>
          </w:tcPr>
          <w:p w14:paraId="26388858" w14:textId="77777777" w:rsidR="00206861" w:rsidRPr="00CE45BB" w:rsidRDefault="00206861" w:rsidP="00206861">
            <w:pPr>
              <w:spacing w:before="0" w:after="0"/>
            </w:pPr>
            <w:r w:rsidRPr="00CE45BB">
              <w:t>60.9 (9.1)</w:t>
            </w:r>
          </w:p>
        </w:tc>
        <w:tc>
          <w:tcPr>
            <w:tcW w:w="622" w:type="pct"/>
            <w:tcBorders>
              <w:top w:val="nil"/>
              <w:left w:val="nil"/>
              <w:bottom w:val="nil"/>
              <w:right w:val="nil"/>
            </w:tcBorders>
            <w:shd w:val="clear" w:color="auto" w:fill="auto"/>
            <w:noWrap/>
            <w:vAlign w:val="center"/>
          </w:tcPr>
          <w:p w14:paraId="61D368F7" w14:textId="77777777" w:rsidR="00206861" w:rsidRPr="00CE45BB" w:rsidRDefault="00206861" w:rsidP="00206861">
            <w:pPr>
              <w:spacing w:before="0" w:after="0"/>
            </w:pPr>
            <w:r w:rsidRPr="00CE45BB">
              <w:t>61.3 (9.1)</w:t>
            </w:r>
          </w:p>
        </w:tc>
        <w:tc>
          <w:tcPr>
            <w:tcW w:w="469" w:type="pct"/>
            <w:tcBorders>
              <w:top w:val="nil"/>
              <w:left w:val="nil"/>
              <w:bottom w:val="nil"/>
              <w:right w:val="nil"/>
            </w:tcBorders>
            <w:shd w:val="clear" w:color="auto" w:fill="auto"/>
            <w:noWrap/>
            <w:vAlign w:val="center"/>
          </w:tcPr>
          <w:p w14:paraId="066EB323" w14:textId="77777777" w:rsidR="00206861" w:rsidRPr="00CE45BB" w:rsidRDefault="00206861" w:rsidP="00206861">
            <w:pPr>
              <w:spacing w:before="0" w:after="0"/>
              <w:rPr>
                <w:color w:val="000000"/>
              </w:rPr>
            </w:pPr>
            <w:r w:rsidRPr="00CE45BB">
              <w:rPr>
                <w:color w:val="000000"/>
              </w:rPr>
              <w:t>0.21</w:t>
            </w:r>
          </w:p>
        </w:tc>
      </w:tr>
      <w:tr w:rsidR="00206861" w:rsidRPr="00CE45BB" w14:paraId="467D63AB" w14:textId="77777777" w:rsidTr="00B6244D">
        <w:trPr>
          <w:trHeight w:val="320"/>
        </w:trPr>
        <w:tc>
          <w:tcPr>
            <w:tcW w:w="2252" w:type="pct"/>
            <w:tcBorders>
              <w:top w:val="nil"/>
              <w:left w:val="nil"/>
              <w:bottom w:val="nil"/>
              <w:right w:val="nil"/>
            </w:tcBorders>
            <w:shd w:val="clear" w:color="auto" w:fill="auto"/>
            <w:noWrap/>
            <w:vAlign w:val="center"/>
          </w:tcPr>
          <w:p w14:paraId="6CA834B7" w14:textId="77777777" w:rsidR="00206861" w:rsidRPr="00CE45BB" w:rsidRDefault="00206861" w:rsidP="00206861">
            <w:pPr>
              <w:spacing w:before="0" w:after="0"/>
              <w:rPr>
                <w:color w:val="000000"/>
              </w:rPr>
            </w:pPr>
            <w:r w:rsidRPr="00CE45BB">
              <w:rPr>
                <w:color w:val="000000"/>
              </w:rPr>
              <w:t>Whites (%)</w:t>
            </w:r>
          </w:p>
        </w:tc>
        <w:tc>
          <w:tcPr>
            <w:tcW w:w="1028" w:type="pct"/>
            <w:tcBorders>
              <w:top w:val="nil"/>
              <w:left w:val="nil"/>
              <w:bottom w:val="nil"/>
              <w:right w:val="nil"/>
            </w:tcBorders>
            <w:shd w:val="clear" w:color="auto" w:fill="auto"/>
            <w:noWrap/>
            <w:vAlign w:val="center"/>
          </w:tcPr>
          <w:p w14:paraId="0BFB3C28" w14:textId="77777777" w:rsidR="00206861" w:rsidRPr="00CE45BB" w:rsidRDefault="00206861" w:rsidP="00206861">
            <w:pPr>
              <w:spacing w:before="0" w:after="0"/>
              <w:rPr>
                <w:color w:val="000000"/>
              </w:rPr>
            </w:pPr>
            <w:r w:rsidRPr="00CE45BB">
              <w:rPr>
                <w:color w:val="000000"/>
              </w:rPr>
              <w:t>Yes</w:t>
            </w:r>
          </w:p>
        </w:tc>
        <w:tc>
          <w:tcPr>
            <w:tcW w:w="629" w:type="pct"/>
            <w:tcBorders>
              <w:top w:val="nil"/>
              <w:left w:val="nil"/>
              <w:bottom w:val="nil"/>
              <w:right w:val="nil"/>
            </w:tcBorders>
            <w:shd w:val="clear" w:color="auto" w:fill="auto"/>
            <w:noWrap/>
            <w:vAlign w:val="center"/>
          </w:tcPr>
          <w:p w14:paraId="403F7EC2" w14:textId="77777777" w:rsidR="00206861" w:rsidRPr="00CE45BB" w:rsidRDefault="00206861" w:rsidP="00206861">
            <w:pPr>
              <w:spacing w:before="0" w:after="0"/>
            </w:pPr>
            <w:r w:rsidRPr="00CE45BB">
              <w:t>76.7</w:t>
            </w:r>
          </w:p>
        </w:tc>
        <w:tc>
          <w:tcPr>
            <w:tcW w:w="622" w:type="pct"/>
            <w:tcBorders>
              <w:top w:val="nil"/>
              <w:left w:val="nil"/>
              <w:bottom w:val="nil"/>
              <w:right w:val="nil"/>
            </w:tcBorders>
            <w:shd w:val="clear" w:color="auto" w:fill="auto"/>
            <w:noWrap/>
            <w:vAlign w:val="center"/>
          </w:tcPr>
          <w:p w14:paraId="5EEEA31B" w14:textId="77777777" w:rsidR="00206861" w:rsidRPr="00CE45BB" w:rsidRDefault="00206861" w:rsidP="00206861">
            <w:pPr>
              <w:spacing w:before="0" w:after="0"/>
            </w:pPr>
            <w:r w:rsidRPr="00CE45BB">
              <w:t>83.2</w:t>
            </w:r>
          </w:p>
        </w:tc>
        <w:tc>
          <w:tcPr>
            <w:tcW w:w="469" w:type="pct"/>
            <w:tcBorders>
              <w:top w:val="nil"/>
              <w:left w:val="nil"/>
              <w:bottom w:val="nil"/>
              <w:right w:val="nil"/>
            </w:tcBorders>
            <w:shd w:val="clear" w:color="auto" w:fill="auto"/>
            <w:noWrap/>
            <w:vAlign w:val="center"/>
          </w:tcPr>
          <w:p w14:paraId="03F4195B" w14:textId="77777777" w:rsidR="00206861" w:rsidRPr="00CE45BB" w:rsidRDefault="00206861" w:rsidP="00206861">
            <w:pPr>
              <w:spacing w:before="0" w:after="0"/>
              <w:rPr>
                <w:color w:val="000000"/>
              </w:rPr>
            </w:pPr>
            <w:r w:rsidRPr="00CE45BB">
              <w:rPr>
                <w:color w:val="000000"/>
              </w:rPr>
              <w:t>&lt;0.0001</w:t>
            </w:r>
          </w:p>
        </w:tc>
      </w:tr>
      <w:tr w:rsidR="00206861" w:rsidRPr="00CE45BB" w14:paraId="72627272" w14:textId="77777777" w:rsidTr="00B6244D">
        <w:trPr>
          <w:trHeight w:val="320"/>
        </w:trPr>
        <w:tc>
          <w:tcPr>
            <w:tcW w:w="2252" w:type="pct"/>
            <w:tcBorders>
              <w:top w:val="nil"/>
              <w:left w:val="nil"/>
              <w:bottom w:val="nil"/>
              <w:right w:val="nil"/>
            </w:tcBorders>
            <w:shd w:val="clear" w:color="auto" w:fill="auto"/>
            <w:noWrap/>
            <w:vAlign w:val="center"/>
            <w:hideMark/>
          </w:tcPr>
          <w:p w14:paraId="53656605" w14:textId="77777777" w:rsidR="00206861" w:rsidRPr="00CE45BB" w:rsidRDefault="00206861" w:rsidP="00206861">
            <w:pPr>
              <w:spacing w:before="0" w:after="0"/>
              <w:rPr>
                <w:color w:val="000000"/>
              </w:rPr>
            </w:pPr>
            <w:r w:rsidRPr="00CE45BB">
              <w:rPr>
                <w:color w:val="000000"/>
              </w:rPr>
              <w:t>Education</w:t>
            </w:r>
          </w:p>
        </w:tc>
        <w:tc>
          <w:tcPr>
            <w:tcW w:w="1028" w:type="pct"/>
            <w:tcBorders>
              <w:top w:val="nil"/>
              <w:left w:val="nil"/>
              <w:bottom w:val="nil"/>
              <w:right w:val="nil"/>
            </w:tcBorders>
            <w:shd w:val="clear" w:color="auto" w:fill="auto"/>
            <w:noWrap/>
            <w:vAlign w:val="center"/>
            <w:hideMark/>
          </w:tcPr>
          <w:p w14:paraId="7407B1EB" w14:textId="77777777" w:rsidR="00206861" w:rsidRPr="00CE45BB" w:rsidRDefault="00206861" w:rsidP="00206861">
            <w:pPr>
              <w:spacing w:before="0" w:after="0"/>
              <w:rPr>
                <w:color w:val="000000"/>
              </w:rPr>
            </w:pPr>
            <w:r w:rsidRPr="00CE45BB">
              <w:rPr>
                <w:color w:val="000000"/>
              </w:rPr>
              <w:t>College</w:t>
            </w:r>
          </w:p>
        </w:tc>
        <w:tc>
          <w:tcPr>
            <w:tcW w:w="629" w:type="pct"/>
            <w:tcBorders>
              <w:top w:val="nil"/>
              <w:left w:val="nil"/>
              <w:bottom w:val="nil"/>
              <w:right w:val="nil"/>
            </w:tcBorders>
            <w:shd w:val="clear" w:color="auto" w:fill="auto"/>
            <w:noWrap/>
            <w:vAlign w:val="center"/>
          </w:tcPr>
          <w:p w14:paraId="664177FC" w14:textId="77777777" w:rsidR="00206861" w:rsidRPr="00CE45BB" w:rsidRDefault="00206861" w:rsidP="00206861">
            <w:pPr>
              <w:spacing w:before="0" w:after="0"/>
              <w:rPr>
                <w:color w:val="000000"/>
              </w:rPr>
            </w:pPr>
            <w:r w:rsidRPr="00CE45BB">
              <w:rPr>
                <w:color w:val="000000"/>
              </w:rPr>
              <w:t>29.3</w:t>
            </w:r>
          </w:p>
        </w:tc>
        <w:tc>
          <w:tcPr>
            <w:tcW w:w="622" w:type="pct"/>
            <w:tcBorders>
              <w:top w:val="nil"/>
              <w:left w:val="nil"/>
              <w:bottom w:val="nil"/>
              <w:right w:val="nil"/>
            </w:tcBorders>
            <w:shd w:val="clear" w:color="auto" w:fill="auto"/>
            <w:noWrap/>
            <w:vAlign w:val="center"/>
          </w:tcPr>
          <w:p w14:paraId="78A4E2DF" w14:textId="77777777" w:rsidR="00206861" w:rsidRPr="00CE45BB" w:rsidRDefault="00206861" w:rsidP="00206861">
            <w:pPr>
              <w:spacing w:before="0" w:after="0"/>
              <w:rPr>
                <w:color w:val="000000"/>
              </w:rPr>
            </w:pPr>
            <w:r w:rsidRPr="00CE45BB">
              <w:rPr>
                <w:color w:val="000000"/>
              </w:rPr>
              <w:t>32.3</w:t>
            </w:r>
          </w:p>
        </w:tc>
        <w:tc>
          <w:tcPr>
            <w:tcW w:w="469" w:type="pct"/>
            <w:tcBorders>
              <w:top w:val="nil"/>
              <w:left w:val="nil"/>
              <w:bottom w:val="nil"/>
              <w:right w:val="nil"/>
            </w:tcBorders>
            <w:shd w:val="clear" w:color="auto" w:fill="auto"/>
            <w:noWrap/>
            <w:vAlign w:val="center"/>
          </w:tcPr>
          <w:p w14:paraId="68A08D87" w14:textId="77777777" w:rsidR="00206861" w:rsidRPr="00CE45BB" w:rsidRDefault="00206861" w:rsidP="00206861">
            <w:pPr>
              <w:spacing w:before="0" w:after="0"/>
              <w:rPr>
                <w:color w:val="000000"/>
              </w:rPr>
            </w:pPr>
            <w:r w:rsidRPr="00CE45BB">
              <w:rPr>
                <w:color w:val="000000"/>
              </w:rPr>
              <w:t>0.07</w:t>
            </w:r>
          </w:p>
        </w:tc>
      </w:tr>
      <w:tr w:rsidR="00206861" w:rsidRPr="00CE45BB" w14:paraId="4E7DF128" w14:textId="77777777" w:rsidTr="00B6244D">
        <w:trPr>
          <w:trHeight w:val="320"/>
        </w:trPr>
        <w:tc>
          <w:tcPr>
            <w:tcW w:w="2252" w:type="pct"/>
            <w:tcBorders>
              <w:top w:val="nil"/>
              <w:left w:val="nil"/>
              <w:bottom w:val="nil"/>
              <w:right w:val="nil"/>
            </w:tcBorders>
            <w:shd w:val="clear" w:color="auto" w:fill="auto"/>
            <w:noWrap/>
            <w:vAlign w:val="center"/>
            <w:hideMark/>
          </w:tcPr>
          <w:p w14:paraId="45CD69AA" w14:textId="77777777" w:rsidR="00206861" w:rsidRPr="00CE45BB" w:rsidRDefault="00206861" w:rsidP="00206861">
            <w:pPr>
              <w:spacing w:before="0" w:after="0"/>
              <w:rPr>
                <w:color w:val="000000"/>
              </w:rPr>
            </w:pPr>
            <w:r w:rsidRPr="00CE45BB">
              <w:rPr>
                <w:color w:val="000000"/>
              </w:rPr>
              <w:t>Active smoker (%)</w:t>
            </w:r>
          </w:p>
        </w:tc>
        <w:tc>
          <w:tcPr>
            <w:tcW w:w="1028" w:type="pct"/>
            <w:tcBorders>
              <w:top w:val="nil"/>
              <w:left w:val="nil"/>
              <w:bottom w:val="nil"/>
              <w:right w:val="nil"/>
            </w:tcBorders>
            <w:shd w:val="clear" w:color="auto" w:fill="auto"/>
            <w:noWrap/>
            <w:vAlign w:val="center"/>
          </w:tcPr>
          <w:p w14:paraId="745B681C" w14:textId="77777777" w:rsidR="00206861" w:rsidRPr="00CE45BB" w:rsidRDefault="00206861" w:rsidP="00206861">
            <w:pPr>
              <w:spacing w:before="0" w:after="0"/>
              <w:rPr>
                <w:color w:val="000000"/>
              </w:rPr>
            </w:pPr>
            <w:r w:rsidRPr="00CE45BB">
              <w:rPr>
                <w:color w:val="000000"/>
              </w:rPr>
              <w:t>Yes</w:t>
            </w:r>
          </w:p>
        </w:tc>
        <w:tc>
          <w:tcPr>
            <w:tcW w:w="629" w:type="pct"/>
            <w:tcBorders>
              <w:top w:val="nil"/>
              <w:left w:val="nil"/>
              <w:bottom w:val="nil"/>
              <w:right w:val="nil"/>
            </w:tcBorders>
            <w:shd w:val="clear" w:color="auto" w:fill="auto"/>
            <w:noWrap/>
            <w:vAlign w:val="center"/>
          </w:tcPr>
          <w:p w14:paraId="71B5F3B4" w14:textId="77777777" w:rsidR="00206861" w:rsidRPr="00CE45BB" w:rsidRDefault="00206861" w:rsidP="00206861">
            <w:pPr>
              <w:spacing w:before="0" w:after="0"/>
              <w:rPr>
                <w:color w:val="000000"/>
              </w:rPr>
            </w:pPr>
            <w:r w:rsidRPr="00CE45BB">
              <w:rPr>
                <w:color w:val="000000"/>
              </w:rPr>
              <w:t>45.0</w:t>
            </w:r>
          </w:p>
        </w:tc>
        <w:tc>
          <w:tcPr>
            <w:tcW w:w="622" w:type="pct"/>
            <w:tcBorders>
              <w:top w:val="nil"/>
              <w:left w:val="nil"/>
              <w:bottom w:val="nil"/>
              <w:right w:val="nil"/>
            </w:tcBorders>
            <w:shd w:val="clear" w:color="auto" w:fill="auto"/>
            <w:noWrap/>
            <w:vAlign w:val="center"/>
          </w:tcPr>
          <w:p w14:paraId="6C533234" w14:textId="77777777" w:rsidR="00206861" w:rsidRPr="00CE45BB" w:rsidRDefault="00206861" w:rsidP="00206861">
            <w:pPr>
              <w:spacing w:before="0" w:after="0"/>
              <w:rPr>
                <w:color w:val="000000"/>
              </w:rPr>
            </w:pPr>
            <w:r w:rsidRPr="00CE45BB">
              <w:rPr>
                <w:color w:val="000000"/>
              </w:rPr>
              <w:t>46.8</w:t>
            </w:r>
          </w:p>
        </w:tc>
        <w:tc>
          <w:tcPr>
            <w:tcW w:w="469" w:type="pct"/>
            <w:tcBorders>
              <w:top w:val="nil"/>
              <w:left w:val="nil"/>
              <w:bottom w:val="nil"/>
              <w:right w:val="nil"/>
            </w:tcBorders>
            <w:shd w:val="clear" w:color="auto" w:fill="auto"/>
            <w:noWrap/>
            <w:vAlign w:val="center"/>
          </w:tcPr>
          <w:p w14:paraId="4EB9F1CC" w14:textId="77777777" w:rsidR="00206861" w:rsidRPr="00CE45BB" w:rsidRDefault="00206861" w:rsidP="00206861">
            <w:pPr>
              <w:spacing w:before="0" w:after="0"/>
              <w:rPr>
                <w:color w:val="000000"/>
              </w:rPr>
            </w:pPr>
            <w:r w:rsidRPr="00CE45BB">
              <w:rPr>
                <w:color w:val="000000"/>
              </w:rPr>
              <w:t>0.33</w:t>
            </w:r>
          </w:p>
        </w:tc>
      </w:tr>
      <w:tr w:rsidR="00206861" w:rsidRPr="00CE45BB" w14:paraId="2A36B7EA" w14:textId="77777777" w:rsidTr="00B6244D">
        <w:trPr>
          <w:trHeight w:val="320"/>
        </w:trPr>
        <w:tc>
          <w:tcPr>
            <w:tcW w:w="2252" w:type="pct"/>
            <w:tcBorders>
              <w:top w:val="nil"/>
              <w:left w:val="nil"/>
              <w:bottom w:val="nil"/>
              <w:right w:val="nil"/>
            </w:tcBorders>
            <w:shd w:val="clear" w:color="auto" w:fill="auto"/>
            <w:noWrap/>
            <w:vAlign w:val="center"/>
          </w:tcPr>
          <w:p w14:paraId="50996166" w14:textId="77777777" w:rsidR="00206861" w:rsidRPr="00CE45BB" w:rsidRDefault="00206861" w:rsidP="00206861">
            <w:pPr>
              <w:spacing w:before="0" w:after="0"/>
              <w:rPr>
                <w:color w:val="000000"/>
              </w:rPr>
            </w:pPr>
            <w:r w:rsidRPr="00CE45BB">
              <w:rPr>
                <w:color w:val="000000"/>
              </w:rPr>
              <w:t>Yearly income (%)</w:t>
            </w:r>
          </w:p>
        </w:tc>
        <w:tc>
          <w:tcPr>
            <w:tcW w:w="1028" w:type="pct"/>
            <w:tcBorders>
              <w:top w:val="nil"/>
              <w:left w:val="nil"/>
              <w:bottom w:val="nil"/>
              <w:right w:val="nil"/>
            </w:tcBorders>
            <w:shd w:val="clear" w:color="auto" w:fill="auto"/>
            <w:noWrap/>
            <w:vAlign w:val="center"/>
          </w:tcPr>
          <w:p w14:paraId="273A660A" w14:textId="77777777" w:rsidR="00206861" w:rsidRPr="00CE45BB" w:rsidRDefault="00206861" w:rsidP="00206861">
            <w:pPr>
              <w:spacing w:before="0" w:after="0"/>
              <w:rPr>
                <w:color w:val="000000"/>
              </w:rPr>
            </w:pPr>
            <w:r w:rsidRPr="00CE45BB">
              <w:rPr>
                <w:color w:val="000000"/>
              </w:rPr>
              <w:t>&gt;50,000 $</w:t>
            </w:r>
          </w:p>
        </w:tc>
        <w:tc>
          <w:tcPr>
            <w:tcW w:w="629" w:type="pct"/>
            <w:tcBorders>
              <w:top w:val="nil"/>
              <w:left w:val="nil"/>
              <w:bottom w:val="nil"/>
              <w:right w:val="nil"/>
            </w:tcBorders>
            <w:shd w:val="clear" w:color="auto" w:fill="auto"/>
            <w:noWrap/>
            <w:vAlign w:val="center"/>
          </w:tcPr>
          <w:p w14:paraId="06695B43" w14:textId="77777777" w:rsidR="00206861" w:rsidRPr="00CE45BB" w:rsidRDefault="00206861" w:rsidP="00206861">
            <w:pPr>
              <w:spacing w:before="0" w:after="0"/>
              <w:rPr>
                <w:color w:val="000000"/>
              </w:rPr>
            </w:pPr>
            <w:r w:rsidRPr="00CE45BB">
              <w:rPr>
                <w:color w:val="000000"/>
              </w:rPr>
              <w:t>34.6</w:t>
            </w:r>
          </w:p>
        </w:tc>
        <w:tc>
          <w:tcPr>
            <w:tcW w:w="622" w:type="pct"/>
            <w:tcBorders>
              <w:top w:val="nil"/>
              <w:left w:val="nil"/>
              <w:bottom w:val="nil"/>
              <w:right w:val="nil"/>
            </w:tcBorders>
            <w:shd w:val="clear" w:color="auto" w:fill="auto"/>
            <w:noWrap/>
            <w:vAlign w:val="center"/>
          </w:tcPr>
          <w:p w14:paraId="12DED3B6" w14:textId="77777777" w:rsidR="00206861" w:rsidRPr="00CE45BB" w:rsidRDefault="00206861" w:rsidP="00206861">
            <w:pPr>
              <w:spacing w:before="0" w:after="0"/>
              <w:rPr>
                <w:color w:val="000000"/>
              </w:rPr>
            </w:pPr>
            <w:r w:rsidRPr="00CE45BB">
              <w:rPr>
                <w:color w:val="000000"/>
              </w:rPr>
              <w:t>35.2</w:t>
            </w:r>
          </w:p>
        </w:tc>
        <w:tc>
          <w:tcPr>
            <w:tcW w:w="469" w:type="pct"/>
            <w:tcBorders>
              <w:top w:val="nil"/>
              <w:left w:val="nil"/>
              <w:bottom w:val="nil"/>
              <w:right w:val="nil"/>
            </w:tcBorders>
            <w:shd w:val="clear" w:color="auto" w:fill="auto"/>
            <w:noWrap/>
            <w:vAlign w:val="center"/>
          </w:tcPr>
          <w:p w14:paraId="096CB3B4" w14:textId="77777777" w:rsidR="00206861" w:rsidRPr="00CE45BB" w:rsidRDefault="00206861" w:rsidP="00206861">
            <w:pPr>
              <w:spacing w:before="0" w:after="0"/>
              <w:rPr>
                <w:color w:val="000000"/>
              </w:rPr>
            </w:pPr>
            <w:r w:rsidRPr="00CE45BB">
              <w:rPr>
                <w:color w:val="000000"/>
              </w:rPr>
              <w:t>0.73</w:t>
            </w:r>
          </w:p>
        </w:tc>
      </w:tr>
      <w:tr w:rsidR="00206861" w:rsidRPr="00CE45BB" w14:paraId="0E058145" w14:textId="77777777" w:rsidTr="00B6244D">
        <w:trPr>
          <w:trHeight w:val="320"/>
        </w:trPr>
        <w:tc>
          <w:tcPr>
            <w:tcW w:w="2252" w:type="pct"/>
            <w:tcBorders>
              <w:top w:val="nil"/>
              <w:left w:val="nil"/>
              <w:bottom w:val="nil"/>
              <w:right w:val="nil"/>
            </w:tcBorders>
            <w:shd w:val="clear" w:color="auto" w:fill="auto"/>
            <w:noWrap/>
            <w:vAlign w:val="center"/>
            <w:hideMark/>
          </w:tcPr>
          <w:p w14:paraId="103A5657" w14:textId="77777777" w:rsidR="00206861" w:rsidRPr="00CE45BB" w:rsidRDefault="00206861" w:rsidP="00206861">
            <w:pPr>
              <w:spacing w:before="0" w:after="0"/>
              <w:rPr>
                <w:color w:val="000000"/>
              </w:rPr>
            </w:pPr>
            <w:r w:rsidRPr="00CE45BB">
              <w:rPr>
                <w:color w:val="000000"/>
              </w:rPr>
              <w:t>Number of alcoholic drinks in a typical week</w:t>
            </w:r>
          </w:p>
        </w:tc>
        <w:tc>
          <w:tcPr>
            <w:tcW w:w="1028" w:type="pct"/>
            <w:tcBorders>
              <w:top w:val="nil"/>
              <w:left w:val="nil"/>
              <w:bottom w:val="nil"/>
              <w:right w:val="nil"/>
            </w:tcBorders>
            <w:shd w:val="clear" w:color="auto" w:fill="auto"/>
            <w:noWrap/>
            <w:vAlign w:val="center"/>
          </w:tcPr>
          <w:p w14:paraId="290F0247" w14:textId="77777777" w:rsidR="00206861" w:rsidRPr="00CE45BB" w:rsidRDefault="00206861" w:rsidP="00206861">
            <w:pPr>
              <w:spacing w:before="0" w:after="0"/>
              <w:rPr>
                <w:color w:val="000000"/>
              </w:rPr>
            </w:pPr>
            <w:r w:rsidRPr="00CE45BB">
              <w:rPr>
                <w:color w:val="000000"/>
              </w:rPr>
              <w:t>Mean (SD)</w:t>
            </w:r>
          </w:p>
        </w:tc>
        <w:tc>
          <w:tcPr>
            <w:tcW w:w="629" w:type="pct"/>
            <w:tcBorders>
              <w:top w:val="nil"/>
              <w:left w:val="nil"/>
              <w:bottom w:val="nil"/>
              <w:right w:val="nil"/>
            </w:tcBorders>
            <w:shd w:val="clear" w:color="auto" w:fill="auto"/>
            <w:noWrap/>
            <w:vAlign w:val="center"/>
          </w:tcPr>
          <w:p w14:paraId="3FD719E3" w14:textId="77777777" w:rsidR="00206861" w:rsidRPr="00CE45BB" w:rsidRDefault="00206861" w:rsidP="00206861">
            <w:pPr>
              <w:spacing w:before="0" w:after="0"/>
              <w:rPr>
                <w:color w:val="000000"/>
              </w:rPr>
            </w:pPr>
            <w:r w:rsidRPr="00CE45BB">
              <w:rPr>
                <w:color w:val="000000"/>
              </w:rPr>
              <w:t>1.68 (1.46)</w:t>
            </w:r>
          </w:p>
        </w:tc>
        <w:tc>
          <w:tcPr>
            <w:tcW w:w="622" w:type="pct"/>
            <w:tcBorders>
              <w:top w:val="nil"/>
              <w:left w:val="nil"/>
              <w:bottom w:val="nil"/>
              <w:right w:val="nil"/>
            </w:tcBorders>
            <w:shd w:val="clear" w:color="auto" w:fill="auto"/>
            <w:noWrap/>
            <w:vAlign w:val="center"/>
          </w:tcPr>
          <w:p w14:paraId="3A08E6DE" w14:textId="77777777" w:rsidR="00206861" w:rsidRPr="00CE45BB" w:rsidRDefault="00206861" w:rsidP="00206861">
            <w:pPr>
              <w:spacing w:before="0" w:after="0"/>
              <w:rPr>
                <w:color w:val="000000"/>
              </w:rPr>
            </w:pPr>
            <w:r w:rsidRPr="00CE45BB">
              <w:rPr>
                <w:color w:val="000000"/>
              </w:rPr>
              <w:t>1.78 (1.48)</w:t>
            </w:r>
          </w:p>
        </w:tc>
        <w:tc>
          <w:tcPr>
            <w:tcW w:w="469" w:type="pct"/>
            <w:tcBorders>
              <w:top w:val="nil"/>
              <w:left w:val="nil"/>
              <w:bottom w:val="nil"/>
              <w:right w:val="nil"/>
            </w:tcBorders>
            <w:shd w:val="clear" w:color="auto" w:fill="auto"/>
            <w:noWrap/>
            <w:vAlign w:val="center"/>
          </w:tcPr>
          <w:p w14:paraId="028D9E7B" w14:textId="77777777" w:rsidR="00206861" w:rsidRPr="00CE45BB" w:rsidRDefault="00206861" w:rsidP="00206861">
            <w:pPr>
              <w:spacing w:before="0" w:after="0"/>
              <w:rPr>
                <w:color w:val="000000"/>
              </w:rPr>
            </w:pPr>
            <w:r w:rsidRPr="00CE45BB">
              <w:rPr>
                <w:color w:val="000000"/>
              </w:rPr>
              <w:t>0.06</w:t>
            </w:r>
          </w:p>
        </w:tc>
      </w:tr>
      <w:tr w:rsidR="00206861" w:rsidRPr="00CE45BB" w14:paraId="29B8DC53" w14:textId="77777777" w:rsidTr="00B6244D">
        <w:trPr>
          <w:trHeight w:val="320"/>
        </w:trPr>
        <w:tc>
          <w:tcPr>
            <w:tcW w:w="2252" w:type="pct"/>
            <w:tcBorders>
              <w:top w:val="nil"/>
              <w:left w:val="nil"/>
              <w:bottom w:val="nil"/>
              <w:right w:val="nil"/>
            </w:tcBorders>
            <w:shd w:val="clear" w:color="auto" w:fill="auto"/>
            <w:noWrap/>
            <w:vAlign w:val="center"/>
            <w:hideMark/>
          </w:tcPr>
          <w:p w14:paraId="043CEA78" w14:textId="77777777" w:rsidR="00206861" w:rsidRPr="00CE45BB" w:rsidRDefault="00206861" w:rsidP="00206861">
            <w:pPr>
              <w:spacing w:before="0" w:after="0"/>
              <w:rPr>
                <w:color w:val="000000"/>
              </w:rPr>
            </w:pPr>
            <w:r w:rsidRPr="00CE45BB">
              <w:rPr>
                <w:color w:val="000000"/>
              </w:rPr>
              <w:t>Physical activity scale for the Elderly (PASE)</w:t>
            </w:r>
          </w:p>
        </w:tc>
        <w:tc>
          <w:tcPr>
            <w:tcW w:w="1028" w:type="pct"/>
            <w:tcBorders>
              <w:top w:val="nil"/>
              <w:left w:val="nil"/>
              <w:bottom w:val="nil"/>
              <w:right w:val="nil"/>
            </w:tcBorders>
            <w:shd w:val="clear" w:color="auto" w:fill="auto"/>
            <w:noWrap/>
            <w:vAlign w:val="center"/>
          </w:tcPr>
          <w:p w14:paraId="2FFBC321" w14:textId="77777777" w:rsidR="00206861" w:rsidRPr="00CE45BB" w:rsidRDefault="00206861" w:rsidP="00206861">
            <w:pPr>
              <w:spacing w:before="0" w:after="0"/>
              <w:rPr>
                <w:color w:val="000000"/>
              </w:rPr>
            </w:pPr>
            <w:r w:rsidRPr="00CE45BB">
              <w:rPr>
                <w:color w:val="000000"/>
              </w:rPr>
              <w:t>Mean (SD)</w:t>
            </w:r>
          </w:p>
        </w:tc>
        <w:tc>
          <w:tcPr>
            <w:tcW w:w="629" w:type="pct"/>
            <w:tcBorders>
              <w:top w:val="nil"/>
              <w:left w:val="nil"/>
              <w:bottom w:val="nil"/>
              <w:right w:val="nil"/>
            </w:tcBorders>
            <w:shd w:val="clear" w:color="auto" w:fill="auto"/>
            <w:noWrap/>
            <w:vAlign w:val="center"/>
          </w:tcPr>
          <w:p w14:paraId="6879920B" w14:textId="77777777" w:rsidR="00206861" w:rsidRPr="00CE45BB" w:rsidRDefault="00206861" w:rsidP="00206861">
            <w:pPr>
              <w:spacing w:before="0" w:after="0"/>
              <w:rPr>
                <w:color w:val="000000"/>
              </w:rPr>
            </w:pPr>
            <w:r w:rsidRPr="00CE45BB">
              <w:rPr>
                <w:color w:val="000000"/>
              </w:rPr>
              <w:t>162 (82)</w:t>
            </w:r>
          </w:p>
        </w:tc>
        <w:tc>
          <w:tcPr>
            <w:tcW w:w="622" w:type="pct"/>
            <w:tcBorders>
              <w:top w:val="nil"/>
              <w:left w:val="nil"/>
              <w:bottom w:val="nil"/>
              <w:right w:val="nil"/>
            </w:tcBorders>
            <w:shd w:val="clear" w:color="auto" w:fill="auto"/>
            <w:noWrap/>
            <w:vAlign w:val="center"/>
          </w:tcPr>
          <w:p w14:paraId="1AE48DA9" w14:textId="77777777" w:rsidR="00206861" w:rsidRPr="00CE45BB" w:rsidRDefault="00206861" w:rsidP="00206861">
            <w:pPr>
              <w:spacing w:before="0" w:after="0"/>
              <w:rPr>
                <w:color w:val="000000"/>
              </w:rPr>
            </w:pPr>
            <w:r w:rsidRPr="00CE45BB">
              <w:rPr>
                <w:color w:val="000000"/>
              </w:rPr>
              <w:t>164 (82)</w:t>
            </w:r>
          </w:p>
        </w:tc>
        <w:tc>
          <w:tcPr>
            <w:tcW w:w="469" w:type="pct"/>
            <w:tcBorders>
              <w:top w:val="nil"/>
              <w:left w:val="nil"/>
              <w:bottom w:val="nil"/>
              <w:right w:val="nil"/>
            </w:tcBorders>
            <w:shd w:val="clear" w:color="auto" w:fill="auto"/>
            <w:noWrap/>
            <w:vAlign w:val="center"/>
          </w:tcPr>
          <w:p w14:paraId="4D1B41D1" w14:textId="77777777" w:rsidR="00206861" w:rsidRPr="00CE45BB" w:rsidRDefault="00206861" w:rsidP="00206861">
            <w:pPr>
              <w:spacing w:before="0" w:after="0"/>
              <w:rPr>
                <w:color w:val="000000"/>
              </w:rPr>
            </w:pPr>
            <w:r w:rsidRPr="00CE45BB">
              <w:rPr>
                <w:color w:val="000000"/>
              </w:rPr>
              <w:t>0.68</w:t>
            </w:r>
          </w:p>
        </w:tc>
      </w:tr>
      <w:tr w:rsidR="00206861" w:rsidRPr="00CE45BB" w14:paraId="5BF9CBB3" w14:textId="77777777" w:rsidTr="00B6244D">
        <w:trPr>
          <w:trHeight w:val="320"/>
        </w:trPr>
        <w:tc>
          <w:tcPr>
            <w:tcW w:w="2252" w:type="pct"/>
            <w:tcBorders>
              <w:top w:val="nil"/>
              <w:left w:val="nil"/>
              <w:bottom w:val="nil"/>
              <w:right w:val="nil"/>
            </w:tcBorders>
            <w:shd w:val="clear" w:color="auto" w:fill="auto"/>
            <w:noWrap/>
            <w:vAlign w:val="center"/>
            <w:hideMark/>
          </w:tcPr>
          <w:p w14:paraId="33E9171F" w14:textId="77777777" w:rsidR="00206861" w:rsidRPr="00CE45BB" w:rsidRDefault="00206861" w:rsidP="00206861">
            <w:pPr>
              <w:spacing w:before="0" w:after="0"/>
              <w:rPr>
                <w:color w:val="000000"/>
              </w:rPr>
            </w:pPr>
            <w:proofErr w:type="spellStart"/>
            <w:r w:rsidRPr="00CE45BB">
              <w:rPr>
                <w:color w:val="000000"/>
              </w:rPr>
              <w:t>Charlson</w:t>
            </w:r>
            <w:proofErr w:type="spellEnd"/>
            <w:r w:rsidRPr="00CE45BB">
              <w:rPr>
                <w:color w:val="000000"/>
              </w:rPr>
              <w:t xml:space="preserve"> comorbidity score</w:t>
            </w:r>
          </w:p>
        </w:tc>
        <w:tc>
          <w:tcPr>
            <w:tcW w:w="1028" w:type="pct"/>
            <w:tcBorders>
              <w:top w:val="nil"/>
              <w:left w:val="nil"/>
              <w:bottom w:val="nil"/>
              <w:right w:val="nil"/>
            </w:tcBorders>
            <w:shd w:val="clear" w:color="auto" w:fill="auto"/>
            <w:noWrap/>
            <w:vAlign w:val="center"/>
          </w:tcPr>
          <w:p w14:paraId="1028D83B" w14:textId="77777777" w:rsidR="00206861" w:rsidRPr="00CE45BB" w:rsidRDefault="00206861" w:rsidP="00206861">
            <w:pPr>
              <w:spacing w:before="0" w:after="0"/>
              <w:rPr>
                <w:color w:val="000000"/>
              </w:rPr>
            </w:pPr>
            <w:r w:rsidRPr="00CE45BB">
              <w:rPr>
                <w:color w:val="000000"/>
              </w:rPr>
              <w:t>Mean (SD)</w:t>
            </w:r>
          </w:p>
        </w:tc>
        <w:tc>
          <w:tcPr>
            <w:tcW w:w="629" w:type="pct"/>
            <w:tcBorders>
              <w:top w:val="nil"/>
              <w:left w:val="nil"/>
              <w:bottom w:val="nil"/>
              <w:right w:val="nil"/>
            </w:tcBorders>
            <w:shd w:val="clear" w:color="auto" w:fill="auto"/>
            <w:noWrap/>
            <w:vAlign w:val="center"/>
          </w:tcPr>
          <w:p w14:paraId="09FC0C5B" w14:textId="77777777" w:rsidR="00206861" w:rsidRPr="00CE45BB" w:rsidRDefault="00206861" w:rsidP="00206861">
            <w:pPr>
              <w:spacing w:before="0" w:after="0"/>
              <w:rPr>
                <w:color w:val="000000"/>
              </w:rPr>
            </w:pPr>
            <w:r w:rsidRPr="00CE45BB">
              <w:rPr>
                <w:color w:val="000000"/>
              </w:rPr>
              <w:t>0.34 (0.80)</w:t>
            </w:r>
          </w:p>
        </w:tc>
        <w:tc>
          <w:tcPr>
            <w:tcW w:w="622" w:type="pct"/>
            <w:tcBorders>
              <w:top w:val="nil"/>
              <w:left w:val="nil"/>
              <w:bottom w:val="nil"/>
              <w:right w:val="nil"/>
            </w:tcBorders>
            <w:shd w:val="clear" w:color="auto" w:fill="auto"/>
            <w:noWrap/>
            <w:vAlign w:val="center"/>
          </w:tcPr>
          <w:p w14:paraId="2572A606" w14:textId="77777777" w:rsidR="00206861" w:rsidRPr="00CE45BB" w:rsidRDefault="00206861" w:rsidP="00206861">
            <w:pPr>
              <w:spacing w:before="0" w:after="0"/>
              <w:rPr>
                <w:color w:val="000000"/>
              </w:rPr>
            </w:pPr>
            <w:r w:rsidRPr="00CE45BB">
              <w:rPr>
                <w:color w:val="000000"/>
              </w:rPr>
              <w:t>0.38 (0.82)</w:t>
            </w:r>
          </w:p>
        </w:tc>
        <w:tc>
          <w:tcPr>
            <w:tcW w:w="469" w:type="pct"/>
            <w:tcBorders>
              <w:top w:val="nil"/>
              <w:left w:val="nil"/>
              <w:bottom w:val="nil"/>
              <w:right w:val="nil"/>
            </w:tcBorders>
            <w:shd w:val="clear" w:color="auto" w:fill="auto"/>
            <w:noWrap/>
            <w:vAlign w:val="center"/>
          </w:tcPr>
          <w:p w14:paraId="3A57F90A" w14:textId="77777777" w:rsidR="00206861" w:rsidRPr="00CE45BB" w:rsidRDefault="00206861" w:rsidP="00206861">
            <w:pPr>
              <w:spacing w:before="0" w:after="0"/>
              <w:rPr>
                <w:color w:val="000000"/>
              </w:rPr>
            </w:pPr>
            <w:r w:rsidRPr="00CE45BB">
              <w:rPr>
                <w:color w:val="000000"/>
              </w:rPr>
              <w:t>0.16</w:t>
            </w:r>
          </w:p>
        </w:tc>
      </w:tr>
      <w:tr w:rsidR="00206861" w:rsidRPr="00CE45BB" w14:paraId="741E263C" w14:textId="77777777" w:rsidTr="00B6244D">
        <w:trPr>
          <w:trHeight w:val="320"/>
        </w:trPr>
        <w:tc>
          <w:tcPr>
            <w:tcW w:w="2252" w:type="pct"/>
            <w:tcBorders>
              <w:top w:val="nil"/>
              <w:left w:val="nil"/>
              <w:bottom w:val="nil"/>
              <w:right w:val="nil"/>
            </w:tcBorders>
            <w:shd w:val="clear" w:color="auto" w:fill="auto"/>
            <w:noWrap/>
            <w:vAlign w:val="center"/>
            <w:hideMark/>
          </w:tcPr>
          <w:p w14:paraId="19086E6B" w14:textId="77777777" w:rsidR="00206861" w:rsidRPr="00CE45BB" w:rsidRDefault="00206861" w:rsidP="00206861">
            <w:pPr>
              <w:spacing w:before="0" w:after="0"/>
            </w:pPr>
            <w:r w:rsidRPr="00CE45BB">
              <w:t>Number of medications</w:t>
            </w:r>
          </w:p>
        </w:tc>
        <w:tc>
          <w:tcPr>
            <w:tcW w:w="1028" w:type="pct"/>
            <w:tcBorders>
              <w:top w:val="nil"/>
              <w:left w:val="nil"/>
              <w:bottom w:val="nil"/>
              <w:right w:val="nil"/>
            </w:tcBorders>
            <w:shd w:val="clear" w:color="auto" w:fill="auto"/>
            <w:noWrap/>
            <w:vAlign w:val="center"/>
          </w:tcPr>
          <w:p w14:paraId="7380B0EC" w14:textId="77777777" w:rsidR="00206861" w:rsidRPr="00CE45BB" w:rsidRDefault="00206861" w:rsidP="00206861">
            <w:pPr>
              <w:spacing w:before="0" w:after="0"/>
              <w:rPr>
                <w:color w:val="000000"/>
              </w:rPr>
            </w:pPr>
            <w:r w:rsidRPr="00CE45BB">
              <w:rPr>
                <w:color w:val="000000"/>
              </w:rPr>
              <w:t>Mean (SD)</w:t>
            </w:r>
          </w:p>
        </w:tc>
        <w:tc>
          <w:tcPr>
            <w:tcW w:w="629" w:type="pct"/>
            <w:tcBorders>
              <w:top w:val="nil"/>
              <w:left w:val="nil"/>
              <w:bottom w:val="nil"/>
              <w:right w:val="nil"/>
            </w:tcBorders>
            <w:shd w:val="clear" w:color="auto" w:fill="auto"/>
            <w:noWrap/>
            <w:vAlign w:val="center"/>
          </w:tcPr>
          <w:p w14:paraId="2B103476" w14:textId="77777777" w:rsidR="00206861" w:rsidRPr="00CE45BB" w:rsidRDefault="00206861" w:rsidP="00206861">
            <w:pPr>
              <w:spacing w:before="0" w:after="0"/>
              <w:rPr>
                <w:color w:val="000000"/>
              </w:rPr>
            </w:pPr>
            <w:r w:rsidRPr="00CE45BB">
              <w:rPr>
                <w:color w:val="000000"/>
              </w:rPr>
              <w:t>2.55 (2.50)</w:t>
            </w:r>
          </w:p>
        </w:tc>
        <w:tc>
          <w:tcPr>
            <w:tcW w:w="622" w:type="pct"/>
            <w:tcBorders>
              <w:top w:val="nil"/>
              <w:left w:val="nil"/>
              <w:bottom w:val="nil"/>
              <w:right w:val="nil"/>
            </w:tcBorders>
            <w:shd w:val="clear" w:color="auto" w:fill="auto"/>
            <w:noWrap/>
            <w:vAlign w:val="center"/>
          </w:tcPr>
          <w:p w14:paraId="27B96DE8" w14:textId="77777777" w:rsidR="00206861" w:rsidRPr="00CE45BB" w:rsidRDefault="00206861" w:rsidP="00206861">
            <w:pPr>
              <w:spacing w:before="0" w:after="0"/>
              <w:rPr>
                <w:color w:val="000000"/>
              </w:rPr>
            </w:pPr>
            <w:r w:rsidRPr="00CE45BB">
              <w:rPr>
                <w:color w:val="000000"/>
              </w:rPr>
              <w:t>3.02 (2.69)</w:t>
            </w:r>
          </w:p>
        </w:tc>
        <w:tc>
          <w:tcPr>
            <w:tcW w:w="469" w:type="pct"/>
            <w:tcBorders>
              <w:top w:val="nil"/>
              <w:left w:val="nil"/>
              <w:bottom w:val="nil"/>
              <w:right w:val="nil"/>
            </w:tcBorders>
            <w:shd w:val="clear" w:color="auto" w:fill="auto"/>
            <w:noWrap/>
            <w:vAlign w:val="center"/>
          </w:tcPr>
          <w:p w14:paraId="0FBA2B5C" w14:textId="77777777" w:rsidR="00206861" w:rsidRPr="00CE45BB" w:rsidRDefault="00206861" w:rsidP="00206861">
            <w:pPr>
              <w:spacing w:before="0" w:after="0"/>
              <w:rPr>
                <w:color w:val="000000"/>
              </w:rPr>
            </w:pPr>
            <w:r w:rsidRPr="00CE45BB">
              <w:rPr>
                <w:color w:val="000000"/>
              </w:rPr>
              <w:t>&lt;0.0001</w:t>
            </w:r>
          </w:p>
        </w:tc>
      </w:tr>
      <w:tr w:rsidR="00206861" w:rsidRPr="00CE45BB" w14:paraId="75A90ACD" w14:textId="77777777" w:rsidTr="00B6244D">
        <w:trPr>
          <w:trHeight w:val="320"/>
        </w:trPr>
        <w:tc>
          <w:tcPr>
            <w:tcW w:w="2252" w:type="pct"/>
            <w:tcBorders>
              <w:top w:val="nil"/>
              <w:left w:val="nil"/>
              <w:bottom w:val="nil"/>
              <w:right w:val="nil"/>
            </w:tcBorders>
            <w:shd w:val="clear" w:color="auto" w:fill="auto"/>
            <w:noWrap/>
            <w:vAlign w:val="center"/>
            <w:hideMark/>
          </w:tcPr>
          <w:p w14:paraId="43ADC661" w14:textId="77777777" w:rsidR="00206861" w:rsidRPr="00CE45BB" w:rsidRDefault="00206861" w:rsidP="00206861">
            <w:pPr>
              <w:spacing w:before="0" w:after="0"/>
              <w:rPr>
                <w:color w:val="000000"/>
              </w:rPr>
            </w:pPr>
            <w:r w:rsidRPr="00CE45BB">
              <w:rPr>
                <w:color w:val="000000"/>
              </w:rPr>
              <w:t>Center for Epidemiologic Studies Depression Scale (CES-D)</w:t>
            </w:r>
          </w:p>
        </w:tc>
        <w:tc>
          <w:tcPr>
            <w:tcW w:w="1028" w:type="pct"/>
            <w:tcBorders>
              <w:top w:val="nil"/>
              <w:left w:val="nil"/>
              <w:bottom w:val="nil"/>
              <w:right w:val="nil"/>
            </w:tcBorders>
            <w:shd w:val="clear" w:color="auto" w:fill="auto"/>
            <w:noWrap/>
            <w:vAlign w:val="center"/>
            <w:hideMark/>
          </w:tcPr>
          <w:p w14:paraId="7CA0575E" w14:textId="77777777" w:rsidR="00206861" w:rsidRPr="00CE45BB" w:rsidRDefault="00206861" w:rsidP="00206861">
            <w:pPr>
              <w:spacing w:before="0" w:after="0"/>
              <w:rPr>
                <w:color w:val="000000"/>
              </w:rPr>
            </w:pPr>
            <w:r w:rsidRPr="00CE45BB">
              <w:rPr>
                <w:color w:val="000000"/>
              </w:rPr>
              <w:t>Mean (SD)</w:t>
            </w:r>
          </w:p>
        </w:tc>
        <w:tc>
          <w:tcPr>
            <w:tcW w:w="629" w:type="pct"/>
            <w:tcBorders>
              <w:top w:val="nil"/>
              <w:left w:val="nil"/>
              <w:bottom w:val="nil"/>
              <w:right w:val="nil"/>
            </w:tcBorders>
            <w:shd w:val="clear" w:color="auto" w:fill="auto"/>
            <w:noWrap/>
            <w:vAlign w:val="center"/>
          </w:tcPr>
          <w:p w14:paraId="2E44B313" w14:textId="77777777" w:rsidR="00206861" w:rsidRPr="00CE45BB" w:rsidRDefault="00206861" w:rsidP="00206861">
            <w:pPr>
              <w:spacing w:before="0" w:after="0"/>
              <w:rPr>
                <w:color w:val="000000"/>
              </w:rPr>
            </w:pPr>
            <w:r w:rsidRPr="00CE45BB">
              <w:rPr>
                <w:color w:val="000000"/>
              </w:rPr>
              <w:t>5.6 (5.9)</w:t>
            </w:r>
          </w:p>
        </w:tc>
        <w:tc>
          <w:tcPr>
            <w:tcW w:w="622" w:type="pct"/>
            <w:tcBorders>
              <w:top w:val="nil"/>
              <w:left w:val="nil"/>
              <w:bottom w:val="nil"/>
              <w:right w:val="nil"/>
            </w:tcBorders>
            <w:shd w:val="clear" w:color="auto" w:fill="auto"/>
            <w:noWrap/>
            <w:vAlign w:val="center"/>
          </w:tcPr>
          <w:p w14:paraId="1C96B88C" w14:textId="77777777" w:rsidR="00206861" w:rsidRPr="00CE45BB" w:rsidRDefault="00206861" w:rsidP="00206861">
            <w:pPr>
              <w:spacing w:before="0" w:after="0"/>
              <w:rPr>
                <w:color w:val="000000"/>
              </w:rPr>
            </w:pPr>
            <w:r w:rsidRPr="00CE45BB">
              <w:rPr>
                <w:color w:val="000000"/>
              </w:rPr>
              <w:t>6.6 (6.9)</w:t>
            </w:r>
          </w:p>
        </w:tc>
        <w:tc>
          <w:tcPr>
            <w:tcW w:w="469" w:type="pct"/>
            <w:tcBorders>
              <w:top w:val="nil"/>
              <w:left w:val="nil"/>
              <w:bottom w:val="nil"/>
              <w:right w:val="nil"/>
            </w:tcBorders>
            <w:shd w:val="clear" w:color="auto" w:fill="auto"/>
            <w:noWrap/>
            <w:vAlign w:val="center"/>
          </w:tcPr>
          <w:p w14:paraId="5D3281C3" w14:textId="77777777" w:rsidR="00206861" w:rsidRPr="00CE45BB" w:rsidRDefault="00206861" w:rsidP="00206861">
            <w:pPr>
              <w:spacing w:before="0" w:after="0"/>
              <w:rPr>
                <w:color w:val="000000"/>
              </w:rPr>
            </w:pPr>
            <w:r w:rsidRPr="00CE45BB">
              <w:rPr>
                <w:color w:val="000000"/>
              </w:rPr>
              <w:t>&lt;0.0001</w:t>
            </w:r>
          </w:p>
        </w:tc>
      </w:tr>
      <w:tr w:rsidR="00FF643E" w:rsidRPr="00CE45BB" w14:paraId="385561D1" w14:textId="77777777" w:rsidTr="00B6244D">
        <w:trPr>
          <w:trHeight w:val="320"/>
        </w:trPr>
        <w:tc>
          <w:tcPr>
            <w:tcW w:w="2252" w:type="pct"/>
            <w:tcBorders>
              <w:top w:val="nil"/>
              <w:left w:val="nil"/>
              <w:bottom w:val="nil"/>
              <w:right w:val="nil"/>
            </w:tcBorders>
            <w:shd w:val="clear" w:color="auto" w:fill="auto"/>
            <w:noWrap/>
            <w:vAlign w:val="center"/>
          </w:tcPr>
          <w:p w14:paraId="49C06A96" w14:textId="5116420E" w:rsidR="00FF643E" w:rsidRPr="00CE45BB" w:rsidRDefault="00FF643E" w:rsidP="00206861">
            <w:pPr>
              <w:spacing w:before="0" w:after="0"/>
              <w:rPr>
                <w:color w:val="000000"/>
              </w:rPr>
            </w:pPr>
            <w:r w:rsidRPr="00CE45BB">
              <w:rPr>
                <w:color w:val="000000"/>
              </w:rPr>
              <w:t>Radiological knee OA (%)</w:t>
            </w:r>
          </w:p>
        </w:tc>
        <w:tc>
          <w:tcPr>
            <w:tcW w:w="1028" w:type="pct"/>
            <w:tcBorders>
              <w:top w:val="nil"/>
              <w:left w:val="nil"/>
              <w:bottom w:val="nil"/>
              <w:right w:val="nil"/>
            </w:tcBorders>
            <w:shd w:val="clear" w:color="auto" w:fill="auto"/>
            <w:noWrap/>
            <w:vAlign w:val="center"/>
          </w:tcPr>
          <w:p w14:paraId="75C5E384" w14:textId="32DA04E8" w:rsidR="00FF643E" w:rsidRPr="00CE45BB" w:rsidRDefault="00FF643E" w:rsidP="00206861">
            <w:pPr>
              <w:spacing w:before="0" w:after="0"/>
              <w:rPr>
                <w:color w:val="000000"/>
              </w:rPr>
            </w:pPr>
            <w:r w:rsidRPr="00CE45BB">
              <w:rPr>
                <w:color w:val="000000"/>
              </w:rPr>
              <w:t>Yes</w:t>
            </w:r>
          </w:p>
        </w:tc>
        <w:tc>
          <w:tcPr>
            <w:tcW w:w="629" w:type="pct"/>
            <w:tcBorders>
              <w:top w:val="nil"/>
              <w:left w:val="nil"/>
              <w:bottom w:val="nil"/>
              <w:right w:val="nil"/>
            </w:tcBorders>
            <w:shd w:val="clear" w:color="auto" w:fill="auto"/>
            <w:noWrap/>
            <w:vAlign w:val="center"/>
          </w:tcPr>
          <w:p w14:paraId="43B635CA" w14:textId="5577A36E" w:rsidR="00FF643E" w:rsidRPr="00CE45BB" w:rsidRDefault="00FF643E" w:rsidP="00206861">
            <w:pPr>
              <w:spacing w:before="0" w:after="0"/>
              <w:rPr>
                <w:color w:val="000000"/>
              </w:rPr>
            </w:pPr>
            <w:r w:rsidRPr="00CE45BB">
              <w:rPr>
                <w:color w:val="000000"/>
              </w:rPr>
              <w:t>61.7</w:t>
            </w:r>
          </w:p>
        </w:tc>
        <w:tc>
          <w:tcPr>
            <w:tcW w:w="622" w:type="pct"/>
            <w:tcBorders>
              <w:top w:val="nil"/>
              <w:left w:val="nil"/>
              <w:bottom w:val="nil"/>
              <w:right w:val="nil"/>
            </w:tcBorders>
            <w:shd w:val="clear" w:color="auto" w:fill="auto"/>
            <w:noWrap/>
            <w:vAlign w:val="center"/>
          </w:tcPr>
          <w:p w14:paraId="403A6385" w14:textId="54B72205" w:rsidR="00FF643E" w:rsidRPr="00CE45BB" w:rsidRDefault="00FF643E" w:rsidP="00206861">
            <w:pPr>
              <w:spacing w:before="0" w:after="0"/>
              <w:rPr>
                <w:color w:val="000000"/>
              </w:rPr>
            </w:pPr>
            <w:r w:rsidRPr="00CE45BB">
              <w:rPr>
                <w:color w:val="000000"/>
              </w:rPr>
              <w:t>62.8</w:t>
            </w:r>
          </w:p>
        </w:tc>
        <w:tc>
          <w:tcPr>
            <w:tcW w:w="469" w:type="pct"/>
            <w:tcBorders>
              <w:top w:val="nil"/>
              <w:left w:val="nil"/>
              <w:bottom w:val="nil"/>
              <w:right w:val="nil"/>
            </w:tcBorders>
            <w:shd w:val="clear" w:color="auto" w:fill="auto"/>
            <w:noWrap/>
            <w:vAlign w:val="center"/>
          </w:tcPr>
          <w:p w14:paraId="1B08B6B1" w14:textId="6D869C15" w:rsidR="00FF643E" w:rsidRPr="00CE45BB" w:rsidRDefault="00FF643E" w:rsidP="00206861">
            <w:pPr>
              <w:spacing w:before="0" w:after="0"/>
              <w:rPr>
                <w:color w:val="000000"/>
              </w:rPr>
            </w:pPr>
            <w:r w:rsidRPr="00CE45BB">
              <w:rPr>
                <w:color w:val="000000"/>
              </w:rPr>
              <w:t>0.52</w:t>
            </w:r>
          </w:p>
        </w:tc>
      </w:tr>
      <w:tr w:rsidR="00FF643E" w:rsidRPr="00CE45BB" w14:paraId="122FE8A1" w14:textId="77777777" w:rsidTr="00B6244D">
        <w:trPr>
          <w:trHeight w:val="320"/>
        </w:trPr>
        <w:tc>
          <w:tcPr>
            <w:tcW w:w="2252" w:type="pct"/>
            <w:tcBorders>
              <w:top w:val="nil"/>
              <w:left w:val="nil"/>
              <w:bottom w:val="nil"/>
              <w:right w:val="nil"/>
            </w:tcBorders>
            <w:shd w:val="clear" w:color="auto" w:fill="auto"/>
            <w:noWrap/>
            <w:vAlign w:val="center"/>
          </w:tcPr>
          <w:p w14:paraId="1EB9DF61" w14:textId="448A98A5" w:rsidR="00FF643E" w:rsidRPr="00CE45BB" w:rsidRDefault="00FF643E" w:rsidP="00206861">
            <w:pPr>
              <w:spacing w:before="0" w:after="0"/>
              <w:rPr>
                <w:color w:val="000000"/>
              </w:rPr>
            </w:pPr>
            <w:r w:rsidRPr="00CE45BB">
              <w:rPr>
                <w:color w:val="000000"/>
              </w:rPr>
              <w:t>Grade 1 KL knee OA</w:t>
            </w:r>
          </w:p>
        </w:tc>
        <w:tc>
          <w:tcPr>
            <w:tcW w:w="1028" w:type="pct"/>
            <w:tcBorders>
              <w:top w:val="nil"/>
              <w:left w:val="nil"/>
              <w:bottom w:val="nil"/>
              <w:right w:val="nil"/>
            </w:tcBorders>
            <w:shd w:val="clear" w:color="auto" w:fill="auto"/>
            <w:noWrap/>
            <w:vAlign w:val="center"/>
          </w:tcPr>
          <w:p w14:paraId="5BBB4D6D" w14:textId="67867D93" w:rsidR="00FF643E" w:rsidRPr="00CE45BB" w:rsidRDefault="00FF643E" w:rsidP="00206861">
            <w:pPr>
              <w:spacing w:before="0" w:after="0"/>
              <w:rPr>
                <w:color w:val="000000"/>
              </w:rPr>
            </w:pPr>
            <w:r w:rsidRPr="00CE45BB">
              <w:rPr>
                <w:color w:val="000000"/>
              </w:rPr>
              <w:t>Yes</w:t>
            </w:r>
          </w:p>
        </w:tc>
        <w:tc>
          <w:tcPr>
            <w:tcW w:w="629" w:type="pct"/>
            <w:tcBorders>
              <w:top w:val="nil"/>
              <w:left w:val="nil"/>
              <w:bottom w:val="nil"/>
              <w:right w:val="nil"/>
            </w:tcBorders>
            <w:shd w:val="clear" w:color="auto" w:fill="auto"/>
            <w:noWrap/>
            <w:vAlign w:val="center"/>
          </w:tcPr>
          <w:p w14:paraId="3B96297C" w14:textId="708F6ED2" w:rsidR="00FF643E" w:rsidRPr="00CE45BB" w:rsidRDefault="00FF643E" w:rsidP="00206861">
            <w:pPr>
              <w:spacing w:before="0" w:after="0"/>
              <w:rPr>
                <w:color w:val="000000"/>
              </w:rPr>
            </w:pPr>
            <w:r w:rsidRPr="00CE45BB">
              <w:rPr>
                <w:color w:val="000000"/>
              </w:rPr>
              <w:t>28.6</w:t>
            </w:r>
          </w:p>
        </w:tc>
        <w:tc>
          <w:tcPr>
            <w:tcW w:w="622" w:type="pct"/>
            <w:tcBorders>
              <w:top w:val="nil"/>
              <w:left w:val="nil"/>
              <w:bottom w:val="nil"/>
              <w:right w:val="nil"/>
            </w:tcBorders>
            <w:shd w:val="clear" w:color="auto" w:fill="auto"/>
            <w:noWrap/>
            <w:vAlign w:val="center"/>
          </w:tcPr>
          <w:p w14:paraId="0AC2608D" w14:textId="62B742C7" w:rsidR="00FF643E" w:rsidRPr="00CE45BB" w:rsidRDefault="00FF643E" w:rsidP="00206861">
            <w:pPr>
              <w:spacing w:before="0" w:after="0"/>
              <w:rPr>
                <w:color w:val="000000"/>
              </w:rPr>
            </w:pPr>
            <w:r w:rsidRPr="00CE45BB">
              <w:rPr>
                <w:color w:val="000000"/>
              </w:rPr>
              <w:t>29.6</w:t>
            </w:r>
          </w:p>
        </w:tc>
        <w:tc>
          <w:tcPr>
            <w:tcW w:w="469" w:type="pct"/>
            <w:tcBorders>
              <w:top w:val="nil"/>
              <w:left w:val="nil"/>
              <w:bottom w:val="nil"/>
              <w:right w:val="nil"/>
            </w:tcBorders>
            <w:shd w:val="clear" w:color="auto" w:fill="auto"/>
            <w:noWrap/>
            <w:vAlign w:val="center"/>
          </w:tcPr>
          <w:p w14:paraId="5DFEC747" w14:textId="677D4A98" w:rsidR="00FF643E" w:rsidRPr="00CE45BB" w:rsidRDefault="00FF643E" w:rsidP="00206861">
            <w:pPr>
              <w:spacing w:before="0" w:after="0"/>
              <w:rPr>
                <w:color w:val="000000"/>
              </w:rPr>
            </w:pPr>
            <w:r w:rsidRPr="00CE45BB">
              <w:rPr>
                <w:color w:val="000000"/>
              </w:rPr>
              <w:t>0.33</w:t>
            </w:r>
          </w:p>
        </w:tc>
      </w:tr>
      <w:tr w:rsidR="00FF643E" w:rsidRPr="00CE45BB" w14:paraId="181B9BB3" w14:textId="77777777" w:rsidTr="00B6244D">
        <w:trPr>
          <w:trHeight w:val="320"/>
        </w:trPr>
        <w:tc>
          <w:tcPr>
            <w:tcW w:w="2252" w:type="pct"/>
            <w:tcBorders>
              <w:top w:val="nil"/>
              <w:left w:val="nil"/>
              <w:bottom w:val="nil"/>
              <w:right w:val="nil"/>
            </w:tcBorders>
            <w:shd w:val="clear" w:color="auto" w:fill="auto"/>
            <w:noWrap/>
            <w:vAlign w:val="center"/>
          </w:tcPr>
          <w:p w14:paraId="654D81C2" w14:textId="4B6FE706" w:rsidR="00FF643E" w:rsidRPr="00CE45BB" w:rsidRDefault="00FF643E" w:rsidP="00206861">
            <w:pPr>
              <w:spacing w:before="0" w:after="0"/>
              <w:rPr>
                <w:color w:val="000000"/>
              </w:rPr>
            </w:pPr>
            <w:r w:rsidRPr="00CE45BB">
              <w:rPr>
                <w:color w:val="000000"/>
              </w:rPr>
              <w:t>Grade 2 KL knee OA</w:t>
            </w:r>
          </w:p>
        </w:tc>
        <w:tc>
          <w:tcPr>
            <w:tcW w:w="1028" w:type="pct"/>
            <w:tcBorders>
              <w:top w:val="nil"/>
              <w:left w:val="nil"/>
              <w:bottom w:val="nil"/>
              <w:right w:val="nil"/>
            </w:tcBorders>
            <w:shd w:val="clear" w:color="auto" w:fill="auto"/>
            <w:noWrap/>
            <w:vAlign w:val="center"/>
          </w:tcPr>
          <w:p w14:paraId="6977E2A4" w14:textId="59AD17BA" w:rsidR="00FF643E" w:rsidRPr="00CE45BB" w:rsidRDefault="00FF643E" w:rsidP="00206861">
            <w:pPr>
              <w:spacing w:before="0" w:after="0"/>
              <w:rPr>
                <w:color w:val="000000"/>
              </w:rPr>
            </w:pPr>
            <w:r w:rsidRPr="00CE45BB">
              <w:rPr>
                <w:color w:val="000000"/>
              </w:rPr>
              <w:t>Yes</w:t>
            </w:r>
          </w:p>
        </w:tc>
        <w:tc>
          <w:tcPr>
            <w:tcW w:w="629" w:type="pct"/>
            <w:tcBorders>
              <w:top w:val="nil"/>
              <w:left w:val="nil"/>
              <w:bottom w:val="nil"/>
              <w:right w:val="nil"/>
            </w:tcBorders>
            <w:shd w:val="clear" w:color="auto" w:fill="auto"/>
            <w:noWrap/>
            <w:vAlign w:val="center"/>
          </w:tcPr>
          <w:p w14:paraId="373E8E63" w14:textId="78A95C32" w:rsidR="00FF643E" w:rsidRPr="00CE45BB" w:rsidRDefault="00FF643E" w:rsidP="00206861">
            <w:pPr>
              <w:spacing w:before="0" w:after="0"/>
              <w:rPr>
                <w:color w:val="000000"/>
              </w:rPr>
            </w:pPr>
            <w:r w:rsidRPr="00CE45BB">
              <w:rPr>
                <w:color w:val="000000"/>
              </w:rPr>
              <w:t>45.9</w:t>
            </w:r>
          </w:p>
        </w:tc>
        <w:tc>
          <w:tcPr>
            <w:tcW w:w="622" w:type="pct"/>
            <w:tcBorders>
              <w:top w:val="nil"/>
              <w:left w:val="nil"/>
              <w:bottom w:val="nil"/>
              <w:right w:val="nil"/>
            </w:tcBorders>
            <w:shd w:val="clear" w:color="auto" w:fill="auto"/>
            <w:noWrap/>
            <w:vAlign w:val="center"/>
          </w:tcPr>
          <w:p w14:paraId="75E93983" w14:textId="649F61D5" w:rsidR="00FF643E" w:rsidRPr="00CE45BB" w:rsidRDefault="00FF643E" w:rsidP="00206861">
            <w:pPr>
              <w:spacing w:before="0" w:after="0"/>
              <w:rPr>
                <w:color w:val="000000"/>
              </w:rPr>
            </w:pPr>
            <w:r w:rsidRPr="00CE45BB">
              <w:rPr>
                <w:color w:val="000000"/>
              </w:rPr>
              <w:t>43.5</w:t>
            </w:r>
          </w:p>
        </w:tc>
        <w:tc>
          <w:tcPr>
            <w:tcW w:w="469" w:type="pct"/>
            <w:tcBorders>
              <w:top w:val="nil"/>
              <w:left w:val="nil"/>
              <w:bottom w:val="nil"/>
              <w:right w:val="nil"/>
            </w:tcBorders>
            <w:shd w:val="clear" w:color="auto" w:fill="auto"/>
            <w:noWrap/>
            <w:vAlign w:val="center"/>
          </w:tcPr>
          <w:p w14:paraId="0F5056B8" w14:textId="77777777" w:rsidR="00FF643E" w:rsidRPr="00CE45BB" w:rsidRDefault="00FF643E" w:rsidP="00206861">
            <w:pPr>
              <w:spacing w:before="0" w:after="0"/>
              <w:rPr>
                <w:color w:val="000000"/>
              </w:rPr>
            </w:pPr>
          </w:p>
        </w:tc>
      </w:tr>
      <w:tr w:rsidR="00FF643E" w:rsidRPr="00CE45BB" w14:paraId="57AC5035" w14:textId="77777777" w:rsidTr="00B6244D">
        <w:trPr>
          <w:trHeight w:val="320"/>
        </w:trPr>
        <w:tc>
          <w:tcPr>
            <w:tcW w:w="2252" w:type="pct"/>
            <w:tcBorders>
              <w:top w:val="nil"/>
              <w:left w:val="nil"/>
              <w:bottom w:val="nil"/>
              <w:right w:val="nil"/>
            </w:tcBorders>
            <w:shd w:val="clear" w:color="auto" w:fill="auto"/>
            <w:noWrap/>
            <w:vAlign w:val="center"/>
          </w:tcPr>
          <w:p w14:paraId="76B094A5" w14:textId="2DDC2EFF" w:rsidR="00FF643E" w:rsidRPr="00CE45BB" w:rsidRDefault="00FF643E" w:rsidP="00206861">
            <w:pPr>
              <w:spacing w:before="0" w:after="0"/>
              <w:rPr>
                <w:color w:val="000000"/>
              </w:rPr>
            </w:pPr>
            <w:r w:rsidRPr="00CE45BB">
              <w:rPr>
                <w:color w:val="000000"/>
              </w:rPr>
              <w:t>Grade 3 KL knee OA</w:t>
            </w:r>
          </w:p>
        </w:tc>
        <w:tc>
          <w:tcPr>
            <w:tcW w:w="1028" w:type="pct"/>
            <w:tcBorders>
              <w:top w:val="nil"/>
              <w:left w:val="nil"/>
              <w:bottom w:val="nil"/>
              <w:right w:val="nil"/>
            </w:tcBorders>
            <w:shd w:val="clear" w:color="auto" w:fill="auto"/>
            <w:noWrap/>
            <w:vAlign w:val="center"/>
          </w:tcPr>
          <w:p w14:paraId="6F436291" w14:textId="28E15E21" w:rsidR="00FF643E" w:rsidRPr="00CE45BB" w:rsidRDefault="00FF643E" w:rsidP="00206861">
            <w:pPr>
              <w:spacing w:before="0" w:after="0"/>
              <w:rPr>
                <w:color w:val="000000"/>
              </w:rPr>
            </w:pPr>
            <w:r w:rsidRPr="00CE45BB">
              <w:rPr>
                <w:color w:val="000000"/>
              </w:rPr>
              <w:t>Yes</w:t>
            </w:r>
          </w:p>
        </w:tc>
        <w:tc>
          <w:tcPr>
            <w:tcW w:w="629" w:type="pct"/>
            <w:tcBorders>
              <w:top w:val="nil"/>
              <w:left w:val="nil"/>
              <w:bottom w:val="nil"/>
              <w:right w:val="nil"/>
            </w:tcBorders>
            <w:shd w:val="clear" w:color="auto" w:fill="auto"/>
            <w:noWrap/>
            <w:vAlign w:val="center"/>
          </w:tcPr>
          <w:p w14:paraId="072952C9" w14:textId="2328E8D1" w:rsidR="00FF643E" w:rsidRPr="00CE45BB" w:rsidRDefault="00FF643E" w:rsidP="00206861">
            <w:pPr>
              <w:spacing w:before="0" w:after="0"/>
              <w:rPr>
                <w:color w:val="000000"/>
              </w:rPr>
            </w:pPr>
            <w:r w:rsidRPr="00CE45BB">
              <w:rPr>
                <w:color w:val="000000"/>
              </w:rPr>
              <w:t>19.3</w:t>
            </w:r>
          </w:p>
        </w:tc>
        <w:tc>
          <w:tcPr>
            <w:tcW w:w="622" w:type="pct"/>
            <w:tcBorders>
              <w:top w:val="nil"/>
              <w:left w:val="nil"/>
              <w:bottom w:val="nil"/>
              <w:right w:val="nil"/>
            </w:tcBorders>
            <w:shd w:val="clear" w:color="auto" w:fill="auto"/>
            <w:noWrap/>
            <w:vAlign w:val="center"/>
          </w:tcPr>
          <w:p w14:paraId="5759911B" w14:textId="345C15CE" w:rsidR="00FF643E" w:rsidRPr="00CE45BB" w:rsidRDefault="00FF643E" w:rsidP="00206861">
            <w:pPr>
              <w:spacing w:before="0" w:after="0"/>
              <w:rPr>
                <w:color w:val="000000"/>
              </w:rPr>
            </w:pPr>
            <w:r w:rsidRPr="00CE45BB">
              <w:rPr>
                <w:color w:val="000000"/>
              </w:rPr>
              <w:t>21.8</w:t>
            </w:r>
          </w:p>
        </w:tc>
        <w:tc>
          <w:tcPr>
            <w:tcW w:w="469" w:type="pct"/>
            <w:tcBorders>
              <w:top w:val="nil"/>
              <w:left w:val="nil"/>
              <w:bottom w:val="nil"/>
              <w:right w:val="nil"/>
            </w:tcBorders>
            <w:shd w:val="clear" w:color="auto" w:fill="auto"/>
            <w:noWrap/>
            <w:vAlign w:val="center"/>
          </w:tcPr>
          <w:p w14:paraId="22209978" w14:textId="77777777" w:rsidR="00FF643E" w:rsidRPr="00CE45BB" w:rsidRDefault="00FF643E" w:rsidP="00206861">
            <w:pPr>
              <w:spacing w:before="0" w:after="0"/>
              <w:rPr>
                <w:color w:val="000000"/>
              </w:rPr>
            </w:pPr>
          </w:p>
        </w:tc>
      </w:tr>
      <w:tr w:rsidR="00FF643E" w:rsidRPr="00CE45BB" w14:paraId="44B83A31" w14:textId="77777777" w:rsidTr="00B6244D">
        <w:trPr>
          <w:trHeight w:val="320"/>
        </w:trPr>
        <w:tc>
          <w:tcPr>
            <w:tcW w:w="2252" w:type="pct"/>
            <w:tcBorders>
              <w:top w:val="nil"/>
              <w:left w:val="nil"/>
              <w:bottom w:val="nil"/>
              <w:right w:val="nil"/>
            </w:tcBorders>
            <w:shd w:val="clear" w:color="auto" w:fill="auto"/>
            <w:noWrap/>
            <w:vAlign w:val="center"/>
          </w:tcPr>
          <w:p w14:paraId="7D3614A5" w14:textId="6E169F36" w:rsidR="00FF643E" w:rsidRPr="00CE45BB" w:rsidRDefault="00FF643E" w:rsidP="00206861">
            <w:pPr>
              <w:spacing w:before="0" w:after="0"/>
              <w:rPr>
                <w:color w:val="000000"/>
              </w:rPr>
            </w:pPr>
            <w:r w:rsidRPr="00CE45BB">
              <w:rPr>
                <w:color w:val="000000"/>
              </w:rPr>
              <w:t>Grade 4 KL knee OA</w:t>
            </w:r>
          </w:p>
        </w:tc>
        <w:tc>
          <w:tcPr>
            <w:tcW w:w="1028" w:type="pct"/>
            <w:tcBorders>
              <w:top w:val="nil"/>
              <w:left w:val="nil"/>
              <w:bottom w:val="nil"/>
              <w:right w:val="nil"/>
            </w:tcBorders>
            <w:shd w:val="clear" w:color="auto" w:fill="auto"/>
            <w:noWrap/>
            <w:vAlign w:val="center"/>
          </w:tcPr>
          <w:p w14:paraId="1EC2ED83" w14:textId="182B3058" w:rsidR="00FF643E" w:rsidRPr="00CE45BB" w:rsidRDefault="00FF643E" w:rsidP="00206861">
            <w:pPr>
              <w:spacing w:before="0" w:after="0"/>
              <w:rPr>
                <w:color w:val="000000"/>
              </w:rPr>
            </w:pPr>
            <w:r w:rsidRPr="00CE45BB">
              <w:rPr>
                <w:color w:val="000000"/>
              </w:rPr>
              <w:t>Yes</w:t>
            </w:r>
          </w:p>
        </w:tc>
        <w:tc>
          <w:tcPr>
            <w:tcW w:w="629" w:type="pct"/>
            <w:tcBorders>
              <w:top w:val="nil"/>
              <w:left w:val="nil"/>
              <w:bottom w:val="nil"/>
              <w:right w:val="nil"/>
            </w:tcBorders>
            <w:shd w:val="clear" w:color="auto" w:fill="auto"/>
            <w:noWrap/>
            <w:vAlign w:val="center"/>
          </w:tcPr>
          <w:p w14:paraId="371E7FE6" w14:textId="7A0FBCC0" w:rsidR="00FF643E" w:rsidRPr="00CE45BB" w:rsidRDefault="00FF643E" w:rsidP="00206861">
            <w:pPr>
              <w:spacing w:before="0" w:after="0"/>
              <w:rPr>
                <w:color w:val="000000"/>
              </w:rPr>
            </w:pPr>
            <w:r w:rsidRPr="00CE45BB">
              <w:rPr>
                <w:color w:val="000000"/>
              </w:rPr>
              <w:t>6.2</w:t>
            </w:r>
          </w:p>
        </w:tc>
        <w:tc>
          <w:tcPr>
            <w:tcW w:w="622" w:type="pct"/>
            <w:tcBorders>
              <w:top w:val="nil"/>
              <w:left w:val="nil"/>
              <w:bottom w:val="nil"/>
              <w:right w:val="nil"/>
            </w:tcBorders>
            <w:shd w:val="clear" w:color="auto" w:fill="auto"/>
            <w:noWrap/>
            <w:vAlign w:val="center"/>
          </w:tcPr>
          <w:p w14:paraId="281D7512" w14:textId="7F1612B8" w:rsidR="00FF643E" w:rsidRPr="00CE45BB" w:rsidRDefault="00FF643E" w:rsidP="00206861">
            <w:pPr>
              <w:spacing w:before="0" w:after="0"/>
              <w:rPr>
                <w:color w:val="000000"/>
              </w:rPr>
            </w:pPr>
            <w:r w:rsidRPr="00CE45BB">
              <w:rPr>
                <w:color w:val="000000"/>
              </w:rPr>
              <w:t>5.0</w:t>
            </w:r>
          </w:p>
        </w:tc>
        <w:tc>
          <w:tcPr>
            <w:tcW w:w="469" w:type="pct"/>
            <w:tcBorders>
              <w:top w:val="nil"/>
              <w:left w:val="nil"/>
              <w:bottom w:val="nil"/>
              <w:right w:val="nil"/>
            </w:tcBorders>
            <w:shd w:val="clear" w:color="auto" w:fill="auto"/>
            <w:noWrap/>
            <w:vAlign w:val="center"/>
          </w:tcPr>
          <w:p w14:paraId="0D20F734" w14:textId="77777777" w:rsidR="00FF643E" w:rsidRPr="00CE45BB" w:rsidRDefault="00FF643E" w:rsidP="00206861">
            <w:pPr>
              <w:spacing w:before="0" w:after="0"/>
              <w:rPr>
                <w:color w:val="000000"/>
              </w:rPr>
            </w:pPr>
          </w:p>
        </w:tc>
      </w:tr>
      <w:tr w:rsidR="00206861" w:rsidRPr="00CE45BB" w14:paraId="281F9819" w14:textId="77777777" w:rsidTr="00B6244D">
        <w:trPr>
          <w:trHeight w:val="320"/>
        </w:trPr>
        <w:tc>
          <w:tcPr>
            <w:tcW w:w="2252" w:type="pct"/>
            <w:tcBorders>
              <w:top w:val="nil"/>
              <w:left w:val="nil"/>
              <w:bottom w:val="nil"/>
              <w:right w:val="nil"/>
            </w:tcBorders>
            <w:shd w:val="clear" w:color="auto" w:fill="auto"/>
            <w:noWrap/>
            <w:vAlign w:val="center"/>
            <w:hideMark/>
          </w:tcPr>
          <w:p w14:paraId="71104910" w14:textId="77777777" w:rsidR="00206861" w:rsidRPr="00CE45BB" w:rsidRDefault="00206861" w:rsidP="00206861">
            <w:pPr>
              <w:spacing w:before="0" w:after="0"/>
              <w:rPr>
                <w:color w:val="000000"/>
              </w:rPr>
            </w:pPr>
            <w:r w:rsidRPr="00CE45BB">
              <w:rPr>
                <w:color w:val="000000"/>
              </w:rPr>
              <w:t>Previous falls (%)</w:t>
            </w:r>
          </w:p>
        </w:tc>
        <w:tc>
          <w:tcPr>
            <w:tcW w:w="1028" w:type="pct"/>
            <w:tcBorders>
              <w:top w:val="nil"/>
              <w:left w:val="nil"/>
              <w:bottom w:val="nil"/>
              <w:right w:val="nil"/>
            </w:tcBorders>
            <w:shd w:val="clear" w:color="auto" w:fill="auto"/>
            <w:noWrap/>
            <w:vAlign w:val="center"/>
            <w:hideMark/>
          </w:tcPr>
          <w:p w14:paraId="18CFEEEA" w14:textId="77777777" w:rsidR="00206861" w:rsidRPr="00CE45BB" w:rsidRDefault="00206861" w:rsidP="00206861">
            <w:pPr>
              <w:spacing w:before="0" w:after="0"/>
              <w:rPr>
                <w:color w:val="000000"/>
              </w:rPr>
            </w:pPr>
            <w:r w:rsidRPr="00CE45BB">
              <w:rPr>
                <w:color w:val="000000"/>
              </w:rPr>
              <w:t>Yes</w:t>
            </w:r>
          </w:p>
        </w:tc>
        <w:tc>
          <w:tcPr>
            <w:tcW w:w="629" w:type="pct"/>
            <w:tcBorders>
              <w:top w:val="nil"/>
              <w:left w:val="nil"/>
              <w:bottom w:val="nil"/>
              <w:right w:val="nil"/>
            </w:tcBorders>
            <w:shd w:val="clear" w:color="auto" w:fill="auto"/>
            <w:noWrap/>
            <w:vAlign w:val="center"/>
          </w:tcPr>
          <w:p w14:paraId="7C0D4379" w14:textId="77777777" w:rsidR="00206861" w:rsidRPr="00CE45BB" w:rsidRDefault="00206861" w:rsidP="00206861">
            <w:pPr>
              <w:spacing w:before="0" w:after="0"/>
              <w:rPr>
                <w:color w:val="000000"/>
              </w:rPr>
            </w:pPr>
            <w:r w:rsidRPr="00CE45BB">
              <w:rPr>
                <w:color w:val="000000"/>
              </w:rPr>
              <w:t>15.9</w:t>
            </w:r>
          </w:p>
        </w:tc>
        <w:tc>
          <w:tcPr>
            <w:tcW w:w="622" w:type="pct"/>
            <w:tcBorders>
              <w:top w:val="nil"/>
              <w:left w:val="nil"/>
              <w:bottom w:val="nil"/>
              <w:right w:val="nil"/>
            </w:tcBorders>
            <w:shd w:val="clear" w:color="auto" w:fill="auto"/>
            <w:noWrap/>
            <w:vAlign w:val="center"/>
          </w:tcPr>
          <w:p w14:paraId="23E26934" w14:textId="77777777" w:rsidR="00206861" w:rsidRPr="00CE45BB" w:rsidRDefault="00206861" w:rsidP="00206861">
            <w:pPr>
              <w:spacing w:before="0" w:after="0"/>
              <w:rPr>
                <w:color w:val="000000"/>
              </w:rPr>
            </w:pPr>
            <w:r w:rsidRPr="00CE45BB">
              <w:rPr>
                <w:color w:val="000000"/>
              </w:rPr>
              <w:t>39.9</w:t>
            </w:r>
          </w:p>
        </w:tc>
        <w:tc>
          <w:tcPr>
            <w:tcW w:w="469" w:type="pct"/>
            <w:tcBorders>
              <w:top w:val="nil"/>
              <w:left w:val="nil"/>
              <w:bottom w:val="nil"/>
              <w:right w:val="nil"/>
            </w:tcBorders>
            <w:shd w:val="clear" w:color="auto" w:fill="auto"/>
            <w:noWrap/>
            <w:vAlign w:val="center"/>
          </w:tcPr>
          <w:p w14:paraId="3FEAA743" w14:textId="77777777" w:rsidR="00206861" w:rsidRPr="00CE45BB" w:rsidRDefault="00206861" w:rsidP="00206861">
            <w:pPr>
              <w:spacing w:before="0" w:after="0"/>
              <w:rPr>
                <w:color w:val="000000"/>
              </w:rPr>
            </w:pPr>
            <w:r w:rsidRPr="00CE45BB">
              <w:rPr>
                <w:color w:val="000000"/>
              </w:rPr>
              <w:t>&lt;0.0001</w:t>
            </w:r>
          </w:p>
        </w:tc>
      </w:tr>
      <w:tr w:rsidR="00206861" w:rsidRPr="00CE45BB" w14:paraId="7CCE75EE" w14:textId="77777777" w:rsidTr="00B6244D">
        <w:trPr>
          <w:trHeight w:val="320"/>
        </w:trPr>
        <w:tc>
          <w:tcPr>
            <w:tcW w:w="2252" w:type="pct"/>
            <w:tcBorders>
              <w:top w:val="nil"/>
              <w:left w:val="nil"/>
              <w:bottom w:val="nil"/>
              <w:right w:val="nil"/>
            </w:tcBorders>
            <w:shd w:val="clear" w:color="auto" w:fill="auto"/>
            <w:noWrap/>
            <w:vAlign w:val="center"/>
          </w:tcPr>
          <w:p w14:paraId="5F1AB9FE" w14:textId="77777777" w:rsidR="00206861" w:rsidRPr="00CE45BB" w:rsidRDefault="00206861" w:rsidP="00206861">
            <w:pPr>
              <w:spacing w:before="0" w:after="0"/>
              <w:rPr>
                <w:color w:val="000000"/>
              </w:rPr>
            </w:pPr>
            <w:r w:rsidRPr="00CE45BB">
              <w:rPr>
                <w:color w:val="000000"/>
              </w:rPr>
              <w:t>Chair stands time, s</w:t>
            </w:r>
          </w:p>
        </w:tc>
        <w:tc>
          <w:tcPr>
            <w:tcW w:w="1028" w:type="pct"/>
            <w:tcBorders>
              <w:top w:val="nil"/>
              <w:left w:val="nil"/>
              <w:bottom w:val="nil"/>
              <w:right w:val="nil"/>
            </w:tcBorders>
            <w:shd w:val="clear" w:color="auto" w:fill="auto"/>
            <w:noWrap/>
            <w:vAlign w:val="center"/>
          </w:tcPr>
          <w:p w14:paraId="1F5E26FB" w14:textId="77777777" w:rsidR="00206861" w:rsidRPr="00CE45BB" w:rsidRDefault="00206861" w:rsidP="00206861">
            <w:pPr>
              <w:spacing w:before="0" w:after="0"/>
              <w:rPr>
                <w:color w:val="000000"/>
              </w:rPr>
            </w:pPr>
            <w:r w:rsidRPr="00CE45BB">
              <w:rPr>
                <w:color w:val="000000"/>
              </w:rPr>
              <w:t>Mean (SD)</w:t>
            </w:r>
          </w:p>
        </w:tc>
        <w:tc>
          <w:tcPr>
            <w:tcW w:w="629" w:type="pct"/>
            <w:tcBorders>
              <w:top w:val="nil"/>
              <w:left w:val="nil"/>
              <w:bottom w:val="nil"/>
              <w:right w:val="nil"/>
            </w:tcBorders>
            <w:shd w:val="clear" w:color="auto" w:fill="auto"/>
            <w:noWrap/>
            <w:vAlign w:val="center"/>
          </w:tcPr>
          <w:p w14:paraId="7A0A3FA0" w14:textId="77777777" w:rsidR="00206861" w:rsidRPr="00CE45BB" w:rsidRDefault="00206861" w:rsidP="00206861">
            <w:pPr>
              <w:spacing w:before="0" w:after="0"/>
              <w:rPr>
                <w:color w:val="000000"/>
              </w:rPr>
            </w:pPr>
            <w:r w:rsidRPr="00CE45BB">
              <w:rPr>
                <w:color w:val="000000"/>
              </w:rPr>
              <w:t>11.4 (3.4)</w:t>
            </w:r>
          </w:p>
        </w:tc>
        <w:tc>
          <w:tcPr>
            <w:tcW w:w="622" w:type="pct"/>
            <w:tcBorders>
              <w:top w:val="nil"/>
              <w:left w:val="nil"/>
              <w:bottom w:val="nil"/>
              <w:right w:val="nil"/>
            </w:tcBorders>
            <w:shd w:val="clear" w:color="auto" w:fill="auto"/>
            <w:noWrap/>
            <w:vAlign w:val="center"/>
          </w:tcPr>
          <w:p w14:paraId="7637D229" w14:textId="77777777" w:rsidR="00206861" w:rsidRPr="00CE45BB" w:rsidRDefault="00206861" w:rsidP="00206861">
            <w:pPr>
              <w:spacing w:before="0" w:after="0"/>
              <w:rPr>
                <w:color w:val="000000"/>
              </w:rPr>
            </w:pPr>
            <w:r w:rsidRPr="00CE45BB">
              <w:rPr>
                <w:color w:val="000000"/>
              </w:rPr>
              <w:t>11.5 (3.8)</w:t>
            </w:r>
          </w:p>
        </w:tc>
        <w:tc>
          <w:tcPr>
            <w:tcW w:w="469" w:type="pct"/>
            <w:tcBorders>
              <w:top w:val="nil"/>
              <w:left w:val="nil"/>
              <w:bottom w:val="nil"/>
              <w:right w:val="nil"/>
            </w:tcBorders>
            <w:shd w:val="clear" w:color="auto" w:fill="auto"/>
            <w:noWrap/>
            <w:vAlign w:val="center"/>
          </w:tcPr>
          <w:p w14:paraId="5686649B" w14:textId="77777777" w:rsidR="00206861" w:rsidRPr="00CE45BB" w:rsidRDefault="00206861" w:rsidP="00206861">
            <w:pPr>
              <w:spacing w:before="0" w:after="0"/>
              <w:rPr>
                <w:color w:val="000000"/>
              </w:rPr>
            </w:pPr>
            <w:r w:rsidRPr="00CE45BB">
              <w:rPr>
                <w:color w:val="000000"/>
              </w:rPr>
              <w:t>0.15</w:t>
            </w:r>
          </w:p>
        </w:tc>
      </w:tr>
      <w:tr w:rsidR="00206861" w:rsidRPr="00CE45BB" w14:paraId="5510B2E5" w14:textId="77777777" w:rsidTr="00B6244D">
        <w:trPr>
          <w:trHeight w:val="320"/>
        </w:trPr>
        <w:tc>
          <w:tcPr>
            <w:tcW w:w="2252" w:type="pct"/>
            <w:tcBorders>
              <w:top w:val="nil"/>
              <w:left w:val="nil"/>
              <w:bottom w:val="nil"/>
              <w:right w:val="nil"/>
            </w:tcBorders>
            <w:shd w:val="clear" w:color="auto" w:fill="auto"/>
            <w:noWrap/>
            <w:vAlign w:val="center"/>
          </w:tcPr>
          <w:p w14:paraId="178F33AF" w14:textId="77777777" w:rsidR="00206861" w:rsidRPr="00CE45BB" w:rsidRDefault="00206861" w:rsidP="00206861">
            <w:pPr>
              <w:spacing w:before="0" w:after="0"/>
              <w:rPr>
                <w:color w:val="000000"/>
              </w:rPr>
            </w:pPr>
            <w:r w:rsidRPr="00CE45BB">
              <w:rPr>
                <w:color w:val="000000"/>
              </w:rPr>
              <w:t>Dynapenia (%)</w:t>
            </w:r>
          </w:p>
        </w:tc>
        <w:tc>
          <w:tcPr>
            <w:tcW w:w="1028" w:type="pct"/>
            <w:tcBorders>
              <w:top w:val="nil"/>
              <w:left w:val="nil"/>
              <w:bottom w:val="nil"/>
              <w:right w:val="nil"/>
            </w:tcBorders>
            <w:shd w:val="clear" w:color="auto" w:fill="auto"/>
            <w:noWrap/>
            <w:vAlign w:val="center"/>
          </w:tcPr>
          <w:p w14:paraId="6BBE7CBD" w14:textId="77777777" w:rsidR="00206861" w:rsidRPr="00CE45BB" w:rsidRDefault="00206861" w:rsidP="00206861">
            <w:pPr>
              <w:spacing w:before="0" w:after="0"/>
              <w:rPr>
                <w:color w:val="000000"/>
              </w:rPr>
            </w:pPr>
            <w:r w:rsidRPr="00CE45BB">
              <w:rPr>
                <w:color w:val="000000"/>
              </w:rPr>
              <w:t>Yes</w:t>
            </w:r>
          </w:p>
        </w:tc>
        <w:tc>
          <w:tcPr>
            <w:tcW w:w="629" w:type="pct"/>
            <w:tcBorders>
              <w:top w:val="nil"/>
              <w:left w:val="nil"/>
              <w:bottom w:val="nil"/>
              <w:right w:val="nil"/>
            </w:tcBorders>
            <w:shd w:val="clear" w:color="auto" w:fill="auto"/>
            <w:noWrap/>
            <w:vAlign w:val="center"/>
          </w:tcPr>
          <w:p w14:paraId="05C45966" w14:textId="77777777" w:rsidR="00206861" w:rsidRPr="00CE45BB" w:rsidRDefault="00206861" w:rsidP="00206861">
            <w:pPr>
              <w:spacing w:before="0" w:after="0"/>
              <w:rPr>
                <w:color w:val="000000"/>
              </w:rPr>
            </w:pPr>
            <w:r w:rsidRPr="00CE45BB">
              <w:rPr>
                <w:color w:val="000000"/>
              </w:rPr>
              <w:t>12.5</w:t>
            </w:r>
          </w:p>
        </w:tc>
        <w:tc>
          <w:tcPr>
            <w:tcW w:w="622" w:type="pct"/>
            <w:tcBorders>
              <w:top w:val="nil"/>
              <w:left w:val="nil"/>
              <w:bottom w:val="nil"/>
              <w:right w:val="nil"/>
            </w:tcBorders>
            <w:shd w:val="clear" w:color="auto" w:fill="auto"/>
            <w:noWrap/>
            <w:vAlign w:val="center"/>
          </w:tcPr>
          <w:p w14:paraId="58A63F8C" w14:textId="77777777" w:rsidR="00206861" w:rsidRPr="00CE45BB" w:rsidRDefault="00206861" w:rsidP="00206861">
            <w:pPr>
              <w:spacing w:before="0" w:after="0"/>
              <w:rPr>
                <w:color w:val="000000"/>
              </w:rPr>
            </w:pPr>
            <w:r w:rsidRPr="00CE45BB">
              <w:rPr>
                <w:color w:val="000000"/>
              </w:rPr>
              <w:t>14.1</w:t>
            </w:r>
          </w:p>
        </w:tc>
        <w:tc>
          <w:tcPr>
            <w:tcW w:w="469" w:type="pct"/>
            <w:tcBorders>
              <w:top w:val="nil"/>
              <w:left w:val="nil"/>
              <w:bottom w:val="nil"/>
              <w:right w:val="nil"/>
            </w:tcBorders>
            <w:shd w:val="clear" w:color="auto" w:fill="auto"/>
            <w:noWrap/>
            <w:vAlign w:val="center"/>
          </w:tcPr>
          <w:p w14:paraId="7CE0BF1D" w14:textId="77777777" w:rsidR="00206861" w:rsidRPr="00CE45BB" w:rsidRDefault="00206861" w:rsidP="00206861">
            <w:pPr>
              <w:spacing w:before="0" w:after="0"/>
              <w:rPr>
                <w:color w:val="000000"/>
              </w:rPr>
            </w:pPr>
            <w:r w:rsidRPr="00CE45BB">
              <w:rPr>
                <w:color w:val="000000"/>
              </w:rPr>
              <w:t>0.19</w:t>
            </w:r>
          </w:p>
        </w:tc>
      </w:tr>
      <w:tr w:rsidR="00206861" w:rsidRPr="00CE45BB" w14:paraId="45059E62" w14:textId="77777777" w:rsidTr="00B6244D">
        <w:trPr>
          <w:trHeight w:val="320"/>
        </w:trPr>
        <w:tc>
          <w:tcPr>
            <w:tcW w:w="2252" w:type="pct"/>
            <w:tcBorders>
              <w:top w:val="nil"/>
              <w:left w:val="nil"/>
              <w:right w:val="nil"/>
            </w:tcBorders>
            <w:shd w:val="clear" w:color="auto" w:fill="auto"/>
            <w:noWrap/>
            <w:vAlign w:val="center"/>
          </w:tcPr>
          <w:p w14:paraId="7CABE2AA" w14:textId="77777777" w:rsidR="00206861" w:rsidRPr="00CE45BB" w:rsidRDefault="00206861" w:rsidP="00206861">
            <w:pPr>
              <w:spacing w:before="0" w:after="0"/>
              <w:rPr>
                <w:color w:val="000000"/>
              </w:rPr>
            </w:pPr>
            <w:r w:rsidRPr="00CE45BB">
              <w:rPr>
                <w:color w:val="000000"/>
              </w:rPr>
              <w:t>Waist circumference, cm</w:t>
            </w:r>
          </w:p>
        </w:tc>
        <w:tc>
          <w:tcPr>
            <w:tcW w:w="1028" w:type="pct"/>
            <w:tcBorders>
              <w:top w:val="nil"/>
              <w:left w:val="nil"/>
              <w:right w:val="nil"/>
            </w:tcBorders>
            <w:shd w:val="clear" w:color="auto" w:fill="auto"/>
            <w:noWrap/>
            <w:vAlign w:val="center"/>
          </w:tcPr>
          <w:p w14:paraId="69238E0A" w14:textId="77777777" w:rsidR="00206861" w:rsidRPr="00CE45BB" w:rsidRDefault="00206861" w:rsidP="00206861">
            <w:pPr>
              <w:spacing w:before="0" w:after="0"/>
              <w:rPr>
                <w:color w:val="000000"/>
              </w:rPr>
            </w:pPr>
            <w:r w:rsidRPr="00CE45BB">
              <w:rPr>
                <w:color w:val="000000"/>
              </w:rPr>
              <w:t>Mean (SD)</w:t>
            </w:r>
          </w:p>
        </w:tc>
        <w:tc>
          <w:tcPr>
            <w:tcW w:w="629" w:type="pct"/>
            <w:tcBorders>
              <w:top w:val="nil"/>
              <w:left w:val="nil"/>
              <w:right w:val="nil"/>
            </w:tcBorders>
            <w:shd w:val="clear" w:color="auto" w:fill="auto"/>
            <w:noWrap/>
            <w:vAlign w:val="center"/>
          </w:tcPr>
          <w:p w14:paraId="140D0042" w14:textId="77777777" w:rsidR="00206861" w:rsidRPr="00CE45BB" w:rsidRDefault="00206861" w:rsidP="00206861">
            <w:pPr>
              <w:spacing w:before="0" w:after="0"/>
              <w:rPr>
                <w:color w:val="000000"/>
              </w:rPr>
            </w:pPr>
            <w:r w:rsidRPr="00CE45BB">
              <w:t>101 (12)</w:t>
            </w:r>
          </w:p>
        </w:tc>
        <w:tc>
          <w:tcPr>
            <w:tcW w:w="622" w:type="pct"/>
            <w:tcBorders>
              <w:top w:val="nil"/>
              <w:left w:val="nil"/>
              <w:right w:val="nil"/>
            </w:tcBorders>
            <w:shd w:val="clear" w:color="auto" w:fill="auto"/>
            <w:noWrap/>
            <w:vAlign w:val="center"/>
          </w:tcPr>
          <w:p w14:paraId="51CFA9A9" w14:textId="77777777" w:rsidR="00206861" w:rsidRPr="00CE45BB" w:rsidRDefault="00206861" w:rsidP="00206861">
            <w:pPr>
              <w:spacing w:before="0" w:after="0"/>
              <w:rPr>
                <w:color w:val="000000"/>
              </w:rPr>
            </w:pPr>
            <w:r w:rsidRPr="00CE45BB">
              <w:t>102 (13)</w:t>
            </w:r>
          </w:p>
        </w:tc>
        <w:tc>
          <w:tcPr>
            <w:tcW w:w="469" w:type="pct"/>
            <w:tcBorders>
              <w:top w:val="nil"/>
              <w:left w:val="nil"/>
              <w:right w:val="nil"/>
            </w:tcBorders>
            <w:shd w:val="clear" w:color="auto" w:fill="auto"/>
            <w:noWrap/>
            <w:vAlign w:val="center"/>
          </w:tcPr>
          <w:p w14:paraId="26AC8F63" w14:textId="77777777" w:rsidR="00206861" w:rsidRPr="00CE45BB" w:rsidRDefault="00206861" w:rsidP="00206861">
            <w:pPr>
              <w:spacing w:before="0" w:after="0"/>
              <w:rPr>
                <w:color w:val="000000"/>
              </w:rPr>
            </w:pPr>
            <w:r w:rsidRPr="00CE45BB">
              <w:rPr>
                <w:color w:val="000000"/>
              </w:rPr>
              <w:t>&lt;0.0001</w:t>
            </w:r>
          </w:p>
        </w:tc>
      </w:tr>
      <w:tr w:rsidR="00206861" w:rsidRPr="00CE45BB" w14:paraId="5CE50540" w14:textId="77777777" w:rsidTr="00B6244D">
        <w:trPr>
          <w:trHeight w:val="320"/>
        </w:trPr>
        <w:tc>
          <w:tcPr>
            <w:tcW w:w="2252" w:type="pct"/>
            <w:tcBorders>
              <w:top w:val="nil"/>
              <w:left w:val="nil"/>
              <w:bottom w:val="single" w:sz="4" w:space="0" w:color="auto"/>
              <w:right w:val="nil"/>
            </w:tcBorders>
            <w:shd w:val="clear" w:color="auto" w:fill="auto"/>
            <w:noWrap/>
            <w:vAlign w:val="center"/>
          </w:tcPr>
          <w:p w14:paraId="0399F224" w14:textId="77777777" w:rsidR="00206861" w:rsidRPr="00CE45BB" w:rsidRDefault="00206861" w:rsidP="00206861">
            <w:pPr>
              <w:spacing w:before="0" w:after="0"/>
              <w:rPr>
                <w:color w:val="000000"/>
              </w:rPr>
            </w:pPr>
            <w:r w:rsidRPr="00CE45BB">
              <w:rPr>
                <w:color w:val="000000"/>
              </w:rPr>
              <w:t>Abdominal obesity (%)</w:t>
            </w:r>
          </w:p>
        </w:tc>
        <w:tc>
          <w:tcPr>
            <w:tcW w:w="1028" w:type="pct"/>
            <w:tcBorders>
              <w:top w:val="nil"/>
              <w:left w:val="nil"/>
              <w:bottom w:val="single" w:sz="4" w:space="0" w:color="auto"/>
              <w:right w:val="nil"/>
            </w:tcBorders>
            <w:shd w:val="clear" w:color="auto" w:fill="auto"/>
            <w:noWrap/>
            <w:vAlign w:val="center"/>
          </w:tcPr>
          <w:p w14:paraId="43EB0F11" w14:textId="77777777" w:rsidR="00206861" w:rsidRPr="00CE45BB" w:rsidRDefault="00206861" w:rsidP="00206861">
            <w:pPr>
              <w:spacing w:before="0" w:after="0"/>
              <w:rPr>
                <w:color w:val="000000"/>
              </w:rPr>
            </w:pPr>
            <w:r w:rsidRPr="00CE45BB">
              <w:rPr>
                <w:color w:val="000000"/>
              </w:rPr>
              <w:t>Yes</w:t>
            </w:r>
          </w:p>
        </w:tc>
        <w:tc>
          <w:tcPr>
            <w:tcW w:w="629" w:type="pct"/>
            <w:tcBorders>
              <w:top w:val="nil"/>
              <w:left w:val="nil"/>
              <w:bottom w:val="single" w:sz="4" w:space="0" w:color="auto"/>
              <w:right w:val="nil"/>
            </w:tcBorders>
            <w:shd w:val="clear" w:color="auto" w:fill="auto"/>
            <w:noWrap/>
            <w:vAlign w:val="center"/>
          </w:tcPr>
          <w:p w14:paraId="2BADDDA9" w14:textId="77777777" w:rsidR="00206861" w:rsidRPr="00CE45BB" w:rsidRDefault="00206861" w:rsidP="00206861">
            <w:pPr>
              <w:spacing w:before="0" w:after="0"/>
              <w:rPr>
                <w:color w:val="000000"/>
              </w:rPr>
            </w:pPr>
            <w:r w:rsidRPr="00CE45BB">
              <w:rPr>
                <w:color w:val="000000"/>
              </w:rPr>
              <w:t>63.8</w:t>
            </w:r>
          </w:p>
        </w:tc>
        <w:tc>
          <w:tcPr>
            <w:tcW w:w="622" w:type="pct"/>
            <w:tcBorders>
              <w:top w:val="nil"/>
              <w:left w:val="nil"/>
              <w:bottom w:val="single" w:sz="4" w:space="0" w:color="auto"/>
              <w:right w:val="nil"/>
            </w:tcBorders>
            <w:shd w:val="clear" w:color="auto" w:fill="auto"/>
            <w:noWrap/>
            <w:vAlign w:val="center"/>
          </w:tcPr>
          <w:p w14:paraId="481D781B" w14:textId="77777777" w:rsidR="00206861" w:rsidRPr="00CE45BB" w:rsidRDefault="00206861" w:rsidP="00206861">
            <w:pPr>
              <w:spacing w:before="0" w:after="0"/>
              <w:rPr>
                <w:color w:val="000000"/>
              </w:rPr>
            </w:pPr>
            <w:r w:rsidRPr="00CE45BB">
              <w:rPr>
                <w:color w:val="000000"/>
              </w:rPr>
              <w:t>72.6</w:t>
            </w:r>
          </w:p>
        </w:tc>
        <w:tc>
          <w:tcPr>
            <w:tcW w:w="469" w:type="pct"/>
            <w:tcBorders>
              <w:top w:val="nil"/>
              <w:left w:val="nil"/>
              <w:bottom w:val="single" w:sz="4" w:space="0" w:color="auto"/>
              <w:right w:val="nil"/>
            </w:tcBorders>
            <w:shd w:val="clear" w:color="auto" w:fill="auto"/>
            <w:noWrap/>
            <w:vAlign w:val="center"/>
          </w:tcPr>
          <w:p w14:paraId="2D958A3D" w14:textId="77777777" w:rsidR="00206861" w:rsidRPr="00CE45BB" w:rsidRDefault="00206861" w:rsidP="00206861">
            <w:pPr>
              <w:spacing w:before="0" w:after="0"/>
              <w:rPr>
                <w:color w:val="000000"/>
              </w:rPr>
            </w:pPr>
            <w:r w:rsidRPr="00CE45BB">
              <w:rPr>
                <w:color w:val="000000"/>
              </w:rPr>
              <w:t>&lt;0.0001</w:t>
            </w:r>
          </w:p>
        </w:tc>
      </w:tr>
    </w:tbl>
    <w:p w14:paraId="59073FD7" w14:textId="77777777" w:rsidR="00206861" w:rsidRPr="00CE45BB" w:rsidRDefault="00206861" w:rsidP="00206861">
      <w:pPr>
        <w:spacing w:before="0" w:after="0"/>
        <w:rPr>
          <w:sz w:val="20"/>
          <w:szCs w:val="20"/>
        </w:rPr>
      </w:pPr>
    </w:p>
    <w:p w14:paraId="062901E9" w14:textId="77777777" w:rsidR="00206861" w:rsidRPr="00CE45BB" w:rsidRDefault="00206861" w:rsidP="00206861">
      <w:pPr>
        <w:spacing w:before="0" w:after="0"/>
      </w:pPr>
    </w:p>
    <w:p w14:paraId="6E3B0336" w14:textId="77777777" w:rsidR="00206861" w:rsidRPr="00CE45BB" w:rsidRDefault="00206861" w:rsidP="00206861">
      <w:pPr>
        <w:spacing w:before="0" w:after="0"/>
        <w:jc w:val="both"/>
      </w:pPr>
      <w:r w:rsidRPr="00CE45BB">
        <w:t xml:space="preserve">Abbreviations: </w:t>
      </w:r>
    </w:p>
    <w:p w14:paraId="68F717F7" w14:textId="77777777" w:rsidR="00206861" w:rsidRPr="00CE45BB" w:rsidRDefault="00206861" w:rsidP="00206861">
      <w:pPr>
        <w:spacing w:before="0" w:after="0"/>
        <w:jc w:val="both"/>
      </w:pPr>
      <w:r w:rsidRPr="00CE45BB">
        <w:t>Data are reported as percentages or as means with standard deviations.</w:t>
      </w:r>
    </w:p>
    <w:p w14:paraId="6A5F478E" w14:textId="77777777" w:rsidR="00206861" w:rsidRPr="00CE45BB" w:rsidRDefault="00206861" w:rsidP="00206861">
      <w:pPr>
        <w:spacing w:before="0" w:after="0"/>
        <w:jc w:val="both"/>
      </w:pPr>
      <w:r w:rsidRPr="00CE45BB">
        <w:t xml:space="preserve">All data were obtained at the baseline </w:t>
      </w:r>
      <w:proofErr w:type="gramStart"/>
      <w:r w:rsidRPr="00CE45BB">
        <w:t>evaluation</w:t>
      </w:r>
      <w:proofErr w:type="gramEnd"/>
    </w:p>
    <w:p w14:paraId="6448F0D8" w14:textId="77777777" w:rsidR="00206861" w:rsidRPr="00CE45BB" w:rsidRDefault="00206861" w:rsidP="00206861">
      <w:pPr>
        <w:spacing w:before="0" w:after="0"/>
        <w:jc w:val="both"/>
      </w:pPr>
      <w:proofErr w:type="gramStart"/>
      <w:r w:rsidRPr="00CE45BB">
        <w:rPr>
          <w:vertAlign w:val="superscript"/>
        </w:rPr>
        <w:t xml:space="preserve">a </w:t>
      </w:r>
      <w:r w:rsidRPr="00CE45BB">
        <w:t>P</w:t>
      </w:r>
      <w:proofErr w:type="gramEnd"/>
      <w:r w:rsidRPr="00CE45BB">
        <w:t>-value was estimated by Chi-squared test and independent Student T-</w:t>
      </w:r>
      <w:proofErr w:type="gramStart"/>
      <w:r w:rsidRPr="00CE45BB">
        <w:t>test  for</w:t>
      </w:r>
      <w:proofErr w:type="gramEnd"/>
      <w:r w:rsidRPr="00CE45BB">
        <w:t xml:space="preserve"> categorical and continuous variables, respectively.</w:t>
      </w:r>
    </w:p>
    <w:p w14:paraId="5D4C7BA3" w14:textId="77777777" w:rsidR="00206861" w:rsidRPr="00CE45BB" w:rsidRDefault="00206861" w:rsidP="00206861">
      <w:pPr>
        <w:spacing w:before="0" w:after="0"/>
        <w:sectPr w:rsidR="00206861" w:rsidRPr="00CE45BB" w:rsidSect="000454B6">
          <w:pgSz w:w="11900" w:h="16840"/>
          <w:pgMar w:top="1440" w:right="851" w:bottom="1440" w:left="851" w:header="709" w:footer="709" w:gutter="0"/>
          <w:cols w:space="708"/>
          <w:docGrid w:linePitch="360"/>
        </w:sectPr>
      </w:pPr>
    </w:p>
    <w:tbl>
      <w:tblPr>
        <w:tblW w:w="9492" w:type="dxa"/>
        <w:tblLayout w:type="fixed"/>
        <w:tblLook w:val="04A0" w:firstRow="1" w:lastRow="0" w:firstColumn="1" w:lastColumn="0" w:noHBand="0" w:noVBand="1"/>
      </w:tblPr>
      <w:tblGrid>
        <w:gridCol w:w="2127"/>
        <w:gridCol w:w="3969"/>
        <w:gridCol w:w="918"/>
        <w:gridCol w:w="1377"/>
        <w:gridCol w:w="1101"/>
      </w:tblGrid>
      <w:tr w:rsidR="00206861" w:rsidRPr="00CE45BB" w14:paraId="00BC7DB2" w14:textId="77777777" w:rsidTr="00B6244D">
        <w:trPr>
          <w:trHeight w:val="320"/>
        </w:trPr>
        <w:tc>
          <w:tcPr>
            <w:tcW w:w="9492" w:type="dxa"/>
            <w:gridSpan w:val="5"/>
            <w:tcBorders>
              <w:top w:val="nil"/>
              <w:left w:val="nil"/>
              <w:bottom w:val="single" w:sz="4" w:space="0" w:color="auto"/>
              <w:right w:val="nil"/>
            </w:tcBorders>
            <w:shd w:val="clear" w:color="auto" w:fill="auto"/>
            <w:noWrap/>
            <w:vAlign w:val="center"/>
            <w:hideMark/>
          </w:tcPr>
          <w:p w14:paraId="5A300F01" w14:textId="77777777" w:rsidR="00206861" w:rsidRPr="00CE45BB" w:rsidRDefault="00206861" w:rsidP="00206861">
            <w:pPr>
              <w:spacing w:before="0" w:after="0"/>
              <w:rPr>
                <w:color w:val="000000"/>
              </w:rPr>
            </w:pPr>
            <w:r w:rsidRPr="00CE45BB">
              <w:rPr>
                <w:b/>
                <w:bCs/>
                <w:color w:val="000000"/>
              </w:rPr>
              <w:lastRenderedPageBreak/>
              <w:t xml:space="preserve">Table 2 </w:t>
            </w:r>
            <w:r w:rsidRPr="00CE45BB">
              <w:rPr>
                <w:color w:val="000000"/>
              </w:rPr>
              <w:t>Prospective association between dynapenia, abdominal obesity, or both at baseline and falls at follow-up estimated by multivariable logistic regression</w:t>
            </w:r>
          </w:p>
        </w:tc>
      </w:tr>
      <w:tr w:rsidR="00206861" w:rsidRPr="00CE45BB" w14:paraId="6DCD8CF8" w14:textId="77777777" w:rsidTr="00B6244D">
        <w:trPr>
          <w:trHeight w:val="340"/>
        </w:trPr>
        <w:tc>
          <w:tcPr>
            <w:tcW w:w="2127" w:type="dxa"/>
            <w:tcBorders>
              <w:top w:val="nil"/>
              <w:left w:val="nil"/>
              <w:bottom w:val="double" w:sz="6" w:space="0" w:color="auto"/>
              <w:right w:val="nil"/>
            </w:tcBorders>
            <w:shd w:val="clear" w:color="auto" w:fill="auto"/>
            <w:noWrap/>
            <w:vAlign w:val="center"/>
            <w:hideMark/>
          </w:tcPr>
          <w:p w14:paraId="5A2ED175" w14:textId="77777777" w:rsidR="00206861" w:rsidRPr="00CE45BB" w:rsidRDefault="00206861" w:rsidP="00206861">
            <w:pPr>
              <w:spacing w:before="0" w:after="0"/>
              <w:rPr>
                <w:color w:val="000000"/>
              </w:rPr>
            </w:pPr>
            <w:r w:rsidRPr="00CE45BB">
              <w:rPr>
                <w:color w:val="000000"/>
              </w:rPr>
              <w:t>Characteristic</w:t>
            </w:r>
          </w:p>
        </w:tc>
        <w:tc>
          <w:tcPr>
            <w:tcW w:w="3969" w:type="dxa"/>
            <w:tcBorders>
              <w:top w:val="nil"/>
              <w:left w:val="nil"/>
              <w:bottom w:val="double" w:sz="6" w:space="0" w:color="auto"/>
              <w:right w:val="nil"/>
            </w:tcBorders>
            <w:shd w:val="clear" w:color="auto" w:fill="auto"/>
            <w:noWrap/>
            <w:vAlign w:val="center"/>
            <w:hideMark/>
          </w:tcPr>
          <w:p w14:paraId="51264D65" w14:textId="77777777" w:rsidR="00206861" w:rsidRPr="00CE45BB" w:rsidRDefault="00206861" w:rsidP="00206861">
            <w:pPr>
              <w:spacing w:before="0" w:after="0"/>
              <w:rPr>
                <w:color w:val="000000"/>
              </w:rPr>
            </w:pPr>
            <w:r w:rsidRPr="00CE45BB">
              <w:rPr>
                <w:color w:val="000000"/>
              </w:rPr>
              <w:t> </w:t>
            </w:r>
          </w:p>
        </w:tc>
        <w:tc>
          <w:tcPr>
            <w:tcW w:w="918" w:type="dxa"/>
            <w:tcBorders>
              <w:top w:val="nil"/>
              <w:left w:val="nil"/>
              <w:bottom w:val="double" w:sz="6" w:space="0" w:color="auto"/>
              <w:right w:val="nil"/>
            </w:tcBorders>
            <w:shd w:val="clear" w:color="auto" w:fill="auto"/>
            <w:noWrap/>
            <w:vAlign w:val="center"/>
            <w:hideMark/>
          </w:tcPr>
          <w:p w14:paraId="45740378" w14:textId="77777777" w:rsidR="00206861" w:rsidRPr="00CE45BB" w:rsidRDefault="00206861" w:rsidP="00206861">
            <w:pPr>
              <w:spacing w:before="0" w:after="0"/>
              <w:rPr>
                <w:color w:val="000000"/>
              </w:rPr>
            </w:pPr>
            <w:r w:rsidRPr="00CE45BB">
              <w:rPr>
                <w:color w:val="000000"/>
              </w:rPr>
              <w:t>OR</w:t>
            </w:r>
          </w:p>
        </w:tc>
        <w:tc>
          <w:tcPr>
            <w:tcW w:w="1377" w:type="dxa"/>
            <w:tcBorders>
              <w:top w:val="nil"/>
              <w:left w:val="nil"/>
              <w:bottom w:val="double" w:sz="6" w:space="0" w:color="auto"/>
              <w:right w:val="nil"/>
            </w:tcBorders>
            <w:shd w:val="clear" w:color="auto" w:fill="auto"/>
            <w:noWrap/>
            <w:vAlign w:val="center"/>
            <w:hideMark/>
          </w:tcPr>
          <w:p w14:paraId="0EB5DC07" w14:textId="77777777" w:rsidR="00206861" w:rsidRPr="00CE45BB" w:rsidRDefault="00206861" w:rsidP="00206861">
            <w:pPr>
              <w:spacing w:before="0" w:after="0"/>
              <w:rPr>
                <w:color w:val="000000"/>
              </w:rPr>
            </w:pPr>
            <w:r w:rsidRPr="00CE45BB">
              <w:rPr>
                <w:color w:val="000000"/>
              </w:rPr>
              <w:t>95%CI</w:t>
            </w:r>
          </w:p>
        </w:tc>
        <w:tc>
          <w:tcPr>
            <w:tcW w:w="1101" w:type="dxa"/>
            <w:tcBorders>
              <w:top w:val="nil"/>
              <w:left w:val="nil"/>
              <w:bottom w:val="double" w:sz="6" w:space="0" w:color="auto"/>
              <w:right w:val="nil"/>
            </w:tcBorders>
            <w:shd w:val="clear" w:color="auto" w:fill="auto"/>
            <w:noWrap/>
            <w:vAlign w:val="center"/>
            <w:hideMark/>
          </w:tcPr>
          <w:p w14:paraId="71C6AC51" w14:textId="77777777" w:rsidR="00206861" w:rsidRPr="00CE45BB" w:rsidRDefault="00206861" w:rsidP="00206861">
            <w:pPr>
              <w:spacing w:before="0" w:after="0"/>
              <w:rPr>
                <w:color w:val="000000"/>
              </w:rPr>
            </w:pPr>
            <w:r w:rsidRPr="00CE45BB">
              <w:rPr>
                <w:color w:val="000000"/>
              </w:rPr>
              <w:t>P-value</w:t>
            </w:r>
          </w:p>
        </w:tc>
      </w:tr>
      <w:tr w:rsidR="00206861" w:rsidRPr="00CE45BB" w14:paraId="1E7D7500" w14:textId="77777777" w:rsidTr="00B6244D">
        <w:trPr>
          <w:trHeight w:val="340"/>
        </w:trPr>
        <w:tc>
          <w:tcPr>
            <w:tcW w:w="2127" w:type="dxa"/>
            <w:vMerge w:val="restart"/>
            <w:tcBorders>
              <w:top w:val="nil"/>
              <w:left w:val="nil"/>
              <w:right w:val="nil"/>
            </w:tcBorders>
            <w:shd w:val="clear" w:color="auto" w:fill="auto"/>
            <w:noWrap/>
            <w:vAlign w:val="center"/>
            <w:hideMark/>
          </w:tcPr>
          <w:p w14:paraId="01A5F584" w14:textId="77777777" w:rsidR="00206861" w:rsidRPr="00CE45BB" w:rsidRDefault="00206861" w:rsidP="00206861">
            <w:pPr>
              <w:spacing w:before="0" w:after="0"/>
              <w:jc w:val="both"/>
              <w:rPr>
                <w:color w:val="000000"/>
              </w:rPr>
            </w:pPr>
            <w:r w:rsidRPr="00CE45BB">
              <w:rPr>
                <w:color w:val="000000"/>
              </w:rPr>
              <w:t>DAO</w:t>
            </w:r>
          </w:p>
          <w:p w14:paraId="56C88053" w14:textId="77777777" w:rsidR="00206861" w:rsidRPr="00CE45BB" w:rsidRDefault="00206861" w:rsidP="00206861">
            <w:pPr>
              <w:spacing w:before="0" w:after="0"/>
              <w:jc w:val="both"/>
              <w:rPr>
                <w:color w:val="000000"/>
              </w:rPr>
            </w:pPr>
            <w:r w:rsidRPr="00CE45BB">
              <w:rPr>
                <w:color w:val="000000"/>
              </w:rPr>
              <w:t>status</w:t>
            </w:r>
          </w:p>
        </w:tc>
        <w:tc>
          <w:tcPr>
            <w:tcW w:w="3969" w:type="dxa"/>
            <w:tcBorders>
              <w:top w:val="nil"/>
              <w:left w:val="nil"/>
              <w:bottom w:val="nil"/>
              <w:right w:val="nil"/>
            </w:tcBorders>
            <w:shd w:val="clear" w:color="auto" w:fill="auto"/>
            <w:noWrap/>
            <w:vAlign w:val="center"/>
            <w:hideMark/>
          </w:tcPr>
          <w:p w14:paraId="64EFD2E8" w14:textId="77777777" w:rsidR="00206861" w:rsidRPr="00CE45BB" w:rsidRDefault="00206861" w:rsidP="00206861">
            <w:pPr>
              <w:spacing w:before="0" w:after="0"/>
              <w:rPr>
                <w:color w:val="000000"/>
              </w:rPr>
            </w:pPr>
            <w:r w:rsidRPr="00CE45BB">
              <w:rPr>
                <w:color w:val="000000"/>
              </w:rPr>
              <w:t>No DAO</w:t>
            </w:r>
          </w:p>
        </w:tc>
        <w:tc>
          <w:tcPr>
            <w:tcW w:w="918" w:type="dxa"/>
            <w:tcBorders>
              <w:top w:val="nil"/>
              <w:left w:val="nil"/>
              <w:bottom w:val="nil"/>
              <w:right w:val="nil"/>
            </w:tcBorders>
            <w:shd w:val="clear" w:color="auto" w:fill="auto"/>
            <w:noWrap/>
            <w:vAlign w:val="center"/>
            <w:hideMark/>
          </w:tcPr>
          <w:p w14:paraId="5F7B0305" w14:textId="77777777" w:rsidR="00206861" w:rsidRPr="00CE45BB" w:rsidRDefault="00206861" w:rsidP="00206861">
            <w:pPr>
              <w:spacing w:before="0" w:after="0"/>
              <w:rPr>
                <w:color w:val="000000"/>
              </w:rPr>
            </w:pPr>
            <w:r w:rsidRPr="00CE45BB">
              <w:rPr>
                <w:color w:val="000000"/>
              </w:rPr>
              <w:t>1.0</w:t>
            </w:r>
          </w:p>
        </w:tc>
        <w:tc>
          <w:tcPr>
            <w:tcW w:w="1377" w:type="dxa"/>
            <w:tcBorders>
              <w:top w:val="nil"/>
              <w:left w:val="nil"/>
              <w:bottom w:val="nil"/>
              <w:right w:val="nil"/>
            </w:tcBorders>
            <w:shd w:val="clear" w:color="auto" w:fill="auto"/>
            <w:noWrap/>
            <w:vAlign w:val="center"/>
            <w:hideMark/>
          </w:tcPr>
          <w:p w14:paraId="0D2FB082" w14:textId="77777777" w:rsidR="00206861" w:rsidRPr="00CE45BB" w:rsidRDefault="00206861" w:rsidP="00206861">
            <w:pPr>
              <w:spacing w:before="0" w:after="0"/>
              <w:rPr>
                <w:color w:val="000000"/>
              </w:rPr>
            </w:pPr>
            <w:r w:rsidRPr="00CE45BB">
              <w:rPr>
                <w:color w:val="000000"/>
              </w:rPr>
              <w:t>reference</w:t>
            </w:r>
          </w:p>
        </w:tc>
        <w:tc>
          <w:tcPr>
            <w:tcW w:w="1101" w:type="dxa"/>
            <w:tcBorders>
              <w:top w:val="nil"/>
              <w:left w:val="nil"/>
              <w:bottom w:val="nil"/>
              <w:right w:val="nil"/>
            </w:tcBorders>
            <w:shd w:val="clear" w:color="auto" w:fill="auto"/>
            <w:noWrap/>
            <w:vAlign w:val="center"/>
            <w:hideMark/>
          </w:tcPr>
          <w:p w14:paraId="79932EF5" w14:textId="77777777" w:rsidR="00206861" w:rsidRPr="00CE45BB" w:rsidRDefault="00206861" w:rsidP="00206861">
            <w:pPr>
              <w:spacing w:before="0" w:after="0"/>
            </w:pPr>
          </w:p>
        </w:tc>
      </w:tr>
      <w:tr w:rsidR="00206861" w:rsidRPr="00CE45BB" w14:paraId="502B1564" w14:textId="77777777" w:rsidTr="00B6244D">
        <w:trPr>
          <w:trHeight w:val="320"/>
        </w:trPr>
        <w:tc>
          <w:tcPr>
            <w:tcW w:w="2127" w:type="dxa"/>
            <w:vMerge/>
            <w:tcBorders>
              <w:left w:val="nil"/>
              <w:right w:val="nil"/>
            </w:tcBorders>
            <w:shd w:val="clear" w:color="auto" w:fill="auto"/>
            <w:noWrap/>
            <w:vAlign w:val="center"/>
            <w:hideMark/>
          </w:tcPr>
          <w:p w14:paraId="4DFE4E8D" w14:textId="77777777" w:rsidR="00206861" w:rsidRPr="00CE45BB" w:rsidRDefault="00206861" w:rsidP="00206861">
            <w:pPr>
              <w:spacing w:before="0" w:after="0"/>
              <w:jc w:val="both"/>
              <w:rPr>
                <w:color w:val="000000"/>
              </w:rPr>
            </w:pPr>
          </w:p>
        </w:tc>
        <w:tc>
          <w:tcPr>
            <w:tcW w:w="3969" w:type="dxa"/>
            <w:tcBorders>
              <w:top w:val="nil"/>
              <w:left w:val="nil"/>
              <w:bottom w:val="nil"/>
              <w:right w:val="nil"/>
            </w:tcBorders>
            <w:shd w:val="clear" w:color="auto" w:fill="auto"/>
            <w:noWrap/>
            <w:vAlign w:val="center"/>
            <w:hideMark/>
          </w:tcPr>
          <w:p w14:paraId="301850FD" w14:textId="77777777" w:rsidR="00206861" w:rsidRPr="00CE45BB" w:rsidRDefault="00206861" w:rsidP="00206861">
            <w:pPr>
              <w:spacing w:before="0" w:after="0"/>
              <w:rPr>
                <w:color w:val="000000"/>
              </w:rPr>
            </w:pPr>
            <w:r w:rsidRPr="00CE45BB">
              <w:rPr>
                <w:color w:val="000000"/>
              </w:rPr>
              <w:t>Only dynapenia</w:t>
            </w:r>
          </w:p>
        </w:tc>
        <w:tc>
          <w:tcPr>
            <w:tcW w:w="918" w:type="dxa"/>
            <w:tcBorders>
              <w:top w:val="nil"/>
              <w:left w:val="nil"/>
              <w:bottom w:val="nil"/>
              <w:right w:val="nil"/>
            </w:tcBorders>
            <w:shd w:val="clear" w:color="auto" w:fill="auto"/>
            <w:noWrap/>
            <w:vAlign w:val="center"/>
          </w:tcPr>
          <w:p w14:paraId="2FE7C49D" w14:textId="77777777" w:rsidR="00206861" w:rsidRPr="00CE45BB" w:rsidRDefault="00206861" w:rsidP="00206861">
            <w:pPr>
              <w:spacing w:before="0" w:after="0"/>
              <w:rPr>
                <w:color w:val="000000"/>
              </w:rPr>
            </w:pPr>
            <w:r w:rsidRPr="00CE45BB">
              <w:rPr>
                <w:color w:val="000000"/>
              </w:rPr>
              <w:t>1.18</w:t>
            </w:r>
          </w:p>
        </w:tc>
        <w:tc>
          <w:tcPr>
            <w:tcW w:w="1377" w:type="dxa"/>
            <w:tcBorders>
              <w:top w:val="nil"/>
              <w:left w:val="nil"/>
              <w:bottom w:val="nil"/>
              <w:right w:val="nil"/>
            </w:tcBorders>
            <w:shd w:val="clear" w:color="auto" w:fill="auto"/>
            <w:noWrap/>
            <w:vAlign w:val="center"/>
          </w:tcPr>
          <w:p w14:paraId="696E988B" w14:textId="77777777" w:rsidR="00206861" w:rsidRPr="00CE45BB" w:rsidRDefault="00206861" w:rsidP="00206861">
            <w:pPr>
              <w:spacing w:before="0" w:after="0"/>
              <w:rPr>
                <w:color w:val="000000"/>
              </w:rPr>
            </w:pPr>
            <w:r w:rsidRPr="00CE45BB">
              <w:rPr>
                <w:color w:val="000000"/>
              </w:rPr>
              <w:t>0.73-1.91</w:t>
            </w:r>
          </w:p>
        </w:tc>
        <w:tc>
          <w:tcPr>
            <w:tcW w:w="1101" w:type="dxa"/>
            <w:tcBorders>
              <w:top w:val="nil"/>
              <w:left w:val="nil"/>
              <w:bottom w:val="nil"/>
              <w:right w:val="nil"/>
            </w:tcBorders>
            <w:shd w:val="clear" w:color="auto" w:fill="auto"/>
            <w:noWrap/>
            <w:vAlign w:val="center"/>
          </w:tcPr>
          <w:p w14:paraId="52DF00B6" w14:textId="77777777" w:rsidR="00206861" w:rsidRPr="00CE45BB" w:rsidRDefault="00206861" w:rsidP="00206861">
            <w:pPr>
              <w:spacing w:before="0" w:after="0"/>
              <w:rPr>
                <w:color w:val="000000"/>
              </w:rPr>
            </w:pPr>
            <w:r w:rsidRPr="00CE45BB">
              <w:rPr>
                <w:color w:val="000000"/>
              </w:rPr>
              <w:t>0.50</w:t>
            </w:r>
          </w:p>
        </w:tc>
      </w:tr>
      <w:tr w:rsidR="00206861" w:rsidRPr="00CE45BB" w14:paraId="194DD9B1" w14:textId="77777777" w:rsidTr="00B6244D">
        <w:trPr>
          <w:trHeight w:val="320"/>
        </w:trPr>
        <w:tc>
          <w:tcPr>
            <w:tcW w:w="2127" w:type="dxa"/>
            <w:vMerge/>
            <w:tcBorders>
              <w:left w:val="nil"/>
              <w:right w:val="nil"/>
            </w:tcBorders>
            <w:shd w:val="clear" w:color="auto" w:fill="auto"/>
            <w:noWrap/>
            <w:vAlign w:val="center"/>
            <w:hideMark/>
          </w:tcPr>
          <w:p w14:paraId="1FE07DEA" w14:textId="77777777" w:rsidR="00206861" w:rsidRPr="00CE45BB" w:rsidRDefault="00206861" w:rsidP="00206861">
            <w:pPr>
              <w:spacing w:before="0" w:after="0"/>
              <w:jc w:val="both"/>
              <w:rPr>
                <w:color w:val="000000"/>
              </w:rPr>
            </w:pPr>
          </w:p>
        </w:tc>
        <w:tc>
          <w:tcPr>
            <w:tcW w:w="3969" w:type="dxa"/>
            <w:tcBorders>
              <w:top w:val="nil"/>
              <w:left w:val="nil"/>
              <w:bottom w:val="nil"/>
              <w:right w:val="nil"/>
            </w:tcBorders>
            <w:shd w:val="clear" w:color="auto" w:fill="auto"/>
            <w:noWrap/>
            <w:vAlign w:val="center"/>
            <w:hideMark/>
          </w:tcPr>
          <w:p w14:paraId="024B32A8" w14:textId="77777777" w:rsidR="00206861" w:rsidRPr="00CE45BB" w:rsidRDefault="00206861" w:rsidP="00206861">
            <w:pPr>
              <w:spacing w:before="0" w:after="0"/>
              <w:rPr>
                <w:color w:val="000000"/>
              </w:rPr>
            </w:pPr>
            <w:r w:rsidRPr="00CE45BB">
              <w:rPr>
                <w:color w:val="000000"/>
              </w:rPr>
              <w:t>Only abdominal obesity</w:t>
            </w:r>
          </w:p>
        </w:tc>
        <w:tc>
          <w:tcPr>
            <w:tcW w:w="918" w:type="dxa"/>
            <w:tcBorders>
              <w:top w:val="nil"/>
              <w:left w:val="nil"/>
              <w:bottom w:val="nil"/>
              <w:right w:val="nil"/>
            </w:tcBorders>
            <w:shd w:val="clear" w:color="auto" w:fill="auto"/>
            <w:noWrap/>
            <w:vAlign w:val="center"/>
          </w:tcPr>
          <w:p w14:paraId="19E316CC" w14:textId="77777777" w:rsidR="00206861" w:rsidRPr="00CE45BB" w:rsidRDefault="00206861" w:rsidP="00206861">
            <w:pPr>
              <w:spacing w:before="0" w:after="0"/>
              <w:rPr>
                <w:color w:val="000000"/>
              </w:rPr>
            </w:pPr>
            <w:r w:rsidRPr="00CE45BB">
              <w:rPr>
                <w:color w:val="000000"/>
              </w:rPr>
              <w:t>1.30</w:t>
            </w:r>
          </w:p>
        </w:tc>
        <w:tc>
          <w:tcPr>
            <w:tcW w:w="1377" w:type="dxa"/>
            <w:tcBorders>
              <w:top w:val="nil"/>
              <w:left w:val="nil"/>
              <w:bottom w:val="nil"/>
              <w:right w:val="nil"/>
            </w:tcBorders>
            <w:shd w:val="clear" w:color="auto" w:fill="auto"/>
            <w:noWrap/>
            <w:vAlign w:val="center"/>
          </w:tcPr>
          <w:p w14:paraId="37EE59B1" w14:textId="77777777" w:rsidR="00206861" w:rsidRPr="00CE45BB" w:rsidRDefault="00206861" w:rsidP="00206861">
            <w:pPr>
              <w:spacing w:before="0" w:after="0"/>
              <w:rPr>
                <w:color w:val="000000"/>
              </w:rPr>
            </w:pPr>
            <w:r w:rsidRPr="00CE45BB">
              <w:rPr>
                <w:color w:val="000000"/>
              </w:rPr>
              <w:t>1.09-1.56</w:t>
            </w:r>
          </w:p>
        </w:tc>
        <w:tc>
          <w:tcPr>
            <w:tcW w:w="1101" w:type="dxa"/>
            <w:tcBorders>
              <w:top w:val="nil"/>
              <w:left w:val="nil"/>
              <w:bottom w:val="nil"/>
              <w:right w:val="nil"/>
            </w:tcBorders>
            <w:shd w:val="clear" w:color="auto" w:fill="auto"/>
            <w:noWrap/>
            <w:vAlign w:val="center"/>
          </w:tcPr>
          <w:p w14:paraId="4DF3B404" w14:textId="77777777" w:rsidR="00206861" w:rsidRPr="00CE45BB" w:rsidRDefault="00206861" w:rsidP="00206861">
            <w:pPr>
              <w:spacing w:before="0" w:after="0"/>
              <w:rPr>
                <w:color w:val="000000"/>
              </w:rPr>
            </w:pPr>
            <w:r w:rsidRPr="00CE45BB">
              <w:rPr>
                <w:color w:val="000000"/>
              </w:rPr>
              <w:t>0.004</w:t>
            </w:r>
          </w:p>
        </w:tc>
      </w:tr>
      <w:tr w:rsidR="00206861" w:rsidRPr="00CE45BB" w14:paraId="63E90383" w14:textId="77777777" w:rsidTr="00B6244D">
        <w:trPr>
          <w:trHeight w:val="320"/>
        </w:trPr>
        <w:tc>
          <w:tcPr>
            <w:tcW w:w="2127" w:type="dxa"/>
            <w:vMerge/>
            <w:tcBorders>
              <w:left w:val="nil"/>
              <w:bottom w:val="nil"/>
              <w:right w:val="nil"/>
            </w:tcBorders>
            <w:shd w:val="clear" w:color="auto" w:fill="auto"/>
            <w:noWrap/>
            <w:vAlign w:val="center"/>
            <w:hideMark/>
          </w:tcPr>
          <w:p w14:paraId="5AA525C7" w14:textId="77777777" w:rsidR="00206861" w:rsidRPr="00CE45BB" w:rsidRDefault="00206861" w:rsidP="00206861">
            <w:pPr>
              <w:spacing w:before="0" w:after="0"/>
              <w:jc w:val="both"/>
              <w:rPr>
                <w:color w:val="000000"/>
              </w:rPr>
            </w:pPr>
          </w:p>
        </w:tc>
        <w:tc>
          <w:tcPr>
            <w:tcW w:w="3969" w:type="dxa"/>
            <w:tcBorders>
              <w:top w:val="nil"/>
              <w:left w:val="nil"/>
              <w:bottom w:val="nil"/>
              <w:right w:val="nil"/>
            </w:tcBorders>
            <w:shd w:val="clear" w:color="auto" w:fill="auto"/>
            <w:noWrap/>
            <w:vAlign w:val="center"/>
            <w:hideMark/>
          </w:tcPr>
          <w:p w14:paraId="0CA73244" w14:textId="77777777" w:rsidR="00206861" w:rsidRPr="00CE45BB" w:rsidRDefault="00206861" w:rsidP="00206861">
            <w:pPr>
              <w:spacing w:before="0" w:after="0"/>
              <w:rPr>
                <w:color w:val="000000"/>
              </w:rPr>
            </w:pPr>
            <w:r w:rsidRPr="00CE45BB">
              <w:rPr>
                <w:color w:val="000000"/>
              </w:rPr>
              <w:t>DAO</w:t>
            </w:r>
          </w:p>
        </w:tc>
        <w:tc>
          <w:tcPr>
            <w:tcW w:w="918" w:type="dxa"/>
            <w:tcBorders>
              <w:top w:val="nil"/>
              <w:left w:val="nil"/>
              <w:bottom w:val="nil"/>
              <w:right w:val="nil"/>
            </w:tcBorders>
            <w:shd w:val="clear" w:color="auto" w:fill="auto"/>
            <w:noWrap/>
            <w:vAlign w:val="center"/>
          </w:tcPr>
          <w:p w14:paraId="05400E8F" w14:textId="77777777" w:rsidR="00206861" w:rsidRPr="00CE45BB" w:rsidRDefault="00206861" w:rsidP="00206861">
            <w:pPr>
              <w:spacing w:before="0" w:after="0"/>
              <w:rPr>
                <w:color w:val="000000"/>
              </w:rPr>
            </w:pPr>
            <w:r w:rsidRPr="00CE45BB">
              <w:rPr>
                <w:color w:val="000000"/>
              </w:rPr>
              <w:t>1.31</w:t>
            </w:r>
          </w:p>
        </w:tc>
        <w:tc>
          <w:tcPr>
            <w:tcW w:w="1377" w:type="dxa"/>
            <w:tcBorders>
              <w:top w:val="nil"/>
              <w:left w:val="nil"/>
              <w:bottom w:val="nil"/>
              <w:right w:val="nil"/>
            </w:tcBorders>
            <w:shd w:val="clear" w:color="auto" w:fill="auto"/>
            <w:noWrap/>
            <w:vAlign w:val="center"/>
          </w:tcPr>
          <w:p w14:paraId="057B2BBD" w14:textId="77777777" w:rsidR="00206861" w:rsidRPr="00CE45BB" w:rsidRDefault="00206861" w:rsidP="00206861">
            <w:pPr>
              <w:spacing w:before="0" w:after="0"/>
              <w:rPr>
                <w:color w:val="000000"/>
              </w:rPr>
            </w:pPr>
            <w:r w:rsidRPr="00CE45BB">
              <w:rPr>
                <w:color w:val="000000"/>
              </w:rPr>
              <w:t>1.01-1.73</w:t>
            </w:r>
          </w:p>
        </w:tc>
        <w:tc>
          <w:tcPr>
            <w:tcW w:w="1101" w:type="dxa"/>
            <w:tcBorders>
              <w:top w:val="nil"/>
              <w:left w:val="nil"/>
              <w:bottom w:val="nil"/>
              <w:right w:val="nil"/>
            </w:tcBorders>
            <w:shd w:val="clear" w:color="auto" w:fill="auto"/>
            <w:noWrap/>
            <w:vAlign w:val="center"/>
          </w:tcPr>
          <w:p w14:paraId="6149B671" w14:textId="77777777" w:rsidR="00206861" w:rsidRPr="00CE45BB" w:rsidRDefault="00206861" w:rsidP="00206861">
            <w:pPr>
              <w:spacing w:before="0" w:after="0"/>
              <w:rPr>
                <w:color w:val="000000"/>
              </w:rPr>
            </w:pPr>
            <w:r w:rsidRPr="00CE45BB">
              <w:rPr>
                <w:color w:val="000000"/>
              </w:rPr>
              <w:t>0.04</w:t>
            </w:r>
          </w:p>
        </w:tc>
      </w:tr>
      <w:tr w:rsidR="00206861" w:rsidRPr="00CE45BB" w14:paraId="682849C1" w14:textId="77777777" w:rsidTr="00B6244D">
        <w:trPr>
          <w:trHeight w:val="320"/>
        </w:trPr>
        <w:tc>
          <w:tcPr>
            <w:tcW w:w="2127" w:type="dxa"/>
            <w:tcBorders>
              <w:top w:val="nil"/>
              <w:left w:val="nil"/>
              <w:bottom w:val="nil"/>
              <w:right w:val="nil"/>
            </w:tcBorders>
            <w:shd w:val="clear" w:color="auto" w:fill="auto"/>
            <w:noWrap/>
            <w:vAlign w:val="center"/>
            <w:hideMark/>
          </w:tcPr>
          <w:p w14:paraId="7D389918" w14:textId="77777777" w:rsidR="00206861" w:rsidRPr="00CE45BB" w:rsidRDefault="00206861" w:rsidP="00206861">
            <w:pPr>
              <w:spacing w:before="0" w:after="0"/>
              <w:jc w:val="both"/>
              <w:rPr>
                <w:color w:val="000000"/>
              </w:rPr>
            </w:pPr>
            <w:r w:rsidRPr="00CE45BB">
              <w:rPr>
                <w:color w:val="000000"/>
              </w:rPr>
              <w:t>Sex</w:t>
            </w:r>
          </w:p>
        </w:tc>
        <w:tc>
          <w:tcPr>
            <w:tcW w:w="3969" w:type="dxa"/>
            <w:tcBorders>
              <w:top w:val="nil"/>
              <w:left w:val="nil"/>
              <w:bottom w:val="nil"/>
              <w:right w:val="nil"/>
            </w:tcBorders>
            <w:shd w:val="clear" w:color="auto" w:fill="auto"/>
            <w:noWrap/>
            <w:vAlign w:val="center"/>
            <w:hideMark/>
          </w:tcPr>
          <w:p w14:paraId="7F562C1F" w14:textId="77777777" w:rsidR="00206861" w:rsidRPr="00CE45BB" w:rsidRDefault="00206861" w:rsidP="00206861">
            <w:pPr>
              <w:spacing w:before="0" w:after="0"/>
              <w:rPr>
                <w:color w:val="000000"/>
              </w:rPr>
            </w:pPr>
            <w:r w:rsidRPr="00CE45BB">
              <w:rPr>
                <w:color w:val="000000"/>
              </w:rPr>
              <w:t>Male</w:t>
            </w:r>
          </w:p>
        </w:tc>
        <w:tc>
          <w:tcPr>
            <w:tcW w:w="918" w:type="dxa"/>
            <w:tcBorders>
              <w:top w:val="nil"/>
              <w:left w:val="nil"/>
              <w:bottom w:val="nil"/>
              <w:right w:val="nil"/>
            </w:tcBorders>
            <w:shd w:val="clear" w:color="auto" w:fill="auto"/>
            <w:noWrap/>
            <w:vAlign w:val="center"/>
          </w:tcPr>
          <w:p w14:paraId="27E78B96" w14:textId="77777777" w:rsidR="00206861" w:rsidRPr="00CE45BB" w:rsidRDefault="00206861" w:rsidP="00206861">
            <w:pPr>
              <w:spacing w:before="0" w:after="0"/>
              <w:rPr>
                <w:color w:val="000000"/>
              </w:rPr>
            </w:pPr>
            <w:r w:rsidRPr="00CE45BB">
              <w:rPr>
                <w:color w:val="000000"/>
              </w:rPr>
              <w:t>1</w:t>
            </w:r>
          </w:p>
        </w:tc>
        <w:tc>
          <w:tcPr>
            <w:tcW w:w="1377" w:type="dxa"/>
            <w:tcBorders>
              <w:top w:val="nil"/>
              <w:left w:val="nil"/>
              <w:bottom w:val="nil"/>
              <w:right w:val="nil"/>
            </w:tcBorders>
            <w:shd w:val="clear" w:color="auto" w:fill="auto"/>
            <w:noWrap/>
            <w:vAlign w:val="center"/>
          </w:tcPr>
          <w:p w14:paraId="78E2C9BD" w14:textId="77777777" w:rsidR="00206861" w:rsidRPr="00CE45BB" w:rsidRDefault="00206861" w:rsidP="00206861">
            <w:pPr>
              <w:spacing w:before="0" w:after="0"/>
              <w:rPr>
                <w:color w:val="000000"/>
              </w:rPr>
            </w:pPr>
          </w:p>
        </w:tc>
        <w:tc>
          <w:tcPr>
            <w:tcW w:w="1101" w:type="dxa"/>
            <w:tcBorders>
              <w:top w:val="nil"/>
              <w:left w:val="nil"/>
              <w:bottom w:val="nil"/>
              <w:right w:val="nil"/>
            </w:tcBorders>
            <w:shd w:val="clear" w:color="auto" w:fill="auto"/>
            <w:noWrap/>
            <w:vAlign w:val="center"/>
          </w:tcPr>
          <w:p w14:paraId="2F62461B" w14:textId="77777777" w:rsidR="00206861" w:rsidRPr="00CE45BB" w:rsidRDefault="00206861" w:rsidP="00206861">
            <w:pPr>
              <w:spacing w:before="0" w:after="0"/>
            </w:pPr>
          </w:p>
        </w:tc>
      </w:tr>
      <w:tr w:rsidR="00206861" w:rsidRPr="00CE45BB" w14:paraId="65914F45" w14:textId="77777777" w:rsidTr="00B6244D">
        <w:trPr>
          <w:trHeight w:val="320"/>
        </w:trPr>
        <w:tc>
          <w:tcPr>
            <w:tcW w:w="2127" w:type="dxa"/>
            <w:tcBorders>
              <w:top w:val="nil"/>
              <w:left w:val="nil"/>
              <w:bottom w:val="nil"/>
              <w:right w:val="nil"/>
            </w:tcBorders>
            <w:shd w:val="clear" w:color="auto" w:fill="auto"/>
            <w:noWrap/>
            <w:vAlign w:val="center"/>
            <w:hideMark/>
          </w:tcPr>
          <w:p w14:paraId="6CA26A0C" w14:textId="77777777" w:rsidR="00206861" w:rsidRPr="00CE45BB" w:rsidRDefault="00206861" w:rsidP="00206861">
            <w:pPr>
              <w:spacing w:before="0" w:after="0"/>
              <w:jc w:val="both"/>
            </w:pPr>
          </w:p>
        </w:tc>
        <w:tc>
          <w:tcPr>
            <w:tcW w:w="3969" w:type="dxa"/>
            <w:tcBorders>
              <w:top w:val="nil"/>
              <w:left w:val="nil"/>
              <w:bottom w:val="nil"/>
              <w:right w:val="nil"/>
            </w:tcBorders>
            <w:shd w:val="clear" w:color="auto" w:fill="auto"/>
            <w:noWrap/>
            <w:vAlign w:val="center"/>
            <w:hideMark/>
          </w:tcPr>
          <w:p w14:paraId="2DCB2EA5" w14:textId="77777777" w:rsidR="00206861" w:rsidRPr="00CE45BB" w:rsidRDefault="00206861" w:rsidP="00206861">
            <w:pPr>
              <w:spacing w:before="0" w:after="0"/>
              <w:rPr>
                <w:color w:val="000000"/>
              </w:rPr>
            </w:pPr>
            <w:r w:rsidRPr="00CE45BB">
              <w:rPr>
                <w:color w:val="000000"/>
              </w:rPr>
              <w:t>Female</w:t>
            </w:r>
          </w:p>
        </w:tc>
        <w:tc>
          <w:tcPr>
            <w:tcW w:w="918" w:type="dxa"/>
            <w:tcBorders>
              <w:top w:val="nil"/>
              <w:left w:val="nil"/>
              <w:bottom w:val="nil"/>
              <w:right w:val="nil"/>
            </w:tcBorders>
            <w:shd w:val="clear" w:color="auto" w:fill="auto"/>
            <w:noWrap/>
            <w:vAlign w:val="center"/>
          </w:tcPr>
          <w:p w14:paraId="66C93326" w14:textId="77777777" w:rsidR="00206861" w:rsidRPr="00CE45BB" w:rsidRDefault="00206861" w:rsidP="00206861">
            <w:pPr>
              <w:spacing w:before="0" w:after="0"/>
              <w:rPr>
                <w:color w:val="000000"/>
              </w:rPr>
            </w:pPr>
            <w:r w:rsidRPr="00CE45BB">
              <w:rPr>
                <w:color w:val="000000"/>
              </w:rPr>
              <w:t>1.57</w:t>
            </w:r>
          </w:p>
        </w:tc>
        <w:tc>
          <w:tcPr>
            <w:tcW w:w="1377" w:type="dxa"/>
            <w:tcBorders>
              <w:top w:val="nil"/>
              <w:left w:val="nil"/>
              <w:bottom w:val="nil"/>
              <w:right w:val="nil"/>
            </w:tcBorders>
            <w:shd w:val="clear" w:color="auto" w:fill="auto"/>
            <w:noWrap/>
            <w:vAlign w:val="center"/>
          </w:tcPr>
          <w:p w14:paraId="4FBC3662" w14:textId="77777777" w:rsidR="00206861" w:rsidRPr="00CE45BB" w:rsidRDefault="00206861" w:rsidP="00206861">
            <w:pPr>
              <w:spacing w:before="0" w:after="0"/>
              <w:rPr>
                <w:color w:val="000000"/>
              </w:rPr>
            </w:pPr>
            <w:r w:rsidRPr="00CE45BB">
              <w:rPr>
                <w:color w:val="000000"/>
              </w:rPr>
              <w:t>1.33-1.85</w:t>
            </w:r>
          </w:p>
        </w:tc>
        <w:tc>
          <w:tcPr>
            <w:tcW w:w="1101" w:type="dxa"/>
            <w:tcBorders>
              <w:top w:val="nil"/>
              <w:left w:val="nil"/>
              <w:bottom w:val="nil"/>
              <w:right w:val="nil"/>
            </w:tcBorders>
            <w:shd w:val="clear" w:color="auto" w:fill="auto"/>
            <w:noWrap/>
            <w:vAlign w:val="center"/>
          </w:tcPr>
          <w:p w14:paraId="027F37EE" w14:textId="77777777" w:rsidR="00206861" w:rsidRPr="00CE45BB" w:rsidRDefault="00206861" w:rsidP="00206861">
            <w:pPr>
              <w:spacing w:before="0" w:after="0"/>
              <w:rPr>
                <w:color w:val="000000"/>
              </w:rPr>
            </w:pPr>
            <w:r w:rsidRPr="00CE45BB">
              <w:rPr>
                <w:color w:val="000000"/>
              </w:rPr>
              <w:t>&lt;0.0001</w:t>
            </w:r>
          </w:p>
        </w:tc>
      </w:tr>
      <w:tr w:rsidR="00206861" w:rsidRPr="00CE45BB" w14:paraId="11652A0B" w14:textId="77777777" w:rsidTr="00B6244D">
        <w:trPr>
          <w:trHeight w:val="320"/>
        </w:trPr>
        <w:tc>
          <w:tcPr>
            <w:tcW w:w="2127" w:type="dxa"/>
            <w:tcBorders>
              <w:top w:val="nil"/>
              <w:left w:val="nil"/>
              <w:bottom w:val="nil"/>
              <w:right w:val="nil"/>
            </w:tcBorders>
            <w:shd w:val="clear" w:color="auto" w:fill="auto"/>
            <w:noWrap/>
            <w:vAlign w:val="center"/>
            <w:hideMark/>
          </w:tcPr>
          <w:p w14:paraId="129AF18C" w14:textId="77777777" w:rsidR="00206861" w:rsidRPr="00CE45BB" w:rsidRDefault="00206861" w:rsidP="00206861">
            <w:pPr>
              <w:spacing w:before="0" w:after="0"/>
              <w:jc w:val="both"/>
              <w:rPr>
                <w:color w:val="000000"/>
              </w:rPr>
            </w:pPr>
            <w:r w:rsidRPr="00CE45BB">
              <w:rPr>
                <w:color w:val="000000"/>
              </w:rPr>
              <w:t>Age</w:t>
            </w:r>
          </w:p>
        </w:tc>
        <w:tc>
          <w:tcPr>
            <w:tcW w:w="3969" w:type="dxa"/>
            <w:tcBorders>
              <w:top w:val="nil"/>
              <w:left w:val="nil"/>
              <w:bottom w:val="nil"/>
              <w:right w:val="nil"/>
            </w:tcBorders>
            <w:shd w:val="clear" w:color="auto" w:fill="auto"/>
            <w:noWrap/>
            <w:vAlign w:val="center"/>
            <w:hideMark/>
          </w:tcPr>
          <w:p w14:paraId="5D314C6B" w14:textId="77777777" w:rsidR="00206861" w:rsidRPr="00CE45BB" w:rsidRDefault="00206861" w:rsidP="00206861">
            <w:pPr>
              <w:spacing w:before="0" w:after="0"/>
              <w:rPr>
                <w:color w:val="000000"/>
              </w:rPr>
            </w:pPr>
            <w:r w:rsidRPr="00CE45BB">
              <w:rPr>
                <w:color w:val="000000"/>
              </w:rPr>
              <w:t>One year increase</w:t>
            </w:r>
          </w:p>
        </w:tc>
        <w:tc>
          <w:tcPr>
            <w:tcW w:w="918" w:type="dxa"/>
            <w:tcBorders>
              <w:top w:val="nil"/>
              <w:left w:val="nil"/>
              <w:bottom w:val="nil"/>
              <w:right w:val="nil"/>
            </w:tcBorders>
            <w:shd w:val="clear" w:color="auto" w:fill="auto"/>
            <w:noWrap/>
            <w:vAlign w:val="center"/>
          </w:tcPr>
          <w:p w14:paraId="474D866D" w14:textId="77777777" w:rsidR="00206861" w:rsidRPr="00CE45BB" w:rsidRDefault="00206861" w:rsidP="00206861">
            <w:pPr>
              <w:spacing w:before="0" w:after="0"/>
              <w:rPr>
                <w:color w:val="000000"/>
              </w:rPr>
            </w:pPr>
            <w:r w:rsidRPr="00CE45BB">
              <w:rPr>
                <w:color w:val="000000"/>
              </w:rPr>
              <w:t>1.004</w:t>
            </w:r>
          </w:p>
        </w:tc>
        <w:tc>
          <w:tcPr>
            <w:tcW w:w="1377" w:type="dxa"/>
            <w:tcBorders>
              <w:top w:val="nil"/>
              <w:left w:val="nil"/>
              <w:bottom w:val="nil"/>
              <w:right w:val="nil"/>
            </w:tcBorders>
            <w:shd w:val="clear" w:color="auto" w:fill="auto"/>
            <w:noWrap/>
            <w:vAlign w:val="center"/>
          </w:tcPr>
          <w:p w14:paraId="042AF079" w14:textId="77777777" w:rsidR="00206861" w:rsidRPr="00CE45BB" w:rsidRDefault="00206861" w:rsidP="00206861">
            <w:pPr>
              <w:spacing w:before="0" w:after="0"/>
              <w:rPr>
                <w:color w:val="000000"/>
              </w:rPr>
            </w:pPr>
            <w:r w:rsidRPr="00CE45BB">
              <w:rPr>
                <w:color w:val="000000"/>
              </w:rPr>
              <w:t>0.995-1.013</w:t>
            </w:r>
          </w:p>
        </w:tc>
        <w:tc>
          <w:tcPr>
            <w:tcW w:w="1101" w:type="dxa"/>
            <w:tcBorders>
              <w:top w:val="nil"/>
              <w:left w:val="nil"/>
              <w:bottom w:val="nil"/>
              <w:right w:val="nil"/>
            </w:tcBorders>
            <w:shd w:val="clear" w:color="auto" w:fill="auto"/>
            <w:noWrap/>
            <w:vAlign w:val="center"/>
          </w:tcPr>
          <w:p w14:paraId="7E580282" w14:textId="77777777" w:rsidR="00206861" w:rsidRPr="00CE45BB" w:rsidRDefault="00206861" w:rsidP="00206861">
            <w:pPr>
              <w:spacing w:before="0" w:after="0"/>
              <w:rPr>
                <w:color w:val="000000"/>
              </w:rPr>
            </w:pPr>
            <w:r w:rsidRPr="00CE45BB">
              <w:rPr>
                <w:color w:val="000000"/>
              </w:rPr>
              <w:t>0.39</w:t>
            </w:r>
          </w:p>
        </w:tc>
      </w:tr>
      <w:tr w:rsidR="00206861" w:rsidRPr="00CE45BB" w14:paraId="3EF16BD3" w14:textId="77777777" w:rsidTr="00B6244D">
        <w:trPr>
          <w:trHeight w:val="320"/>
        </w:trPr>
        <w:tc>
          <w:tcPr>
            <w:tcW w:w="2127" w:type="dxa"/>
            <w:tcBorders>
              <w:top w:val="nil"/>
              <w:left w:val="nil"/>
              <w:bottom w:val="nil"/>
              <w:right w:val="nil"/>
            </w:tcBorders>
            <w:shd w:val="clear" w:color="auto" w:fill="auto"/>
            <w:noWrap/>
            <w:vAlign w:val="center"/>
          </w:tcPr>
          <w:p w14:paraId="710AA25D" w14:textId="77777777" w:rsidR="00206861" w:rsidRPr="00CE45BB" w:rsidRDefault="00206861" w:rsidP="00206861">
            <w:pPr>
              <w:spacing w:before="0" w:after="0"/>
              <w:jc w:val="both"/>
              <w:rPr>
                <w:color w:val="000000"/>
              </w:rPr>
            </w:pPr>
            <w:r w:rsidRPr="00CE45BB">
              <w:rPr>
                <w:color w:val="000000"/>
              </w:rPr>
              <w:t>Ethnicity</w:t>
            </w:r>
          </w:p>
        </w:tc>
        <w:tc>
          <w:tcPr>
            <w:tcW w:w="3969" w:type="dxa"/>
            <w:tcBorders>
              <w:top w:val="nil"/>
              <w:left w:val="nil"/>
              <w:bottom w:val="nil"/>
              <w:right w:val="nil"/>
            </w:tcBorders>
            <w:shd w:val="clear" w:color="auto" w:fill="auto"/>
            <w:noWrap/>
            <w:vAlign w:val="center"/>
          </w:tcPr>
          <w:p w14:paraId="4003B6BB" w14:textId="77777777" w:rsidR="00206861" w:rsidRPr="00CE45BB" w:rsidRDefault="00206861" w:rsidP="00206861">
            <w:pPr>
              <w:spacing w:before="0" w:after="0"/>
              <w:rPr>
                <w:color w:val="000000"/>
              </w:rPr>
            </w:pPr>
            <w:r w:rsidRPr="00CE45BB">
              <w:rPr>
                <w:color w:val="000000"/>
              </w:rPr>
              <w:t>Non-white</w:t>
            </w:r>
          </w:p>
        </w:tc>
        <w:tc>
          <w:tcPr>
            <w:tcW w:w="918" w:type="dxa"/>
            <w:tcBorders>
              <w:top w:val="nil"/>
              <w:left w:val="nil"/>
              <w:bottom w:val="nil"/>
              <w:right w:val="nil"/>
            </w:tcBorders>
            <w:shd w:val="clear" w:color="auto" w:fill="auto"/>
            <w:noWrap/>
            <w:vAlign w:val="center"/>
          </w:tcPr>
          <w:p w14:paraId="698601F7" w14:textId="77777777" w:rsidR="00206861" w:rsidRPr="00CE45BB" w:rsidRDefault="00206861" w:rsidP="00206861">
            <w:pPr>
              <w:spacing w:before="0" w:after="0"/>
              <w:rPr>
                <w:color w:val="000000"/>
              </w:rPr>
            </w:pPr>
            <w:r w:rsidRPr="00CE45BB">
              <w:rPr>
                <w:color w:val="000000"/>
              </w:rPr>
              <w:t>1</w:t>
            </w:r>
          </w:p>
        </w:tc>
        <w:tc>
          <w:tcPr>
            <w:tcW w:w="1377" w:type="dxa"/>
            <w:tcBorders>
              <w:top w:val="nil"/>
              <w:left w:val="nil"/>
              <w:bottom w:val="nil"/>
              <w:right w:val="nil"/>
            </w:tcBorders>
            <w:shd w:val="clear" w:color="auto" w:fill="auto"/>
            <w:noWrap/>
            <w:vAlign w:val="center"/>
          </w:tcPr>
          <w:p w14:paraId="55065F5C" w14:textId="77777777" w:rsidR="00206861" w:rsidRPr="00CE45BB" w:rsidRDefault="00206861" w:rsidP="00206861">
            <w:pPr>
              <w:spacing w:before="0" w:after="0"/>
              <w:rPr>
                <w:color w:val="000000"/>
              </w:rPr>
            </w:pPr>
          </w:p>
        </w:tc>
        <w:tc>
          <w:tcPr>
            <w:tcW w:w="1101" w:type="dxa"/>
            <w:tcBorders>
              <w:top w:val="nil"/>
              <w:left w:val="nil"/>
              <w:bottom w:val="nil"/>
              <w:right w:val="nil"/>
            </w:tcBorders>
            <w:shd w:val="clear" w:color="auto" w:fill="auto"/>
            <w:noWrap/>
            <w:vAlign w:val="center"/>
          </w:tcPr>
          <w:p w14:paraId="70852536" w14:textId="77777777" w:rsidR="00206861" w:rsidRPr="00CE45BB" w:rsidRDefault="00206861" w:rsidP="00206861">
            <w:pPr>
              <w:spacing w:before="0" w:after="0"/>
            </w:pPr>
          </w:p>
        </w:tc>
      </w:tr>
      <w:tr w:rsidR="00206861" w:rsidRPr="00CE45BB" w14:paraId="6D4F88FA" w14:textId="77777777" w:rsidTr="00B6244D">
        <w:trPr>
          <w:trHeight w:val="320"/>
        </w:trPr>
        <w:tc>
          <w:tcPr>
            <w:tcW w:w="2127" w:type="dxa"/>
            <w:tcBorders>
              <w:top w:val="nil"/>
              <w:left w:val="nil"/>
              <w:bottom w:val="nil"/>
              <w:right w:val="nil"/>
            </w:tcBorders>
            <w:shd w:val="clear" w:color="auto" w:fill="auto"/>
            <w:noWrap/>
            <w:vAlign w:val="center"/>
          </w:tcPr>
          <w:p w14:paraId="4EC24402" w14:textId="77777777" w:rsidR="00206861" w:rsidRPr="00CE45BB" w:rsidRDefault="00206861" w:rsidP="00206861">
            <w:pPr>
              <w:spacing w:before="0" w:after="0"/>
              <w:jc w:val="both"/>
            </w:pPr>
          </w:p>
        </w:tc>
        <w:tc>
          <w:tcPr>
            <w:tcW w:w="3969" w:type="dxa"/>
            <w:tcBorders>
              <w:top w:val="nil"/>
              <w:left w:val="nil"/>
              <w:bottom w:val="nil"/>
              <w:right w:val="nil"/>
            </w:tcBorders>
            <w:shd w:val="clear" w:color="auto" w:fill="auto"/>
            <w:noWrap/>
            <w:vAlign w:val="center"/>
          </w:tcPr>
          <w:p w14:paraId="0DB7F013" w14:textId="77777777" w:rsidR="00206861" w:rsidRPr="00CE45BB" w:rsidRDefault="00206861" w:rsidP="00206861">
            <w:pPr>
              <w:spacing w:before="0" w:after="0"/>
              <w:rPr>
                <w:color w:val="000000"/>
              </w:rPr>
            </w:pPr>
            <w:r w:rsidRPr="00CE45BB">
              <w:rPr>
                <w:color w:val="000000"/>
              </w:rPr>
              <w:t>Whites</w:t>
            </w:r>
          </w:p>
        </w:tc>
        <w:tc>
          <w:tcPr>
            <w:tcW w:w="918" w:type="dxa"/>
            <w:tcBorders>
              <w:top w:val="nil"/>
              <w:left w:val="nil"/>
              <w:bottom w:val="nil"/>
              <w:right w:val="nil"/>
            </w:tcBorders>
            <w:shd w:val="clear" w:color="auto" w:fill="auto"/>
            <w:noWrap/>
            <w:vAlign w:val="center"/>
          </w:tcPr>
          <w:p w14:paraId="6481B93B" w14:textId="77777777" w:rsidR="00206861" w:rsidRPr="00CE45BB" w:rsidRDefault="00206861" w:rsidP="00206861">
            <w:pPr>
              <w:spacing w:before="0" w:after="0"/>
              <w:rPr>
                <w:color w:val="000000"/>
              </w:rPr>
            </w:pPr>
            <w:r w:rsidRPr="00CE45BB">
              <w:rPr>
                <w:color w:val="000000"/>
              </w:rPr>
              <w:t>1.50</w:t>
            </w:r>
          </w:p>
        </w:tc>
        <w:tc>
          <w:tcPr>
            <w:tcW w:w="1377" w:type="dxa"/>
            <w:tcBorders>
              <w:top w:val="nil"/>
              <w:left w:val="nil"/>
              <w:bottom w:val="nil"/>
              <w:right w:val="nil"/>
            </w:tcBorders>
            <w:shd w:val="clear" w:color="auto" w:fill="auto"/>
            <w:noWrap/>
            <w:vAlign w:val="center"/>
          </w:tcPr>
          <w:p w14:paraId="5FABEC57" w14:textId="77777777" w:rsidR="00206861" w:rsidRPr="00CE45BB" w:rsidRDefault="00206861" w:rsidP="00206861">
            <w:pPr>
              <w:spacing w:before="0" w:after="0"/>
              <w:rPr>
                <w:color w:val="000000"/>
              </w:rPr>
            </w:pPr>
            <w:r w:rsidRPr="00CE45BB">
              <w:rPr>
                <w:color w:val="000000"/>
              </w:rPr>
              <w:t>1.24-1.83</w:t>
            </w:r>
          </w:p>
        </w:tc>
        <w:tc>
          <w:tcPr>
            <w:tcW w:w="1101" w:type="dxa"/>
            <w:tcBorders>
              <w:top w:val="nil"/>
              <w:left w:val="nil"/>
              <w:bottom w:val="nil"/>
              <w:right w:val="nil"/>
            </w:tcBorders>
            <w:shd w:val="clear" w:color="auto" w:fill="auto"/>
            <w:noWrap/>
            <w:vAlign w:val="center"/>
          </w:tcPr>
          <w:p w14:paraId="6196B2A0" w14:textId="77777777" w:rsidR="00206861" w:rsidRPr="00CE45BB" w:rsidRDefault="00206861" w:rsidP="00206861">
            <w:pPr>
              <w:spacing w:before="0" w:after="0"/>
              <w:rPr>
                <w:color w:val="000000"/>
              </w:rPr>
            </w:pPr>
            <w:r w:rsidRPr="00CE45BB">
              <w:rPr>
                <w:color w:val="000000"/>
              </w:rPr>
              <w:t>&lt;0.0001</w:t>
            </w:r>
          </w:p>
        </w:tc>
      </w:tr>
      <w:tr w:rsidR="00206861" w:rsidRPr="00CE45BB" w14:paraId="67CD3397" w14:textId="77777777" w:rsidTr="00B6244D">
        <w:trPr>
          <w:trHeight w:val="320"/>
        </w:trPr>
        <w:tc>
          <w:tcPr>
            <w:tcW w:w="2127" w:type="dxa"/>
            <w:tcBorders>
              <w:top w:val="nil"/>
              <w:left w:val="nil"/>
              <w:bottom w:val="nil"/>
              <w:right w:val="nil"/>
            </w:tcBorders>
            <w:shd w:val="clear" w:color="auto" w:fill="auto"/>
            <w:noWrap/>
            <w:vAlign w:val="center"/>
          </w:tcPr>
          <w:p w14:paraId="1F46CB65" w14:textId="77777777" w:rsidR="00206861" w:rsidRPr="00CE45BB" w:rsidRDefault="00206861" w:rsidP="00206861">
            <w:pPr>
              <w:spacing w:before="0" w:after="0"/>
              <w:jc w:val="both"/>
              <w:rPr>
                <w:color w:val="000000"/>
              </w:rPr>
            </w:pPr>
            <w:r w:rsidRPr="00CE45BB">
              <w:rPr>
                <w:color w:val="000000"/>
              </w:rPr>
              <w:t>Education</w:t>
            </w:r>
          </w:p>
        </w:tc>
        <w:tc>
          <w:tcPr>
            <w:tcW w:w="3969" w:type="dxa"/>
            <w:tcBorders>
              <w:top w:val="nil"/>
              <w:left w:val="nil"/>
              <w:bottom w:val="nil"/>
              <w:right w:val="nil"/>
            </w:tcBorders>
            <w:shd w:val="clear" w:color="auto" w:fill="auto"/>
            <w:noWrap/>
            <w:vAlign w:val="center"/>
          </w:tcPr>
          <w:p w14:paraId="79F59CCE" w14:textId="77777777" w:rsidR="00206861" w:rsidRPr="00CE45BB" w:rsidRDefault="00206861" w:rsidP="00206861">
            <w:pPr>
              <w:spacing w:before="0" w:after="0"/>
              <w:rPr>
                <w:color w:val="000000"/>
              </w:rPr>
            </w:pPr>
            <w:r w:rsidRPr="00CE45BB">
              <w:rPr>
                <w:color w:val="000000"/>
              </w:rPr>
              <w:t>Less than college</w:t>
            </w:r>
          </w:p>
        </w:tc>
        <w:tc>
          <w:tcPr>
            <w:tcW w:w="918" w:type="dxa"/>
            <w:tcBorders>
              <w:top w:val="nil"/>
              <w:left w:val="nil"/>
              <w:bottom w:val="nil"/>
              <w:right w:val="nil"/>
            </w:tcBorders>
            <w:shd w:val="clear" w:color="auto" w:fill="auto"/>
            <w:noWrap/>
            <w:vAlign w:val="center"/>
          </w:tcPr>
          <w:p w14:paraId="5E8D971A" w14:textId="77777777" w:rsidR="00206861" w:rsidRPr="00CE45BB" w:rsidRDefault="00206861" w:rsidP="00206861">
            <w:pPr>
              <w:spacing w:before="0" w:after="0"/>
              <w:rPr>
                <w:color w:val="000000"/>
              </w:rPr>
            </w:pPr>
            <w:r w:rsidRPr="00CE45BB">
              <w:rPr>
                <w:color w:val="000000"/>
              </w:rPr>
              <w:t>1</w:t>
            </w:r>
          </w:p>
        </w:tc>
        <w:tc>
          <w:tcPr>
            <w:tcW w:w="1377" w:type="dxa"/>
            <w:tcBorders>
              <w:top w:val="nil"/>
              <w:left w:val="nil"/>
              <w:bottom w:val="nil"/>
              <w:right w:val="nil"/>
            </w:tcBorders>
            <w:shd w:val="clear" w:color="auto" w:fill="auto"/>
            <w:noWrap/>
            <w:vAlign w:val="center"/>
          </w:tcPr>
          <w:p w14:paraId="78EA9B7B" w14:textId="77777777" w:rsidR="00206861" w:rsidRPr="00CE45BB" w:rsidRDefault="00206861" w:rsidP="00206861">
            <w:pPr>
              <w:spacing w:before="0" w:after="0"/>
              <w:rPr>
                <w:color w:val="000000"/>
              </w:rPr>
            </w:pPr>
          </w:p>
        </w:tc>
        <w:tc>
          <w:tcPr>
            <w:tcW w:w="1101" w:type="dxa"/>
            <w:tcBorders>
              <w:top w:val="nil"/>
              <w:left w:val="nil"/>
              <w:bottom w:val="nil"/>
              <w:right w:val="nil"/>
            </w:tcBorders>
            <w:shd w:val="clear" w:color="auto" w:fill="auto"/>
            <w:noWrap/>
            <w:vAlign w:val="center"/>
          </w:tcPr>
          <w:p w14:paraId="5B5BB21F" w14:textId="77777777" w:rsidR="00206861" w:rsidRPr="00CE45BB" w:rsidRDefault="00206861" w:rsidP="00206861">
            <w:pPr>
              <w:spacing w:before="0" w:after="0"/>
              <w:rPr>
                <w:color w:val="000000"/>
              </w:rPr>
            </w:pPr>
          </w:p>
        </w:tc>
      </w:tr>
      <w:tr w:rsidR="00206861" w:rsidRPr="00CE45BB" w14:paraId="621C4168" w14:textId="77777777" w:rsidTr="00B6244D">
        <w:trPr>
          <w:trHeight w:val="320"/>
        </w:trPr>
        <w:tc>
          <w:tcPr>
            <w:tcW w:w="2127" w:type="dxa"/>
            <w:tcBorders>
              <w:top w:val="nil"/>
              <w:left w:val="nil"/>
              <w:bottom w:val="nil"/>
              <w:right w:val="nil"/>
            </w:tcBorders>
            <w:shd w:val="clear" w:color="auto" w:fill="auto"/>
            <w:noWrap/>
            <w:vAlign w:val="center"/>
          </w:tcPr>
          <w:p w14:paraId="46410A03" w14:textId="77777777" w:rsidR="00206861" w:rsidRPr="00CE45BB" w:rsidRDefault="00206861" w:rsidP="00206861">
            <w:pPr>
              <w:spacing w:before="0" w:after="0"/>
              <w:jc w:val="both"/>
              <w:rPr>
                <w:color w:val="000000"/>
              </w:rPr>
            </w:pPr>
          </w:p>
        </w:tc>
        <w:tc>
          <w:tcPr>
            <w:tcW w:w="3969" w:type="dxa"/>
            <w:tcBorders>
              <w:top w:val="nil"/>
              <w:left w:val="nil"/>
              <w:bottom w:val="nil"/>
              <w:right w:val="nil"/>
            </w:tcBorders>
            <w:shd w:val="clear" w:color="auto" w:fill="auto"/>
            <w:noWrap/>
            <w:vAlign w:val="center"/>
          </w:tcPr>
          <w:p w14:paraId="4829ECFB" w14:textId="77777777" w:rsidR="00206861" w:rsidRPr="00CE45BB" w:rsidRDefault="00206861" w:rsidP="00206861">
            <w:pPr>
              <w:spacing w:before="0" w:after="0"/>
              <w:rPr>
                <w:color w:val="000000"/>
              </w:rPr>
            </w:pPr>
            <w:r w:rsidRPr="00CE45BB">
              <w:rPr>
                <w:color w:val="000000"/>
              </w:rPr>
              <w:t>College</w:t>
            </w:r>
          </w:p>
        </w:tc>
        <w:tc>
          <w:tcPr>
            <w:tcW w:w="918" w:type="dxa"/>
            <w:tcBorders>
              <w:top w:val="nil"/>
              <w:left w:val="nil"/>
              <w:bottom w:val="nil"/>
              <w:right w:val="nil"/>
            </w:tcBorders>
            <w:shd w:val="clear" w:color="auto" w:fill="auto"/>
            <w:noWrap/>
            <w:vAlign w:val="center"/>
          </w:tcPr>
          <w:p w14:paraId="0B753580" w14:textId="77777777" w:rsidR="00206861" w:rsidRPr="00CE45BB" w:rsidRDefault="00206861" w:rsidP="00206861">
            <w:pPr>
              <w:spacing w:before="0" w:after="0"/>
              <w:rPr>
                <w:color w:val="000000"/>
              </w:rPr>
            </w:pPr>
            <w:r w:rsidRPr="00CE45BB">
              <w:rPr>
                <w:color w:val="000000"/>
              </w:rPr>
              <w:t>1.24</w:t>
            </w:r>
          </w:p>
        </w:tc>
        <w:tc>
          <w:tcPr>
            <w:tcW w:w="1377" w:type="dxa"/>
            <w:tcBorders>
              <w:top w:val="nil"/>
              <w:left w:val="nil"/>
              <w:bottom w:val="nil"/>
              <w:right w:val="nil"/>
            </w:tcBorders>
            <w:shd w:val="clear" w:color="auto" w:fill="auto"/>
            <w:noWrap/>
            <w:vAlign w:val="center"/>
          </w:tcPr>
          <w:p w14:paraId="2A921A96" w14:textId="77777777" w:rsidR="00206861" w:rsidRPr="00CE45BB" w:rsidRDefault="00206861" w:rsidP="00206861">
            <w:pPr>
              <w:spacing w:before="0" w:after="0"/>
              <w:rPr>
                <w:color w:val="000000"/>
              </w:rPr>
            </w:pPr>
            <w:r w:rsidRPr="00CE45BB">
              <w:rPr>
                <w:color w:val="000000"/>
              </w:rPr>
              <w:t>1.04-1.46</w:t>
            </w:r>
          </w:p>
        </w:tc>
        <w:tc>
          <w:tcPr>
            <w:tcW w:w="1101" w:type="dxa"/>
            <w:tcBorders>
              <w:top w:val="nil"/>
              <w:left w:val="nil"/>
              <w:bottom w:val="nil"/>
              <w:right w:val="nil"/>
            </w:tcBorders>
            <w:shd w:val="clear" w:color="auto" w:fill="auto"/>
            <w:noWrap/>
            <w:vAlign w:val="center"/>
          </w:tcPr>
          <w:p w14:paraId="4212B0FA" w14:textId="77777777" w:rsidR="00206861" w:rsidRPr="00CE45BB" w:rsidRDefault="00206861" w:rsidP="00206861">
            <w:pPr>
              <w:spacing w:before="0" w:after="0"/>
            </w:pPr>
            <w:r w:rsidRPr="00CE45BB">
              <w:t>0.01</w:t>
            </w:r>
          </w:p>
        </w:tc>
      </w:tr>
      <w:tr w:rsidR="00206861" w:rsidRPr="00CE45BB" w14:paraId="4B077A7F" w14:textId="77777777" w:rsidTr="00B6244D">
        <w:trPr>
          <w:trHeight w:val="320"/>
        </w:trPr>
        <w:tc>
          <w:tcPr>
            <w:tcW w:w="2127" w:type="dxa"/>
            <w:tcBorders>
              <w:top w:val="nil"/>
              <w:left w:val="nil"/>
              <w:bottom w:val="nil"/>
              <w:right w:val="nil"/>
            </w:tcBorders>
            <w:shd w:val="clear" w:color="auto" w:fill="auto"/>
            <w:noWrap/>
            <w:vAlign w:val="center"/>
          </w:tcPr>
          <w:p w14:paraId="710623C5" w14:textId="77777777" w:rsidR="00206861" w:rsidRPr="00CE45BB" w:rsidRDefault="00206861" w:rsidP="00206861">
            <w:pPr>
              <w:spacing w:before="0" w:after="0"/>
              <w:jc w:val="both"/>
              <w:rPr>
                <w:color w:val="000000"/>
              </w:rPr>
            </w:pPr>
            <w:r w:rsidRPr="00CE45BB">
              <w:rPr>
                <w:color w:val="000000"/>
              </w:rPr>
              <w:t>Yearly income</w:t>
            </w:r>
          </w:p>
        </w:tc>
        <w:tc>
          <w:tcPr>
            <w:tcW w:w="3969" w:type="dxa"/>
            <w:tcBorders>
              <w:top w:val="nil"/>
              <w:left w:val="nil"/>
              <w:bottom w:val="nil"/>
              <w:right w:val="nil"/>
            </w:tcBorders>
            <w:shd w:val="clear" w:color="auto" w:fill="auto"/>
            <w:noWrap/>
            <w:vAlign w:val="center"/>
          </w:tcPr>
          <w:p w14:paraId="1397397A" w14:textId="77777777" w:rsidR="00206861" w:rsidRPr="00CE45BB" w:rsidRDefault="00206861" w:rsidP="00206861">
            <w:pPr>
              <w:spacing w:before="0" w:after="0"/>
              <w:rPr>
                <w:color w:val="000000"/>
              </w:rPr>
            </w:pPr>
            <w:r w:rsidRPr="00CE45BB">
              <w:rPr>
                <w:color w:val="000000"/>
              </w:rPr>
              <w:t>&lt;50,000$</w:t>
            </w:r>
          </w:p>
        </w:tc>
        <w:tc>
          <w:tcPr>
            <w:tcW w:w="918" w:type="dxa"/>
            <w:tcBorders>
              <w:top w:val="nil"/>
              <w:left w:val="nil"/>
              <w:bottom w:val="nil"/>
              <w:right w:val="nil"/>
            </w:tcBorders>
            <w:shd w:val="clear" w:color="auto" w:fill="auto"/>
            <w:noWrap/>
            <w:vAlign w:val="center"/>
          </w:tcPr>
          <w:p w14:paraId="2B84A901" w14:textId="77777777" w:rsidR="00206861" w:rsidRPr="00CE45BB" w:rsidRDefault="00206861" w:rsidP="00206861">
            <w:pPr>
              <w:spacing w:before="0" w:after="0"/>
              <w:rPr>
                <w:color w:val="000000"/>
              </w:rPr>
            </w:pPr>
            <w:r w:rsidRPr="00CE45BB">
              <w:rPr>
                <w:color w:val="000000"/>
              </w:rPr>
              <w:t>1</w:t>
            </w:r>
          </w:p>
        </w:tc>
        <w:tc>
          <w:tcPr>
            <w:tcW w:w="1377" w:type="dxa"/>
            <w:tcBorders>
              <w:top w:val="nil"/>
              <w:left w:val="nil"/>
              <w:bottom w:val="nil"/>
              <w:right w:val="nil"/>
            </w:tcBorders>
            <w:shd w:val="clear" w:color="auto" w:fill="auto"/>
            <w:noWrap/>
            <w:vAlign w:val="center"/>
          </w:tcPr>
          <w:p w14:paraId="1B54613C" w14:textId="77777777" w:rsidR="00206861" w:rsidRPr="00CE45BB" w:rsidRDefault="00206861" w:rsidP="00206861">
            <w:pPr>
              <w:spacing w:before="0" w:after="0"/>
              <w:rPr>
                <w:color w:val="000000"/>
              </w:rPr>
            </w:pPr>
          </w:p>
        </w:tc>
        <w:tc>
          <w:tcPr>
            <w:tcW w:w="1101" w:type="dxa"/>
            <w:tcBorders>
              <w:top w:val="nil"/>
              <w:left w:val="nil"/>
              <w:bottom w:val="nil"/>
              <w:right w:val="nil"/>
            </w:tcBorders>
            <w:shd w:val="clear" w:color="auto" w:fill="auto"/>
            <w:noWrap/>
            <w:vAlign w:val="center"/>
          </w:tcPr>
          <w:p w14:paraId="0F22F46C" w14:textId="77777777" w:rsidR="00206861" w:rsidRPr="00CE45BB" w:rsidRDefault="00206861" w:rsidP="00206861">
            <w:pPr>
              <w:spacing w:before="0" w:after="0"/>
            </w:pPr>
          </w:p>
        </w:tc>
      </w:tr>
      <w:tr w:rsidR="00206861" w:rsidRPr="00CE45BB" w14:paraId="49F35753" w14:textId="77777777" w:rsidTr="00B6244D">
        <w:trPr>
          <w:trHeight w:val="320"/>
        </w:trPr>
        <w:tc>
          <w:tcPr>
            <w:tcW w:w="2127" w:type="dxa"/>
            <w:tcBorders>
              <w:top w:val="nil"/>
              <w:left w:val="nil"/>
              <w:bottom w:val="nil"/>
              <w:right w:val="nil"/>
            </w:tcBorders>
            <w:shd w:val="clear" w:color="auto" w:fill="auto"/>
            <w:noWrap/>
            <w:vAlign w:val="center"/>
          </w:tcPr>
          <w:p w14:paraId="78F33ADE" w14:textId="77777777" w:rsidR="00206861" w:rsidRPr="00CE45BB" w:rsidRDefault="00206861" w:rsidP="00206861">
            <w:pPr>
              <w:spacing w:before="0" w:after="0"/>
              <w:jc w:val="both"/>
              <w:rPr>
                <w:color w:val="000000"/>
              </w:rPr>
            </w:pPr>
          </w:p>
        </w:tc>
        <w:tc>
          <w:tcPr>
            <w:tcW w:w="3969" w:type="dxa"/>
            <w:tcBorders>
              <w:top w:val="nil"/>
              <w:left w:val="nil"/>
              <w:bottom w:val="nil"/>
              <w:right w:val="nil"/>
            </w:tcBorders>
            <w:shd w:val="clear" w:color="auto" w:fill="auto"/>
            <w:noWrap/>
            <w:vAlign w:val="center"/>
          </w:tcPr>
          <w:p w14:paraId="26264399" w14:textId="77777777" w:rsidR="00206861" w:rsidRPr="00CE45BB" w:rsidRDefault="00206861" w:rsidP="00206861">
            <w:pPr>
              <w:spacing w:before="0" w:after="0"/>
              <w:rPr>
                <w:color w:val="000000"/>
              </w:rPr>
            </w:pPr>
            <w:r w:rsidRPr="00CE45BB">
              <w:rPr>
                <w:color w:val="000000"/>
                <w:u w:val="single"/>
              </w:rPr>
              <w:t>&gt;</w:t>
            </w:r>
            <w:r w:rsidRPr="00CE45BB">
              <w:rPr>
                <w:color w:val="000000"/>
              </w:rPr>
              <w:t xml:space="preserve"> 50,000$</w:t>
            </w:r>
          </w:p>
        </w:tc>
        <w:tc>
          <w:tcPr>
            <w:tcW w:w="918" w:type="dxa"/>
            <w:tcBorders>
              <w:top w:val="nil"/>
              <w:left w:val="nil"/>
              <w:bottom w:val="nil"/>
              <w:right w:val="nil"/>
            </w:tcBorders>
            <w:shd w:val="clear" w:color="auto" w:fill="auto"/>
            <w:noWrap/>
            <w:vAlign w:val="center"/>
          </w:tcPr>
          <w:p w14:paraId="24FBFC41" w14:textId="77777777" w:rsidR="00206861" w:rsidRPr="00CE45BB" w:rsidRDefault="00206861" w:rsidP="00206861">
            <w:pPr>
              <w:spacing w:before="0" w:after="0"/>
              <w:rPr>
                <w:color w:val="000000"/>
              </w:rPr>
            </w:pPr>
            <w:r w:rsidRPr="00CE45BB">
              <w:rPr>
                <w:color w:val="000000"/>
              </w:rPr>
              <w:t>1.01</w:t>
            </w:r>
          </w:p>
        </w:tc>
        <w:tc>
          <w:tcPr>
            <w:tcW w:w="1377" w:type="dxa"/>
            <w:tcBorders>
              <w:top w:val="nil"/>
              <w:left w:val="nil"/>
              <w:bottom w:val="nil"/>
              <w:right w:val="nil"/>
            </w:tcBorders>
            <w:shd w:val="clear" w:color="auto" w:fill="auto"/>
            <w:noWrap/>
            <w:vAlign w:val="center"/>
          </w:tcPr>
          <w:p w14:paraId="720921E0" w14:textId="77777777" w:rsidR="00206861" w:rsidRPr="00CE45BB" w:rsidRDefault="00206861" w:rsidP="00206861">
            <w:pPr>
              <w:spacing w:before="0" w:after="0"/>
              <w:rPr>
                <w:color w:val="000000"/>
              </w:rPr>
            </w:pPr>
            <w:r w:rsidRPr="00CE45BB">
              <w:rPr>
                <w:color w:val="000000"/>
              </w:rPr>
              <w:t>0.85-1.20</w:t>
            </w:r>
          </w:p>
        </w:tc>
        <w:tc>
          <w:tcPr>
            <w:tcW w:w="1101" w:type="dxa"/>
            <w:tcBorders>
              <w:top w:val="nil"/>
              <w:left w:val="nil"/>
              <w:bottom w:val="nil"/>
              <w:right w:val="nil"/>
            </w:tcBorders>
            <w:shd w:val="clear" w:color="auto" w:fill="auto"/>
            <w:noWrap/>
            <w:vAlign w:val="center"/>
          </w:tcPr>
          <w:p w14:paraId="63658D87" w14:textId="77777777" w:rsidR="00206861" w:rsidRPr="00CE45BB" w:rsidRDefault="00206861" w:rsidP="00206861">
            <w:pPr>
              <w:spacing w:before="0" w:after="0"/>
            </w:pPr>
            <w:r w:rsidRPr="00CE45BB">
              <w:t>0.88</w:t>
            </w:r>
          </w:p>
        </w:tc>
      </w:tr>
      <w:tr w:rsidR="00206861" w:rsidRPr="00CE45BB" w14:paraId="367DD6C7" w14:textId="77777777" w:rsidTr="00B6244D">
        <w:trPr>
          <w:trHeight w:val="320"/>
        </w:trPr>
        <w:tc>
          <w:tcPr>
            <w:tcW w:w="2127" w:type="dxa"/>
            <w:tcBorders>
              <w:top w:val="nil"/>
              <w:left w:val="nil"/>
              <w:bottom w:val="nil"/>
              <w:right w:val="nil"/>
            </w:tcBorders>
            <w:shd w:val="clear" w:color="auto" w:fill="auto"/>
            <w:noWrap/>
            <w:vAlign w:val="center"/>
          </w:tcPr>
          <w:p w14:paraId="1769D87B" w14:textId="77777777" w:rsidR="00206861" w:rsidRPr="00CE45BB" w:rsidRDefault="00206861" w:rsidP="00206861">
            <w:pPr>
              <w:spacing w:before="0" w:after="0"/>
              <w:jc w:val="both"/>
            </w:pPr>
            <w:r w:rsidRPr="00CE45BB">
              <w:t>Alcohol drinking in a typical week</w:t>
            </w:r>
          </w:p>
        </w:tc>
        <w:tc>
          <w:tcPr>
            <w:tcW w:w="3969" w:type="dxa"/>
            <w:tcBorders>
              <w:top w:val="nil"/>
              <w:left w:val="nil"/>
              <w:bottom w:val="nil"/>
              <w:right w:val="nil"/>
            </w:tcBorders>
            <w:shd w:val="clear" w:color="auto" w:fill="auto"/>
            <w:noWrap/>
            <w:vAlign w:val="center"/>
          </w:tcPr>
          <w:p w14:paraId="52A2AB8B" w14:textId="77777777" w:rsidR="00206861" w:rsidRPr="00CE45BB" w:rsidRDefault="00206861" w:rsidP="00206861">
            <w:pPr>
              <w:spacing w:before="0" w:after="0"/>
              <w:rPr>
                <w:color w:val="000000"/>
              </w:rPr>
            </w:pPr>
            <w:r w:rsidRPr="00CE45BB">
              <w:rPr>
                <w:color w:val="000000"/>
              </w:rPr>
              <w:t>One drink increase</w:t>
            </w:r>
          </w:p>
        </w:tc>
        <w:tc>
          <w:tcPr>
            <w:tcW w:w="918" w:type="dxa"/>
            <w:tcBorders>
              <w:top w:val="nil"/>
              <w:left w:val="nil"/>
              <w:bottom w:val="nil"/>
              <w:right w:val="nil"/>
            </w:tcBorders>
            <w:shd w:val="clear" w:color="auto" w:fill="auto"/>
            <w:noWrap/>
            <w:vAlign w:val="center"/>
          </w:tcPr>
          <w:p w14:paraId="459BCA90" w14:textId="77777777" w:rsidR="00206861" w:rsidRPr="00CE45BB" w:rsidRDefault="00206861" w:rsidP="00206861">
            <w:pPr>
              <w:spacing w:before="0" w:after="0"/>
              <w:rPr>
                <w:color w:val="000000"/>
              </w:rPr>
            </w:pPr>
            <w:r w:rsidRPr="00CE45BB">
              <w:rPr>
                <w:color w:val="000000"/>
              </w:rPr>
              <w:t>1.07</w:t>
            </w:r>
          </w:p>
        </w:tc>
        <w:tc>
          <w:tcPr>
            <w:tcW w:w="1377" w:type="dxa"/>
            <w:tcBorders>
              <w:top w:val="nil"/>
              <w:left w:val="nil"/>
              <w:bottom w:val="nil"/>
              <w:right w:val="nil"/>
            </w:tcBorders>
            <w:shd w:val="clear" w:color="auto" w:fill="auto"/>
            <w:noWrap/>
            <w:vAlign w:val="center"/>
          </w:tcPr>
          <w:p w14:paraId="04B6D2B4" w14:textId="77777777" w:rsidR="00206861" w:rsidRPr="00CE45BB" w:rsidRDefault="00206861" w:rsidP="00206861">
            <w:pPr>
              <w:spacing w:before="0" w:after="0"/>
              <w:rPr>
                <w:color w:val="000000"/>
              </w:rPr>
            </w:pPr>
            <w:r w:rsidRPr="00CE45BB">
              <w:rPr>
                <w:color w:val="000000"/>
              </w:rPr>
              <w:t>1.01-1.13</w:t>
            </w:r>
          </w:p>
        </w:tc>
        <w:tc>
          <w:tcPr>
            <w:tcW w:w="1101" w:type="dxa"/>
            <w:tcBorders>
              <w:top w:val="nil"/>
              <w:left w:val="nil"/>
              <w:bottom w:val="nil"/>
              <w:right w:val="nil"/>
            </w:tcBorders>
            <w:shd w:val="clear" w:color="auto" w:fill="auto"/>
            <w:noWrap/>
            <w:vAlign w:val="center"/>
          </w:tcPr>
          <w:p w14:paraId="74BDF571" w14:textId="77777777" w:rsidR="00206861" w:rsidRPr="00CE45BB" w:rsidRDefault="00206861" w:rsidP="00206861">
            <w:pPr>
              <w:spacing w:before="0" w:after="0"/>
              <w:rPr>
                <w:color w:val="000000"/>
              </w:rPr>
            </w:pPr>
            <w:r w:rsidRPr="00CE45BB">
              <w:rPr>
                <w:color w:val="000000"/>
              </w:rPr>
              <w:t>0.01</w:t>
            </w:r>
          </w:p>
        </w:tc>
      </w:tr>
      <w:tr w:rsidR="00206861" w:rsidRPr="00CE45BB" w14:paraId="3FF05CFC" w14:textId="77777777" w:rsidTr="00B6244D">
        <w:trPr>
          <w:trHeight w:val="320"/>
        </w:trPr>
        <w:tc>
          <w:tcPr>
            <w:tcW w:w="2127" w:type="dxa"/>
            <w:tcBorders>
              <w:top w:val="nil"/>
              <w:left w:val="nil"/>
              <w:bottom w:val="nil"/>
              <w:right w:val="nil"/>
            </w:tcBorders>
            <w:shd w:val="clear" w:color="auto" w:fill="auto"/>
            <w:noWrap/>
            <w:vAlign w:val="center"/>
          </w:tcPr>
          <w:p w14:paraId="14A56B55" w14:textId="77777777" w:rsidR="00206861" w:rsidRPr="00CE45BB" w:rsidRDefault="00206861" w:rsidP="00206861">
            <w:pPr>
              <w:spacing w:before="0" w:after="0"/>
              <w:jc w:val="both"/>
              <w:rPr>
                <w:color w:val="000000"/>
              </w:rPr>
            </w:pPr>
            <w:r w:rsidRPr="00CE45BB">
              <w:rPr>
                <w:color w:val="000000"/>
              </w:rPr>
              <w:t>Center for Epidemiologic Studies Depression Scale (CES-D)</w:t>
            </w:r>
          </w:p>
        </w:tc>
        <w:tc>
          <w:tcPr>
            <w:tcW w:w="3969" w:type="dxa"/>
            <w:tcBorders>
              <w:top w:val="nil"/>
              <w:left w:val="nil"/>
              <w:bottom w:val="nil"/>
              <w:right w:val="nil"/>
            </w:tcBorders>
            <w:shd w:val="clear" w:color="auto" w:fill="auto"/>
            <w:noWrap/>
            <w:vAlign w:val="center"/>
          </w:tcPr>
          <w:p w14:paraId="291369F5" w14:textId="77777777" w:rsidR="00206861" w:rsidRPr="00CE45BB" w:rsidRDefault="00206861" w:rsidP="00206861">
            <w:pPr>
              <w:spacing w:before="0" w:after="0"/>
              <w:rPr>
                <w:color w:val="000000"/>
              </w:rPr>
            </w:pPr>
            <w:r w:rsidRPr="00CE45BB">
              <w:rPr>
                <w:color w:val="000000"/>
              </w:rPr>
              <w:t>One point increase</w:t>
            </w:r>
          </w:p>
        </w:tc>
        <w:tc>
          <w:tcPr>
            <w:tcW w:w="918" w:type="dxa"/>
            <w:tcBorders>
              <w:top w:val="nil"/>
              <w:left w:val="nil"/>
              <w:bottom w:val="nil"/>
              <w:right w:val="nil"/>
            </w:tcBorders>
            <w:shd w:val="clear" w:color="auto" w:fill="auto"/>
            <w:noWrap/>
            <w:vAlign w:val="center"/>
          </w:tcPr>
          <w:p w14:paraId="68D499D1" w14:textId="77777777" w:rsidR="00206861" w:rsidRPr="00CE45BB" w:rsidRDefault="00206861" w:rsidP="00206861">
            <w:pPr>
              <w:spacing w:before="0" w:after="0"/>
              <w:rPr>
                <w:color w:val="000000"/>
              </w:rPr>
            </w:pPr>
            <w:r w:rsidRPr="00CE45BB">
              <w:rPr>
                <w:color w:val="000000"/>
              </w:rPr>
              <w:t>1.02</w:t>
            </w:r>
          </w:p>
        </w:tc>
        <w:tc>
          <w:tcPr>
            <w:tcW w:w="1377" w:type="dxa"/>
            <w:tcBorders>
              <w:top w:val="nil"/>
              <w:left w:val="nil"/>
              <w:bottom w:val="nil"/>
              <w:right w:val="nil"/>
            </w:tcBorders>
            <w:shd w:val="clear" w:color="auto" w:fill="auto"/>
            <w:noWrap/>
            <w:vAlign w:val="center"/>
          </w:tcPr>
          <w:p w14:paraId="3F1DE182" w14:textId="77777777" w:rsidR="00206861" w:rsidRPr="00CE45BB" w:rsidRDefault="00206861" w:rsidP="00206861">
            <w:pPr>
              <w:spacing w:before="0" w:after="0"/>
              <w:rPr>
                <w:color w:val="000000"/>
              </w:rPr>
            </w:pPr>
            <w:r w:rsidRPr="00CE45BB">
              <w:rPr>
                <w:color w:val="000000"/>
              </w:rPr>
              <w:t>1.007-1.03</w:t>
            </w:r>
          </w:p>
        </w:tc>
        <w:tc>
          <w:tcPr>
            <w:tcW w:w="1101" w:type="dxa"/>
            <w:tcBorders>
              <w:top w:val="nil"/>
              <w:left w:val="nil"/>
              <w:bottom w:val="nil"/>
              <w:right w:val="nil"/>
            </w:tcBorders>
            <w:shd w:val="clear" w:color="auto" w:fill="auto"/>
            <w:noWrap/>
            <w:vAlign w:val="center"/>
          </w:tcPr>
          <w:p w14:paraId="7861185B" w14:textId="77777777" w:rsidR="00206861" w:rsidRPr="00CE45BB" w:rsidRDefault="00206861" w:rsidP="00206861">
            <w:pPr>
              <w:spacing w:before="0" w:after="0"/>
              <w:rPr>
                <w:color w:val="000000"/>
              </w:rPr>
            </w:pPr>
            <w:r w:rsidRPr="00CE45BB">
              <w:rPr>
                <w:color w:val="000000"/>
              </w:rPr>
              <w:t>0.002</w:t>
            </w:r>
          </w:p>
        </w:tc>
      </w:tr>
      <w:tr w:rsidR="00206861" w:rsidRPr="00CE45BB" w14:paraId="605C27BC" w14:textId="77777777" w:rsidTr="00B6244D">
        <w:trPr>
          <w:trHeight w:val="320"/>
        </w:trPr>
        <w:tc>
          <w:tcPr>
            <w:tcW w:w="2127" w:type="dxa"/>
            <w:tcBorders>
              <w:top w:val="nil"/>
              <w:left w:val="nil"/>
              <w:bottom w:val="nil"/>
              <w:right w:val="nil"/>
            </w:tcBorders>
            <w:shd w:val="clear" w:color="auto" w:fill="auto"/>
            <w:noWrap/>
            <w:vAlign w:val="center"/>
          </w:tcPr>
          <w:p w14:paraId="032C0831" w14:textId="77777777" w:rsidR="00206861" w:rsidRPr="00CE45BB" w:rsidRDefault="00206861" w:rsidP="00206861">
            <w:pPr>
              <w:spacing w:before="0" w:after="0"/>
              <w:jc w:val="both"/>
              <w:rPr>
                <w:color w:val="000000"/>
              </w:rPr>
            </w:pPr>
            <w:r w:rsidRPr="00CE45BB">
              <w:rPr>
                <w:color w:val="000000"/>
              </w:rPr>
              <w:t>Physical activity scale for the Elderly (PASE)</w:t>
            </w:r>
          </w:p>
        </w:tc>
        <w:tc>
          <w:tcPr>
            <w:tcW w:w="3969" w:type="dxa"/>
            <w:tcBorders>
              <w:top w:val="nil"/>
              <w:left w:val="nil"/>
              <w:bottom w:val="nil"/>
              <w:right w:val="nil"/>
            </w:tcBorders>
            <w:shd w:val="clear" w:color="auto" w:fill="auto"/>
            <w:noWrap/>
            <w:vAlign w:val="center"/>
          </w:tcPr>
          <w:p w14:paraId="4B42EEB5" w14:textId="77777777" w:rsidR="00206861" w:rsidRPr="00CE45BB" w:rsidRDefault="00206861" w:rsidP="00206861">
            <w:pPr>
              <w:spacing w:before="0" w:after="0"/>
              <w:rPr>
                <w:color w:val="000000"/>
              </w:rPr>
            </w:pPr>
            <w:r w:rsidRPr="00CE45BB">
              <w:rPr>
                <w:color w:val="000000"/>
              </w:rPr>
              <w:t>One point increase</w:t>
            </w:r>
          </w:p>
        </w:tc>
        <w:tc>
          <w:tcPr>
            <w:tcW w:w="918" w:type="dxa"/>
            <w:tcBorders>
              <w:top w:val="nil"/>
              <w:left w:val="nil"/>
              <w:bottom w:val="nil"/>
              <w:right w:val="nil"/>
            </w:tcBorders>
            <w:shd w:val="clear" w:color="auto" w:fill="auto"/>
            <w:noWrap/>
            <w:vAlign w:val="center"/>
          </w:tcPr>
          <w:p w14:paraId="61CC645B" w14:textId="77777777" w:rsidR="00206861" w:rsidRPr="00CE45BB" w:rsidRDefault="00206861" w:rsidP="00206861">
            <w:pPr>
              <w:spacing w:before="0" w:after="0"/>
              <w:rPr>
                <w:color w:val="000000"/>
              </w:rPr>
            </w:pPr>
            <w:r w:rsidRPr="00CE45BB">
              <w:rPr>
                <w:color w:val="000000"/>
              </w:rPr>
              <w:t>1.001</w:t>
            </w:r>
          </w:p>
        </w:tc>
        <w:tc>
          <w:tcPr>
            <w:tcW w:w="1377" w:type="dxa"/>
            <w:tcBorders>
              <w:top w:val="nil"/>
              <w:left w:val="nil"/>
              <w:bottom w:val="nil"/>
              <w:right w:val="nil"/>
            </w:tcBorders>
            <w:shd w:val="clear" w:color="auto" w:fill="auto"/>
            <w:noWrap/>
            <w:vAlign w:val="center"/>
          </w:tcPr>
          <w:p w14:paraId="7932D64A" w14:textId="77777777" w:rsidR="00206861" w:rsidRPr="00CE45BB" w:rsidRDefault="00206861" w:rsidP="00206861">
            <w:pPr>
              <w:spacing w:before="0" w:after="0"/>
              <w:rPr>
                <w:color w:val="000000"/>
              </w:rPr>
            </w:pPr>
            <w:r w:rsidRPr="00CE45BB">
              <w:rPr>
                <w:color w:val="000000"/>
              </w:rPr>
              <w:t>1.000-1.002</w:t>
            </w:r>
          </w:p>
        </w:tc>
        <w:tc>
          <w:tcPr>
            <w:tcW w:w="1101" w:type="dxa"/>
            <w:tcBorders>
              <w:top w:val="nil"/>
              <w:left w:val="nil"/>
              <w:bottom w:val="nil"/>
              <w:right w:val="nil"/>
            </w:tcBorders>
            <w:shd w:val="clear" w:color="auto" w:fill="auto"/>
            <w:noWrap/>
            <w:vAlign w:val="center"/>
          </w:tcPr>
          <w:p w14:paraId="2E53CFEB" w14:textId="77777777" w:rsidR="00206861" w:rsidRPr="00CE45BB" w:rsidRDefault="00206861" w:rsidP="00206861">
            <w:pPr>
              <w:spacing w:before="0" w:after="0"/>
            </w:pPr>
            <w:r w:rsidRPr="00CE45BB">
              <w:t>0.02</w:t>
            </w:r>
          </w:p>
        </w:tc>
      </w:tr>
      <w:tr w:rsidR="00206861" w:rsidRPr="00CE45BB" w14:paraId="518256D3" w14:textId="77777777" w:rsidTr="00B6244D">
        <w:trPr>
          <w:trHeight w:val="320"/>
        </w:trPr>
        <w:tc>
          <w:tcPr>
            <w:tcW w:w="2127" w:type="dxa"/>
            <w:tcBorders>
              <w:top w:val="nil"/>
              <w:left w:val="nil"/>
              <w:bottom w:val="nil"/>
              <w:right w:val="nil"/>
            </w:tcBorders>
            <w:shd w:val="clear" w:color="auto" w:fill="auto"/>
            <w:noWrap/>
            <w:vAlign w:val="center"/>
          </w:tcPr>
          <w:p w14:paraId="4A6D4E6F" w14:textId="77777777" w:rsidR="00206861" w:rsidRPr="00CE45BB" w:rsidRDefault="00206861" w:rsidP="00206861">
            <w:pPr>
              <w:spacing w:before="0" w:after="0"/>
              <w:jc w:val="both"/>
            </w:pPr>
            <w:r w:rsidRPr="00CE45BB">
              <w:t>Number of medications</w:t>
            </w:r>
          </w:p>
        </w:tc>
        <w:tc>
          <w:tcPr>
            <w:tcW w:w="3969" w:type="dxa"/>
            <w:tcBorders>
              <w:top w:val="nil"/>
              <w:left w:val="nil"/>
              <w:bottom w:val="nil"/>
              <w:right w:val="nil"/>
            </w:tcBorders>
            <w:shd w:val="clear" w:color="auto" w:fill="auto"/>
            <w:noWrap/>
            <w:vAlign w:val="center"/>
          </w:tcPr>
          <w:p w14:paraId="5E66CAD2" w14:textId="77777777" w:rsidR="00206861" w:rsidRPr="00CE45BB" w:rsidRDefault="00206861" w:rsidP="00206861">
            <w:pPr>
              <w:spacing w:before="0" w:after="0"/>
              <w:rPr>
                <w:color w:val="000000"/>
              </w:rPr>
            </w:pPr>
            <w:r w:rsidRPr="00CE45BB">
              <w:rPr>
                <w:color w:val="000000"/>
              </w:rPr>
              <w:t>One point increase</w:t>
            </w:r>
          </w:p>
        </w:tc>
        <w:tc>
          <w:tcPr>
            <w:tcW w:w="918" w:type="dxa"/>
            <w:tcBorders>
              <w:top w:val="nil"/>
              <w:left w:val="nil"/>
              <w:bottom w:val="nil"/>
              <w:right w:val="nil"/>
            </w:tcBorders>
            <w:shd w:val="clear" w:color="auto" w:fill="auto"/>
            <w:noWrap/>
            <w:vAlign w:val="center"/>
          </w:tcPr>
          <w:p w14:paraId="287FB39B" w14:textId="77777777" w:rsidR="00206861" w:rsidRPr="00CE45BB" w:rsidRDefault="00206861" w:rsidP="00206861">
            <w:pPr>
              <w:spacing w:before="0" w:after="0"/>
              <w:rPr>
                <w:color w:val="000000"/>
              </w:rPr>
            </w:pPr>
            <w:r w:rsidRPr="00CE45BB">
              <w:rPr>
                <w:color w:val="000000"/>
              </w:rPr>
              <w:t>1.04</w:t>
            </w:r>
          </w:p>
        </w:tc>
        <w:tc>
          <w:tcPr>
            <w:tcW w:w="1377" w:type="dxa"/>
            <w:tcBorders>
              <w:top w:val="nil"/>
              <w:left w:val="nil"/>
              <w:bottom w:val="nil"/>
              <w:right w:val="nil"/>
            </w:tcBorders>
            <w:shd w:val="clear" w:color="auto" w:fill="auto"/>
            <w:noWrap/>
            <w:vAlign w:val="center"/>
          </w:tcPr>
          <w:p w14:paraId="461A0891" w14:textId="77777777" w:rsidR="00206861" w:rsidRPr="00CE45BB" w:rsidRDefault="00206861" w:rsidP="00206861">
            <w:pPr>
              <w:spacing w:before="0" w:after="0"/>
              <w:rPr>
                <w:color w:val="000000"/>
              </w:rPr>
            </w:pPr>
            <w:r w:rsidRPr="00CE45BB">
              <w:rPr>
                <w:color w:val="000000"/>
              </w:rPr>
              <w:t>1.006-1.07</w:t>
            </w:r>
          </w:p>
        </w:tc>
        <w:tc>
          <w:tcPr>
            <w:tcW w:w="1101" w:type="dxa"/>
            <w:tcBorders>
              <w:top w:val="nil"/>
              <w:left w:val="nil"/>
              <w:bottom w:val="nil"/>
              <w:right w:val="nil"/>
            </w:tcBorders>
            <w:shd w:val="clear" w:color="auto" w:fill="auto"/>
            <w:noWrap/>
            <w:vAlign w:val="center"/>
          </w:tcPr>
          <w:p w14:paraId="6FC7728C" w14:textId="77777777" w:rsidR="00206861" w:rsidRPr="00CE45BB" w:rsidRDefault="00206861" w:rsidP="00206861">
            <w:pPr>
              <w:spacing w:before="0" w:after="0"/>
              <w:rPr>
                <w:color w:val="000000"/>
              </w:rPr>
            </w:pPr>
            <w:r w:rsidRPr="00CE45BB">
              <w:rPr>
                <w:color w:val="000000"/>
              </w:rPr>
              <w:t>0.02</w:t>
            </w:r>
          </w:p>
        </w:tc>
      </w:tr>
      <w:tr w:rsidR="00206861" w:rsidRPr="00CE45BB" w14:paraId="3241F642" w14:textId="77777777" w:rsidTr="00B6244D">
        <w:trPr>
          <w:trHeight w:val="320"/>
        </w:trPr>
        <w:tc>
          <w:tcPr>
            <w:tcW w:w="2127" w:type="dxa"/>
            <w:tcBorders>
              <w:top w:val="nil"/>
              <w:left w:val="nil"/>
              <w:right w:val="nil"/>
            </w:tcBorders>
            <w:shd w:val="clear" w:color="auto" w:fill="auto"/>
            <w:noWrap/>
            <w:vAlign w:val="center"/>
          </w:tcPr>
          <w:p w14:paraId="1049C122" w14:textId="77777777" w:rsidR="00206861" w:rsidRPr="00CE45BB" w:rsidRDefault="00206861" w:rsidP="00206861">
            <w:pPr>
              <w:spacing w:before="0" w:after="0"/>
              <w:jc w:val="both"/>
              <w:rPr>
                <w:color w:val="000000"/>
              </w:rPr>
            </w:pPr>
            <w:r w:rsidRPr="00CE45BB">
              <w:rPr>
                <w:color w:val="000000"/>
              </w:rPr>
              <w:t>Previous falls</w:t>
            </w:r>
          </w:p>
        </w:tc>
        <w:tc>
          <w:tcPr>
            <w:tcW w:w="3969" w:type="dxa"/>
            <w:tcBorders>
              <w:top w:val="nil"/>
              <w:left w:val="nil"/>
              <w:right w:val="nil"/>
            </w:tcBorders>
            <w:shd w:val="clear" w:color="auto" w:fill="auto"/>
            <w:noWrap/>
            <w:vAlign w:val="center"/>
          </w:tcPr>
          <w:p w14:paraId="7882FF14" w14:textId="77777777" w:rsidR="00206861" w:rsidRPr="00CE45BB" w:rsidRDefault="00206861" w:rsidP="00206861">
            <w:pPr>
              <w:spacing w:before="0" w:after="0"/>
              <w:rPr>
                <w:color w:val="000000"/>
              </w:rPr>
            </w:pPr>
            <w:r w:rsidRPr="00CE45BB">
              <w:rPr>
                <w:color w:val="000000"/>
              </w:rPr>
              <w:t>No</w:t>
            </w:r>
          </w:p>
        </w:tc>
        <w:tc>
          <w:tcPr>
            <w:tcW w:w="918" w:type="dxa"/>
            <w:tcBorders>
              <w:top w:val="nil"/>
              <w:left w:val="nil"/>
              <w:right w:val="nil"/>
            </w:tcBorders>
            <w:shd w:val="clear" w:color="auto" w:fill="auto"/>
            <w:noWrap/>
            <w:vAlign w:val="center"/>
          </w:tcPr>
          <w:p w14:paraId="54809847" w14:textId="77777777" w:rsidR="00206861" w:rsidRPr="00CE45BB" w:rsidRDefault="00206861" w:rsidP="00206861">
            <w:pPr>
              <w:spacing w:before="0" w:after="0"/>
              <w:rPr>
                <w:color w:val="000000"/>
              </w:rPr>
            </w:pPr>
            <w:r w:rsidRPr="00CE45BB">
              <w:rPr>
                <w:color w:val="000000"/>
              </w:rPr>
              <w:t>1</w:t>
            </w:r>
          </w:p>
        </w:tc>
        <w:tc>
          <w:tcPr>
            <w:tcW w:w="1377" w:type="dxa"/>
            <w:tcBorders>
              <w:top w:val="nil"/>
              <w:left w:val="nil"/>
              <w:right w:val="nil"/>
            </w:tcBorders>
            <w:shd w:val="clear" w:color="auto" w:fill="auto"/>
            <w:noWrap/>
            <w:vAlign w:val="center"/>
          </w:tcPr>
          <w:p w14:paraId="645EB8ED" w14:textId="77777777" w:rsidR="00206861" w:rsidRPr="00CE45BB" w:rsidRDefault="00206861" w:rsidP="00206861">
            <w:pPr>
              <w:spacing w:before="0" w:after="0"/>
              <w:rPr>
                <w:color w:val="000000"/>
              </w:rPr>
            </w:pPr>
          </w:p>
        </w:tc>
        <w:tc>
          <w:tcPr>
            <w:tcW w:w="1101" w:type="dxa"/>
            <w:tcBorders>
              <w:top w:val="nil"/>
              <w:left w:val="nil"/>
              <w:right w:val="nil"/>
            </w:tcBorders>
            <w:shd w:val="clear" w:color="auto" w:fill="auto"/>
            <w:noWrap/>
            <w:vAlign w:val="center"/>
          </w:tcPr>
          <w:p w14:paraId="20E953D6" w14:textId="77777777" w:rsidR="00206861" w:rsidRPr="00CE45BB" w:rsidRDefault="00206861" w:rsidP="00206861">
            <w:pPr>
              <w:spacing w:before="0" w:after="0"/>
              <w:rPr>
                <w:color w:val="000000"/>
              </w:rPr>
            </w:pPr>
          </w:p>
        </w:tc>
      </w:tr>
      <w:tr w:rsidR="00206861" w:rsidRPr="00CE45BB" w14:paraId="6A252E69" w14:textId="77777777" w:rsidTr="00A07CCC">
        <w:trPr>
          <w:trHeight w:val="320"/>
        </w:trPr>
        <w:tc>
          <w:tcPr>
            <w:tcW w:w="2127" w:type="dxa"/>
            <w:tcBorders>
              <w:top w:val="nil"/>
              <w:left w:val="nil"/>
              <w:bottom w:val="nil"/>
              <w:right w:val="nil"/>
            </w:tcBorders>
            <w:shd w:val="clear" w:color="auto" w:fill="auto"/>
            <w:noWrap/>
            <w:vAlign w:val="center"/>
          </w:tcPr>
          <w:p w14:paraId="279120B0" w14:textId="77777777" w:rsidR="00206861" w:rsidRPr="00CE45BB" w:rsidRDefault="00206861" w:rsidP="00206861">
            <w:pPr>
              <w:spacing w:before="0" w:after="0"/>
              <w:rPr>
                <w:color w:val="000000"/>
              </w:rPr>
            </w:pPr>
          </w:p>
        </w:tc>
        <w:tc>
          <w:tcPr>
            <w:tcW w:w="3969" w:type="dxa"/>
            <w:tcBorders>
              <w:top w:val="nil"/>
              <w:left w:val="nil"/>
              <w:bottom w:val="nil"/>
              <w:right w:val="nil"/>
            </w:tcBorders>
            <w:shd w:val="clear" w:color="auto" w:fill="auto"/>
            <w:noWrap/>
            <w:vAlign w:val="center"/>
          </w:tcPr>
          <w:p w14:paraId="059FCA32" w14:textId="77777777" w:rsidR="00206861" w:rsidRPr="00CE45BB" w:rsidRDefault="00206861" w:rsidP="00206861">
            <w:pPr>
              <w:spacing w:before="0" w:after="0"/>
              <w:rPr>
                <w:color w:val="000000"/>
              </w:rPr>
            </w:pPr>
            <w:r w:rsidRPr="00CE45BB">
              <w:rPr>
                <w:color w:val="000000"/>
              </w:rPr>
              <w:t>Yes</w:t>
            </w:r>
          </w:p>
        </w:tc>
        <w:tc>
          <w:tcPr>
            <w:tcW w:w="918" w:type="dxa"/>
            <w:tcBorders>
              <w:top w:val="nil"/>
              <w:left w:val="nil"/>
              <w:bottom w:val="nil"/>
              <w:right w:val="nil"/>
            </w:tcBorders>
            <w:shd w:val="clear" w:color="auto" w:fill="auto"/>
            <w:noWrap/>
            <w:vAlign w:val="center"/>
          </w:tcPr>
          <w:p w14:paraId="5E1C93DD" w14:textId="77777777" w:rsidR="00206861" w:rsidRPr="00CE45BB" w:rsidRDefault="00206861" w:rsidP="00206861">
            <w:pPr>
              <w:spacing w:before="0" w:after="0"/>
              <w:rPr>
                <w:color w:val="000000"/>
              </w:rPr>
            </w:pPr>
            <w:r w:rsidRPr="00CE45BB">
              <w:rPr>
                <w:color w:val="000000"/>
              </w:rPr>
              <w:t>3.26</w:t>
            </w:r>
          </w:p>
        </w:tc>
        <w:tc>
          <w:tcPr>
            <w:tcW w:w="1377" w:type="dxa"/>
            <w:tcBorders>
              <w:top w:val="nil"/>
              <w:left w:val="nil"/>
              <w:bottom w:val="nil"/>
              <w:right w:val="nil"/>
            </w:tcBorders>
            <w:shd w:val="clear" w:color="auto" w:fill="auto"/>
            <w:noWrap/>
            <w:vAlign w:val="center"/>
          </w:tcPr>
          <w:p w14:paraId="09616BDE" w14:textId="77777777" w:rsidR="00206861" w:rsidRPr="00CE45BB" w:rsidRDefault="00206861" w:rsidP="00206861">
            <w:pPr>
              <w:spacing w:before="0" w:after="0"/>
              <w:rPr>
                <w:color w:val="000000"/>
              </w:rPr>
            </w:pPr>
            <w:r w:rsidRPr="00CE45BB">
              <w:rPr>
                <w:color w:val="000000"/>
              </w:rPr>
              <w:t>2.72-3.90</w:t>
            </w:r>
          </w:p>
        </w:tc>
        <w:tc>
          <w:tcPr>
            <w:tcW w:w="1101" w:type="dxa"/>
            <w:tcBorders>
              <w:top w:val="nil"/>
              <w:left w:val="nil"/>
              <w:bottom w:val="nil"/>
              <w:right w:val="nil"/>
            </w:tcBorders>
            <w:shd w:val="clear" w:color="auto" w:fill="auto"/>
            <w:noWrap/>
            <w:vAlign w:val="center"/>
          </w:tcPr>
          <w:p w14:paraId="7973CA4F" w14:textId="77777777" w:rsidR="00206861" w:rsidRPr="00CE45BB" w:rsidRDefault="00206861" w:rsidP="00206861">
            <w:pPr>
              <w:spacing w:before="0" w:after="0"/>
            </w:pPr>
            <w:r w:rsidRPr="00CE45BB">
              <w:t>&lt;0.0001</w:t>
            </w:r>
          </w:p>
        </w:tc>
      </w:tr>
      <w:tr w:rsidR="00A07CCC" w:rsidRPr="00CE45BB" w14:paraId="5C367946" w14:textId="77777777" w:rsidTr="00A07CCC">
        <w:trPr>
          <w:trHeight w:val="320"/>
        </w:trPr>
        <w:tc>
          <w:tcPr>
            <w:tcW w:w="2127" w:type="dxa"/>
            <w:tcBorders>
              <w:top w:val="nil"/>
              <w:left w:val="nil"/>
              <w:right w:val="nil"/>
            </w:tcBorders>
            <w:shd w:val="clear" w:color="auto" w:fill="auto"/>
            <w:noWrap/>
            <w:vAlign w:val="center"/>
          </w:tcPr>
          <w:p w14:paraId="551D627F" w14:textId="0E850C8B" w:rsidR="00A07CCC" w:rsidRPr="00CE45BB" w:rsidRDefault="00A07CCC" w:rsidP="00206861">
            <w:pPr>
              <w:spacing w:before="0" w:after="0"/>
              <w:rPr>
                <w:color w:val="000000"/>
              </w:rPr>
            </w:pPr>
            <w:r w:rsidRPr="00CE45BB">
              <w:rPr>
                <w:color w:val="000000"/>
              </w:rPr>
              <w:t xml:space="preserve">Presence of </w:t>
            </w:r>
            <w:proofErr w:type="gramStart"/>
            <w:r w:rsidRPr="00CE45BB">
              <w:rPr>
                <w:color w:val="000000"/>
              </w:rPr>
              <w:t>radiological  knee</w:t>
            </w:r>
            <w:proofErr w:type="gramEnd"/>
            <w:r w:rsidRPr="00CE45BB">
              <w:rPr>
                <w:color w:val="000000"/>
              </w:rPr>
              <w:t xml:space="preserve"> OA </w:t>
            </w:r>
          </w:p>
        </w:tc>
        <w:tc>
          <w:tcPr>
            <w:tcW w:w="3969" w:type="dxa"/>
            <w:tcBorders>
              <w:top w:val="nil"/>
              <w:left w:val="nil"/>
              <w:right w:val="nil"/>
            </w:tcBorders>
            <w:shd w:val="clear" w:color="auto" w:fill="auto"/>
            <w:noWrap/>
            <w:vAlign w:val="center"/>
          </w:tcPr>
          <w:p w14:paraId="63587C46" w14:textId="0762FA9D" w:rsidR="00A07CCC" w:rsidRPr="00CE45BB" w:rsidRDefault="00A07CCC" w:rsidP="00206861">
            <w:pPr>
              <w:spacing w:before="0" w:after="0"/>
              <w:rPr>
                <w:color w:val="000000"/>
              </w:rPr>
            </w:pPr>
            <w:r w:rsidRPr="00CE45BB">
              <w:rPr>
                <w:color w:val="000000"/>
              </w:rPr>
              <w:t>No</w:t>
            </w:r>
          </w:p>
        </w:tc>
        <w:tc>
          <w:tcPr>
            <w:tcW w:w="918" w:type="dxa"/>
            <w:tcBorders>
              <w:top w:val="nil"/>
              <w:left w:val="nil"/>
              <w:right w:val="nil"/>
            </w:tcBorders>
            <w:shd w:val="clear" w:color="auto" w:fill="auto"/>
            <w:noWrap/>
            <w:vAlign w:val="center"/>
          </w:tcPr>
          <w:p w14:paraId="54A476F9" w14:textId="02F947F4" w:rsidR="00A07CCC" w:rsidRPr="00CE45BB" w:rsidRDefault="00A07CCC" w:rsidP="00206861">
            <w:pPr>
              <w:spacing w:before="0" w:after="0"/>
              <w:rPr>
                <w:color w:val="000000"/>
              </w:rPr>
            </w:pPr>
            <w:r w:rsidRPr="00CE45BB">
              <w:rPr>
                <w:color w:val="000000"/>
              </w:rPr>
              <w:t>1</w:t>
            </w:r>
          </w:p>
        </w:tc>
        <w:tc>
          <w:tcPr>
            <w:tcW w:w="1377" w:type="dxa"/>
            <w:tcBorders>
              <w:top w:val="nil"/>
              <w:left w:val="nil"/>
              <w:right w:val="nil"/>
            </w:tcBorders>
            <w:shd w:val="clear" w:color="auto" w:fill="auto"/>
            <w:noWrap/>
            <w:vAlign w:val="center"/>
          </w:tcPr>
          <w:p w14:paraId="44751DBA" w14:textId="77777777" w:rsidR="00A07CCC" w:rsidRPr="00CE45BB" w:rsidRDefault="00A07CCC" w:rsidP="00206861">
            <w:pPr>
              <w:spacing w:before="0" w:after="0"/>
              <w:rPr>
                <w:color w:val="000000"/>
              </w:rPr>
            </w:pPr>
          </w:p>
        </w:tc>
        <w:tc>
          <w:tcPr>
            <w:tcW w:w="1101" w:type="dxa"/>
            <w:tcBorders>
              <w:top w:val="nil"/>
              <w:left w:val="nil"/>
              <w:right w:val="nil"/>
            </w:tcBorders>
            <w:shd w:val="clear" w:color="auto" w:fill="auto"/>
            <w:noWrap/>
            <w:vAlign w:val="center"/>
          </w:tcPr>
          <w:p w14:paraId="5C02384B" w14:textId="77777777" w:rsidR="00A07CCC" w:rsidRPr="00CE45BB" w:rsidRDefault="00A07CCC" w:rsidP="00206861">
            <w:pPr>
              <w:spacing w:before="0" w:after="0"/>
            </w:pPr>
          </w:p>
        </w:tc>
      </w:tr>
      <w:tr w:rsidR="00A07CCC" w:rsidRPr="00CE45BB" w14:paraId="46679058" w14:textId="77777777" w:rsidTr="00A07CCC">
        <w:trPr>
          <w:trHeight w:val="320"/>
        </w:trPr>
        <w:tc>
          <w:tcPr>
            <w:tcW w:w="2127" w:type="dxa"/>
            <w:tcBorders>
              <w:top w:val="nil"/>
              <w:left w:val="nil"/>
              <w:bottom w:val="single" w:sz="4" w:space="0" w:color="auto"/>
              <w:right w:val="nil"/>
            </w:tcBorders>
            <w:shd w:val="clear" w:color="auto" w:fill="auto"/>
            <w:noWrap/>
            <w:vAlign w:val="center"/>
          </w:tcPr>
          <w:p w14:paraId="204992F5" w14:textId="77777777" w:rsidR="00A07CCC" w:rsidRPr="00CE45BB" w:rsidRDefault="00A07CCC" w:rsidP="00206861">
            <w:pPr>
              <w:spacing w:before="0" w:after="0"/>
              <w:rPr>
                <w:color w:val="000000"/>
              </w:rPr>
            </w:pPr>
          </w:p>
        </w:tc>
        <w:tc>
          <w:tcPr>
            <w:tcW w:w="3969" w:type="dxa"/>
            <w:tcBorders>
              <w:top w:val="nil"/>
              <w:left w:val="nil"/>
              <w:bottom w:val="single" w:sz="4" w:space="0" w:color="auto"/>
              <w:right w:val="nil"/>
            </w:tcBorders>
            <w:shd w:val="clear" w:color="auto" w:fill="auto"/>
            <w:noWrap/>
            <w:vAlign w:val="center"/>
          </w:tcPr>
          <w:p w14:paraId="41979260" w14:textId="27D53D77" w:rsidR="00A07CCC" w:rsidRPr="00CE45BB" w:rsidRDefault="00A07CCC" w:rsidP="00206861">
            <w:pPr>
              <w:spacing w:before="0" w:after="0"/>
              <w:rPr>
                <w:color w:val="000000"/>
              </w:rPr>
            </w:pPr>
            <w:r w:rsidRPr="00CE45BB">
              <w:rPr>
                <w:color w:val="000000"/>
              </w:rPr>
              <w:t>Yes</w:t>
            </w:r>
          </w:p>
        </w:tc>
        <w:tc>
          <w:tcPr>
            <w:tcW w:w="918" w:type="dxa"/>
            <w:tcBorders>
              <w:top w:val="nil"/>
              <w:left w:val="nil"/>
              <w:bottom w:val="single" w:sz="4" w:space="0" w:color="auto"/>
              <w:right w:val="nil"/>
            </w:tcBorders>
            <w:shd w:val="clear" w:color="auto" w:fill="auto"/>
            <w:noWrap/>
            <w:vAlign w:val="center"/>
          </w:tcPr>
          <w:p w14:paraId="6ED750C0" w14:textId="3E838C72" w:rsidR="00A07CCC" w:rsidRPr="00CE45BB" w:rsidRDefault="00A07CCC" w:rsidP="00206861">
            <w:pPr>
              <w:spacing w:before="0" w:after="0"/>
              <w:rPr>
                <w:color w:val="000000"/>
              </w:rPr>
            </w:pPr>
            <w:r w:rsidRPr="00CE45BB">
              <w:rPr>
                <w:color w:val="000000"/>
              </w:rPr>
              <w:t>1.04</w:t>
            </w:r>
          </w:p>
        </w:tc>
        <w:tc>
          <w:tcPr>
            <w:tcW w:w="1377" w:type="dxa"/>
            <w:tcBorders>
              <w:top w:val="nil"/>
              <w:left w:val="nil"/>
              <w:bottom w:val="single" w:sz="4" w:space="0" w:color="auto"/>
              <w:right w:val="nil"/>
            </w:tcBorders>
            <w:shd w:val="clear" w:color="auto" w:fill="auto"/>
            <w:noWrap/>
            <w:vAlign w:val="center"/>
          </w:tcPr>
          <w:p w14:paraId="5541DAD2" w14:textId="2CF27AA0" w:rsidR="00A07CCC" w:rsidRPr="00CE45BB" w:rsidRDefault="00A07CCC" w:rsidP="00206861">
            <w:pPr>
              <w:spacing w:before="0" w:after="0"/>
              <w:rPr>
                <w:color w:val="000000"/>
              </w:rPr>
            </w:pPr>
            <w:r w:rsidRPr="00CE45BB">
              <w:rPr>
                <w:color w:val="000000"/>
              </w:rPr>
              <w:t>0.89-1.21</w:t>
            </w:r>
          </w:p>
        </w:tc>
        <w:tc>
          <w:tcPr>
            <w:tcW w:w="1101" w:type="dxa"/>
            <w:tcBorders>
              <w:top w:val="nil"/>
              <w:left w:val="nil"/>
              <w:bottom w:val="single" w:sz="4" w:space="0" w:color="auto"/>
              <w:right w:val="nil"/>
            </w:tcBorders>
            <w:shd w:val="clear" w:color="auto" w:fill="auto"/>
            <w:noWrap/>
            <w:vAlign w:val="center"/>
          </w:tcPr>
          <w:p w14:paraId="5A749AE8" w14:textId="4CC6E72D" w:rsidR="00A07CCC" w:rsidRPr="00CE45BB" w:rsidRDefault="00A07CCC" w:rsidP="00206861">
            <w:pPr>
              <w:spacing w:before="0" w:after="0"/>
            </w:pPr>
            <w:r w:rsidRPr="00CE45BB">
              <w:t>0.65</w:t>
            </w:r>
          </w:p>
        </w:tc>
      </w:tr>
    </w:tbl>
    <w:p w14:paraId="2F7259C6" w14:textId="77777777" w:rsidR="00206861" w:rsidRPr="00CE45BB" w:rsidRDefault="00206861" w:rsidP="00206861">
      <w:pPr>
        <w:spacing w:before="0" w:after="0"/>
        <w:rPr>
          <w:sz w:val="20"/>
          <w:szCs w:val="20"/>
        </w:rPr>
      </w:pPr>
    </w:p>
    <w:p w14:paraId="50EABC6C" w14:textId="52282284" w:rsidR="00206861" w:rsidRPr="00CE45BB" w:rsidRDefault="00206861" w:rsidP="00206861">
      <w:pPr>
        <w:spacing w:before="0" w:after="0"/>
        <w:jc w:val="both"/>
      </w:pPr>
      <w:r w:rsidRPr="00CE45BB">
        <w:t>Abbreviation: OR Odds ratio; CI Confidence interval</w:t>
      </w:r>
      <w:r w:rsidR="00A07CCC" w:rsidRPr="00CE45BB">
        <w:t xml:space="preserve">; OA: osteoarthritis. </w:t>
      </w:r>
    </w:p>
    <w:p w14:paraId="584B5D9D" w14:textId="77777777" w:rsidR="00206861" w:rsidRPr="00CE45BB" w:rsidRDefault="00206861" w:rsidP="00206861">
      <w:pPr>
        <w:spacing w:before="0" w:after="0"/>
        <w:jc w:val="both"/>
      </w:pPr>
      <w:r w:rsidRPr="00CE45BB">
        <w:t>Model is mutually adjusted for all variables in the Table.</w:t>
      </w:r>
    </w:p>
    <w:p w14:paraId="6AD9E66F" w14:textId="09E35E1C" w:rsidR="00206861" w:rsidRPr="00CE45BB" w:rsidRDefault="00206861" w:rsidP="00206861">
      <w:pPr>
        <w:spacing w:before="0" w:after="0"/>
        <w:jc w:val="both"/>
      </w:pPr>
      <w:r w:rsidRPr="00CE45BB">
        <w:t>Incident falls (outcome) were those which were assessed during the follow-up period and referred to those that occurred since the baseline evaluation.</w:t>
      </w:r>
    </w:p>
    <w:p w14:paraId="729E04AD" w14:textId="7333CD14" w:rsidR="00807F44" w:rsidRPr="00CE45BB" w:rsidRDefault="00807F44">
      <w:pPr>
        <w:spacing w:before="0" w:after="200" w:line="276" w:lineRule="auto"/>
      </w:pPr>
      <w:r w:rsidRPr="00CE45BB">
        <w:br w:type="page"/>
      </w:r>
    </w:p>
    <w:p w14:paraId="46DAB773" w14:textId="465DD0B4" w:rsidR="00402D5E" w:rsidRPr="00CE45BB" w:rsidRDefault="00402D5E" w:rsidP="00807F44">
      <w:pPr>
        <w:spacing w:before="0" w:after="0"/>
        <w:rPr>
          <w:b/>
          <w:bCs/>
        </w:rPr>
      </w:pPr>
      <w:r w:rsidRPr="00CE45BB">
        <w:rPr>
          <w:b/>
          <w:bCs/>
        </w:rPr>
        <w:lastRenderedPageBreak/>
        <w:t>Figure legend</w:t>
      </w:r>
    </w:p>
    <w:p w14:paraId="50530B3B" w14:textId="141147BE" w:rsidR="00807F44" w:rsidRPr="00CE45BB" w:rsidRDefault="00807F44" w:rsidP="00807F44">
      <w:pPr>
        <w:spacing w:before="0" w:after="0"/>
      </w:pPr>
      <w:r w:rsidRPr="00CE45BB">
        <w:rPr>
          <w:b/>
          <w:bCs/>
        </w:rPr>
        <w:t xml:space="preserve">Figure 1 </w:t>
      </w:r>
      <w:r w:rsidR="003F0CE5" w:rsidRPr="00CE45BB">
        <w:t xml:space="preserve">Incidence </w:t>
      </w:r>
      <w:r w:rsidRPr="00CE45BB">
        <w:t>of falls at follow-up by DAO status at baseline</w:t>
      </w:r>
    </w:p>
    <w:p w14:paraId="254F6CC8" w14:textId="2014FE9D" w:rsidR="00807F44" w:rsidRDefault="00807F44" w:rsidP="00807F44">
      <w:pPr>
        <w:spacing w:before="0" w:after="0"/>
      </w:pPr>
      <w:r w:rsidRPr="00CE45BB">
        <w:t>Incident falls (outcome) were those which were assessed during the follow-up period and referred to those that occurred since the baseline evaluation.</w:t>
      </w:r>
    </w:p>
    <w:p w14:paraId="0A66778D" w14:textId="77777777" w:rsidR="00425D9E" w:rsidRDefault="00425D9E" w:rsidP="00425D9E"/>
    <w:p w14:paraId="175FFEDF" w14:textId="252BA44E" w:rsidR="00425D9E" w:rsidRPr="00425D9E" w:rsidRDefault="00425D9E" w:rsidP="00425D9E">
      <w:pPr>
        <w:rPr>
          <w:rFonts w:cs="Times New Roman"/>
          <w:szCs w:val="24"/>
        </w:rPr>
      </w:pPr>
      <w:r>
        <w:rPr>
          <w:noProof/>
        </w:rPr>
        <w:drawing>
          <wp:inline distT="0" distB="0" distL="0" distR="0" wp14:anchorId="11D602AD" wp14:editId="356CACBD">
            <wp:extent cx="4165600" cy="3041650"/>
            <wp:effectExtent l="0" t="0" r="6350" b="6350"/>
            <wp:docPr id="187406502"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06502" name="Picture 1" descr="Chart, bar chart&#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65600" cy="3041650"/>
                    </a:xfrm>
                    <a:prstGeom prst="rect">
                      <a:avLst/>
                    </a:prstGeom>
                    <a:noFill/>
                    <a:ln>
                      <a:noFill/>
                    </a:ln>
                  </pic:spPr>
                </pic:pic>
              </a:graphicData>
            </a:graphic>
          </wp:inline>
        </w:drawing>
      </w:r>
    </w:p>
    <w:sectPr w:rsidR="00425D9E" w:rsidRPr="00425D9E" w:rsidSect="00206861">
      <w:headerReference w:type="even" r:id="rId14"/>
      <w:headerReference w:type="default" r:id="rId15"/>
      <w:footerReference w:type="even" r:id="rId16"/>
      <w:footerReference w:type="default" r:id="rId17"/>
      <w:headerReference w:type="first" r:id="rId18"/>
      <w:pgSz w:w="12240" w:h="15840"/>
      <w:pgMar w:top="1138" w:right="1181" w:bottom="1138" w:left="1282" w:header="283" w:footer="51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494FE" w14:textId="77777777" w:rsidR="000636E6" w:rsidRDefault="000636E6" w:rsidP="00117666">
      <w:pPr>
        <w:spacing w:after="0"/>
      </w:pPr>
      <w:r>
        <w:separator/>
      </w:r>
    </w:p>
  </w:endnote>
  <w:endnote w:type="continuationSeparator" w:id="0">
    <w:p w14:paraId="38BC9FA6" w14:textId="77777777" w:rsidR="000636E6" w:rsidRDefault="000636E6"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FCB79" w14:textId="77777777" w:rsidR="00686C9D" w:rsidRPr="00577C4C" w:rsidRDefault="00C52A7B">
    <w:pPr>
      <w:pStyle w:val="Footer"/>
      <w:rPr>
        <w:color w:val="C00000"/>
        <w:szCs w:val="24"/>
      </w:rPr>
    </w:pPr>
    <w:r w:rsidRPr="00577C4C">
      <w:rPr>
        <w:noProof/>
        <w:color w:val="C00000"/>
        <w:szCs w:val="24"/>
        <w:lang w:val="en-GB" w:eastAsia="en-GB"/>
      </w:rPr>
      <mc:AlternateContent>
        <mc:Choice Requires="wps">
          <w:drawing>
            <wp:anchor distT="0" distB="0" distL="114300" distR="114300" simplePos="0" relativeHeight="251683840" behindDoc="0" locked="0" layoutInCell="1" allowOverlap="1" wp14:anchorId="5744FF29" wp14:editId="0CFDB4C5">
              <wp:simplePos x="0" y="0"/>
              <wp:positionH relativeFrom="column">
                <wp:posOffset>-108280</wp:posOffset>
              </wp:positionH>
              <wp:positionV relativeFrom="paragraph">
                <wp:posOffset>-58420</wp:posOffset>
              </wp:positionV>
              <wp:extent cx="3672231" cy="1403985"/>
              <wp:effectExtent l="0" t="0" r="444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231" cy="1403985"/>
                      </a:xfrm>
                      <a:prstGeom prst="rect">
                        <a:avLst/>
                      </a:prstGeom>
                      <a:solidFill>
                        <a:srgbClr val="FFFFFF"/>
                      </a:solidFill>
                      <a:ln w="9525">
                        <a:noFill/>
                        <a:miter lim="800000"/>
                        <a:headEnd/>
                        <a:tailEnd/>
                      </a:ln>
                    </wps:spPr>
                    <wps:txbx>
                      <w:txbxContent>
                        <w:p w14:paraId="7B187B51" w14:textId="77777777" w:rsidR="00686C9D" w:rsidRPr="00E9561B" w:rsidRDefault="00C52A7B">
                          <w:pPr>
                            <w:rPr>
                              <w:color w:val="C00000"/>
                            </w:rPr>
                          </w:pPr>
                          <w:r w:rsidRPr="00E9561B">
                            <w:rPr>
                              <w:color w:val="C00000"/>
                            </w:rPr>
                            <w:t>This is a provisional file, not the final typeset article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744FF29" id="_x0000_t202" coordsize="21600,21600" o:spt="202" path="m,l,21600r21600,l21600,xe">
              <v:stroke joinstyle="miter"/>
              <v:path gradientshapeok="t" o:connecttype="rect"/>
            </v:shapetype>
            <v:shape id="Text Box 2" o:spid="_x0000_s1026" type="#_x0000_t202" style="position:absolute;margin-left:-8.55pt;margin-top:-4.6pt;width:289.15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" stroked="f">
              <v:textbox style="mso-fit-shape-to-text:t">
                <w:txbxContent>
                  <w:p w14:paraId="7B187B51" w14:textId="77777777" w:rsidR="00686C9D" w:rsidRPr="00E9561B" w:rsidRDefault="00C52A7B">
                    <w:pPr>
                      <w:rPr>
                        <w:color w:val="C00000"/>
                      </w:rPr>
                    </w:pPr>
                    <w:r w:rsidRPr="00E9561B">
                      <w:rPr>
                        <w:color w:val="C00000"/>
                      </w:rPr>
                      <w:t>This is a provisional file, not the final typeset article</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14:anchorId="7C0C9A1E" wp14:editId="0A8165B7">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B86276A"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4</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C0C9A1E" id="Text Box 1" o:spid="_x0000_s1027" type="#_x0000_t202" style="position:absolute;margin-left:67.6pt;margin-top:0;width:118.8pt;height:31.15pt;z-index:25166540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" filled="f" stroked="f" strokeweight=".5pt">
              <v:textbox style="mso-fit-shape-to-text:t">
                <w:txbxContent>
                  <w:p w14:paraId="2B86276A"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4</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8A60F" w14:textId="77777777" w:rsidR="00686C9D" w:rsidRPr="00577C4C" w:rsidRDefault="00C52A7B">
    <w:pPr>
      <w:pStyle w:val="Foote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2127D7DA" wp14:editId="10908CC8">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4C0BEFB"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127D7DA" id="_x0000_t202" coordsize="21600,21600" o:spt="202" path="m,l,21600r21600,l21600,xe">
              <v:stroke joinstyle="miter"/>
              <v:path gradientshapeok="t" o:connecttype="rect"/>
            </v:shapetype>
            <v:shape id="Text Box 56" o:spid="_x0000_s1028"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" filled="f" stroked="f" strokeweight=".5pt">
              <v:textbox style="mso-fit-shape-to-text:t">
                <w:txbxContent>
                  <w:p w14:paraId="04C0BEFB"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697C4" w14:textId="77777777" w:rsidR="000636E6" w:rsidRDefault="000636E6" w:rsidP="00117666">
      <w:pPr>
        <w:spacing w:after="0"/>
      </w:pPr>
      <w:r>
        <w:separator/>
      </w:r>
    </w:p>
  </w:footnote>
  <w:footnote w:type="continuationSeparator" w:id="0">
    <w:p w14:paraId="5ADD9343" w14:textId="77777777" w:rsidR="000636E6" w:rsidRDefault="000636E6"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81EC0" w14:textId="54B92735" w:rsidR="00686C9D" w:rsidRPr="007E3148" w:rsidRDefault="00686C9D" w:rsidP="00A53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3055" w14:textId="1A817A43" w:rsidR="00686C9D" w:rsidRPr="00A53000" w:rsidRDefault="00686C9D" w:rsidP="00A53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4DC69" w14:textId="77777777" w:rsidR="00686C9D" w:rsidRDefault="005A1D84" w:rsidP="00A53000">
    <w:pPr>
      <w:pStyle w:val="Header"/>
    </w:pPr>
    <w:r w:rsidRPr="005A1D84">
      <w:rPr>
        <w:noProof/>
        <w:color w:val="A6A6A6" w:themeColor="background1" w:themeShade="A6"/>
        <w:lang w:val="en-GB" w:eastAsia="en-GB"/>
      </w:rPr>
      <w:drawing>
        <wp:inline distT="0" distB="0" distL="0" distR="0" wp14:anchorId="14758C2E" wp14:editId="7C8F8B09">
          <wp:extent cx="1382534" cy="497091"/>
          <wp:effectExtent l="0" t="0" r="0"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4"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02A7CAC"/>
    <w:multiLevelType w:val="multilevel"/>
    <w:tmpl w:val="C6A8CCEA"/>
    <w:numStyleLink w:val="Headings"/>
  </w:abstractNum>
  <w:abstractNum w:abstractNumId="6"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BC6F29"/>
    <w:multiLevelType w:val="multilevel"/>
    <w:tmpl w:val="C6A8CCEA"/>
    <w:numStyleLink w:val="Headings"/>
  </w:abstractNum>
  <w:abstractNum w:abstractNumId="17"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20148494">
    <w:abstractNumId w:val="0"/>
  </w:num>
  <w:num w:numId="2" w16cid:durableId="1175342395">
    <w:abstractNumId w:val="13"/>
  </w:num>
  <w:num w:numId="3" w16cid:durableId="1144352800">
    <w:abstractNumId w:val="1"/>
  </w:num>
  <w:num w:numId="4" w16cid:durableId="769737119">
    <w:abstractNumId w:val="15"/>
  </w:num>
  <w:num w:numId="5" w16cid:durableId="17016633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534203">
    <w:abstractNumId w:val="10"/>
  </w:num>
  <w:num w:numId="7" w16cid:durableId="773479634">
    <w:abstractNumId w:val="8"/>
  </w:num>
  <w:num w:numId="8" w16cid:durableId="2072000685">
    <w:abstractNumId w:val="6"/>
  </w:num>
  <w:num w:numId="9" w16cid:durableId="1213807494">
    <w:abstractNumId w:val="9"/>
  </w:num>
  <w:num w:numId="10" w16cid:durableId="308825289">
    <w:abstractNumId w:val="7"/>
  </w:num>
  <w:num w:numId="11" w16cid:durableId="372848954">
    <w:abstractNumId w:val="2"/>
  </w:num>
  <w:num w:numId="12" w16cid:durableId="213006365">
    <w:abstractNumId w:val="17"/>
  </w:num>
  <w:num w:numId="13" w16cid:durableId="1411196366">
    <w:abstractNumId w:val="12"/>
  </w:num>
  <w:num w:numId="14" w16cid:durableId="944966812">
    <w:abstractNumId w:val="4"/>
  </w:num>
  <w:num w:numId="15" w16cid:durableId="1662200756">
    <w:abstractNumId w:val="11"/>
  </w:num>
  <w:num w:numId="16" w16cid:durableId="2141485750">
    <w:abstractNumId w:val="14"/>
  </w:num>
  <w:num w:numId="17" w16cid:durableId="2002923295">
    <w:abstractNumId w:val="3"/>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18" w16cid:durableId="13005275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14516991">
    <w:abstractNumId w:val="5"/>
  </w:num>
  <w:num w:numId="20" w16cid:durableId="58940097">
    <w:abstractNumId w:val="16"/>
  </w:num>
  <w:num w:numId="21" w16cid:durableId="490292411">
    <w:abstractNumId w:val="3"/>
  </w:num>
  <w:num w:numId="22" w16cid:durableId="1120419941">
    <w:abstractNumId w:val="3"/>
    <w:lvlOverride w:ilvl="0">
      <w:startOverride w:val="1"/>
      <w:lvl w:ilvl="0">
        <w:start w:val="1"/>
        <w:numFmt w:val="decimal"/>
        <w:pStyle w:val="Heading1"/>
        <w:lvlText w:val="%1"/>
        <w:lvlJc w:val="left"/>
        <w:pPr>
          <w:tabs>
            <w:tab w:val="num" w:pos="567"/>
          </w:tabs>
          <w:ind w:left="567" w:hanging="567"/>
        </w:pPr>
      </w:lvl>
    </w:lvlOverride>
    <w:lvlOverride w:ilvl="1">
      <w:startOverride w:val="1"/>
      <w:lvl w:ilvl="1">
        <w:start w:val="1"/>
        <w:numFmt w:val="decimal"/>
        <w:pStyle w:val="Heading2"/>
        <w:lvlText w:val="%1.%2"/>
        <w:lvlJc w:val="left"/>
        <w:pPr>
          <w:tabs>
            <w:tab w:val="num" w:pos="567"/>
          </w:tabs>
          <w:ind w:left="567" w:hanging="567"/>
        </w:p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3" w16cid:durableId="1195147197">
    <w:abstractNumId w:val="3"/>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283"/>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Frontiers in Neuroendo&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xtr0wtaawf0znezse8v55xt50rx55etp250&quot;&gt;my works&lt;record-ids&gt;&lt;item&gt;630&lt;/item&gt;&lt;item&gt;631&lt;/item&gt;&lt;item&gt;632&lt;/item&gt;&lt;/record-ids&gt;&lt;/item&gt;&lt;/Libraries&gt;"/>
  </w:docVars>
  <w:rsids>
    <w:rsidRoot w:val="00D40420"/>
    <w:rsid w:val="000001BE"/>
    <w:rsid w:val="00015D7B"/>
    <w:rsid w:val="0002273A"/>
    <w:rsid w:val="00034304"/>
    <w:rsid w:val="00035434"/>
    <w:rsid w:val="00045678"/>
    <w:rsid w:val="000458E4"/>
    <w:rsid w:val="00060CBF"/>
    <w:rsid w:val="000636E6"/>
    <w:rsid w:val="00063D84"/>
    <w:rsid w:val="0006636D"/>
    <w:rsid w:val="0007526F"/>
    <w:rsid w:val="00077D53"/>
    <w:rsid w:val="00081394"/>
    <w:rsid w:val="000B34BD"/>
    <w:rsid w:val="000C7E2A"/>
    <w:rsid w:val="000F4CFB"/>
    <w:rsid w:val="00117666"/>
    <w:rsid w:val="001223A7"/>
    <w:rsid w:val="00134256"/>
    <w:rsid w:val="00147395"/>
    <w:rsid w:val="00152161"/>
    <w:rsid w:val="001552C9"/>
    <w:rsid w:val="00177D84"/>
    <w:rsid w:val="001964EF"/>
    <w:rsid w:val="001B1A2C"/>
    <w:rsid w:val="001D5C23"/>
    <w:rsid w:val="001E4F08"/>
    <w:rsid w:val="001F4C07"/>
    <w:rsid w:val="00206322"/>
    <w:rsid w:val="00206861"/>
    <w:rsid w:val="002138EF"/>
    <w:rsid w:val="00217BA1"/>
    <w:rsid w:val="00220AEA"/>
    <w:rsid w:val="00226954"/>
    <w:rsid w:val="002368CB"/>
    <w:rsid w:val="002629A3"/>
    <w:rsid w:val="00265660"/>
    <w:rsid w:val="002677A0"/>
    <w:rsid w:val="00267D18"/>
    <w:rsid w:val="002868E2"/>
    <w:rsid w:val="002869C3"/>
    <w:rsid w:val="0029123F"/>
    <w:rsid w:val="002936E4"/>
    <w:rsid w:val="00296B88"/>
    <w:rsid w:val="002A260D"/>
    <w:rsid w:val="002C2C69"/>
    <w:rsid w:val="002C74CA"/>
    <w:rsid w:val="002E0C72"/>
    <w:rsid w:val="002F744D"/>
    <w:rsid w:val="00303DE6"/>
    <w:rsid w:val="00310124"/>
    <w:rsid w:val="00322306"/>
    <w:rsid w:val="003544FB"/>
    <w:rsid w:val="00365D63"/>
    <w:rsid w:val="0036793B"/>
    <w:rsid w:val="00372682"/>
    <w:rsid w:val="00376CC5"/>
    <w:rsid w:val="0039693B"/>
    <w:rsid w:val="003B3C40"/>
    <w:rsid w:val="003C4056"/>
    <w:rsid w:val="003D2F2D"/>
    <w:rsid w:val="003F0CE5"/>
    <w:rsid w:val="00401590"/>
    <w:rsid w:val="00402D5E"/>
    <w:rsid w:val="00425D9E"/>
    <w:rsid w:val="00435BC8"/>
    <w:rsid w:val="00441A09"/>
    <w:rsid w:val="00446E4C"/>
    <w:rsid w:val="00463E3D"/>
    <w:rsid w:val="004645AE"/>
    <w:rsid w:val="004D3E33"/>
    <w:rsid w:val="00510770"/>
    <w:rsid w:val="0052252B"/>
    <w:rsid w:val="005250F2"/>
    <w:rsid w:val="005A1D84"/>
    <w:rsid w:val="005A70EA"/>
    <w:rsid w:val="005C3963"/>
    <w:rsid w:val="005D1840"/>
    <w:rsid w:val="005D35E4"/>
    <w:rsid w:val="005D7910"/>
    <w:rsid w:val="00614C68"/>
    <w:rsid w:val="0062154F"/>
    <w:rsid w:val="00626026"/>
    <w:rsid w:val="00631A8C"/>
    <w:rsid w:val="00651CA2"/>
    <w:rsid w:val="00653D60"/>
    <w:rsid w:val="00660D05"/>
    <w:rsid w:val="00671D9A"/>
    <w:rsid w:val="00673952"/>
    <w:rsid w:val="00686C9D"/>
    <w:rsid w:val="00691E19"/>
    <w:rsid w:val="006B2D5B"/>
    <w:rsid w:val="006B7D14"/>
    <w:rsid w:val="006B7F41"/>
    <w:rsid w:val="006C186D"/>
    <w:rsid w:val="006D5B93"/>
    <w:rsid w:val="006E18DE"/>
    <w:rsid w:val="006E54C5"/>
    <w:rsid w:val="00725A7D"/>
    <w:rsid w:val="00727093"/>
    <w:rsid w:val="0073085C"/>
    <w:rsid w:val="00746505"/>
    <w:rsid w:val="00752FD1"/>
    <w:rsid w:val="00790BB3"/>
    <w:rsid w:val="00792043"/>
    <w:rsid w:val="00797EDD"/>
    <w:rsid w:val="007B0322"/>
    <w:rsid w:val="007C0E3F"/>
    <w:rsid w:val="007C206C"/>
    <w:rsid w:val="007C5729"/>
    <w:rsid w:val="007F2C16"/>
    <w:rsid w:val="00807F44"/>
    <w:rsid w:val="008111E4"/>
    <w:rsid w:val="0081301C"/>
    <w:rsid w:val="00817DD6"/>
    <w:rsid w:val="008629A9"/>
    <w:rsid w:val="00865CA1"/>
    <w:rsid w:val="0088513A"/>
    <w:rsid w:val="00893C19"/>
    <w:rsid w:val="00895308"/>
    <w:rsid w:val="008A0240"/>
    <w:rsid w:val="008D6C8D"/>
    <w:rsid w:val="008E2B54"/>
    <w:rsid w:val="008E4404"/>
    <w:rsid w:val="008E58C7"/>
    <w:rsid w:val="008F5021"/>
    <w:rsid w:val="00940E87"/>
    <w:rsid w:val="00943573"/>
    <w:rsid w:val="00966898"/>
    <w:rsid w:val="00971B61"/>
    <w:rsid w:val="00980C31"/>
    <w:rsid w:val="009955FF"/>
    <w:rsid w:val="009D259D"/>
    <w:rsid w:val="00A00487"/>
    <w:rsid w:val="00A07CCC"/>
    <w:rsid w:val="00A353B4"/>
    <w:rsid w:val="00A50D9D"/>
    <w:rsid w:val="00A53000"/>
    <w:rsid w:val="00A545C6"/>
    <w:rsid w:val="00A65854"/>
    <w:rsid w:val="00A7064C"/>
    <w:rsid w:val="00A75F87"/>
    <w:rsid w:val="00A95D8B"/>
    <w:rsid w:val="00AC0270"/>
    <w:rsid w:val="00AC3EA3"/>
    <w:rsid w:val="00AC792D"/>
    <w:rsid w:val="00B657B8"/>
    <w:rsid w:val="00B6581C"/>
    <w:rsid w:val="00B84920"/>
    <w:rsid w:val="00B8556A"/>
    <w:rsid w:val="00BB41CE"/>
    <w:rsid w:val="00BB6949"/>
    <w:rsid w:val="00C012A3"/>
    <w:rsid w:val="00C167FF"/>
    <w:rsid w:val="00C16F19"/>
    <w:rsid w:val="00C30EB1"/>
    <w:rsid w:val="00C36137"/>
    <w:rsid w:val="00C52A7B"/>
    <w:rsid w:val="00C6324C"/>
    <w:rsid w:val="00C679AA"/>
    <w:rsid w:val="00C724CF"/>
    <w:rsid w:val="00C75972"/>
    <w:rsid w:val="00C82792"/>
    <w:rsid w:val="00C948FD"/>
    <w:rsid w:val="00CB2220"/>
    <w:rsid w:val="00CB43D5"/>
    <w:rsid w:val="00CC76F9"/>
    <w:rsid w:val="00CD066B"/>
    <w:rsid w:val="00CD3ECE"/>
    <w:rsid w:val="00CD46E2"/>
    <w:rsid w:val="00CE45BB"/>
    <w:rsid w:val="00D00D0B"/>
    <w:rsid w:val="00D04B69"/>
    <w:rsid w:val="00D10A44"/>
    <w:rsid w:val="00D17FBC"/>
    <w:rsid w:val="00D40420"/>
    <w:rsid w:val="00D537FA"/>
    <w:rsid w:val="00D54BD8"/>
    <w:rsid w:val="00D64576"/>
    <w:rsid w:val="00D80D99"/>
    <w:rsid w:val="00D9503C"/>
    <w:rsid w:val="00DA41DF"/>
    <w:rsid w:val="00DD73EF"/>
    <w:rsid w:val="00DE0986"/>
    <w:rsid w:val="00DE23E8"/>
    <w:rsid w:val="00DF187F"/>
    <w:rsid w:val="00E0128B"/>
    <w:rsid w:val="00E04D1B"/>
    <w:rsid w:val="00E11C78"/>
    <w:rsid w:val="00E258D0"/>
    <w:rsid w:val="00E64E17"/>
    <w:rsid w:val="00E80A4E"/>
    <w:rsid w:val="00E84F4A"/>
    <w:rsid w:val="00E852EA"/>
    <w:rsid w:val="00EA3D3C"/>
    <w:rsid w:val="00EC7CC3"/>
    <w:rsid w:val="00F254A4"/>
    <w:rsid w:val="00F46494"/>
    <w:rsid w:val="00F558AB"/>
    <w:rsid w:val="00F61D89"/>
    <w:rsid w:val="00F86ABB"/>
    <w:rsid w:val="00F91236"/>
    <w:rsid w:val="00F97039"/>
    <w:rsid w:val="00FD7648"/>
    <w:rsid w:val="00FE2770"/>
    <w:rsid w:val="00FF6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EA237"/>
  <w15:docId w15:val="{757ABA37-7D5A-42D5-8BA2-C3ABF0C36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D99"/>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D80D99"/>
    <w:pPr>
      <w:numPr>
        <w:numId w:val="17"/>
      </w:numPr>
      <w:spacing w:before="240"/>
      <w:contextualSpacing w:val="0"/>
      <w:outlineLvl w:val="0"/>
    </w:pPr>
    <w:rPr>
      <w:b/>
    </w:rPr>
  </w:style>
  <w:style w:type="paragraph" w:styleId="Heading2">
    <w:name w:val="heading 2"/>
    <w:basedOn w:val="Heading1"/>
    <w:next w:val="Normal"/>
    <w:link w:val="Heading2Char"/>
    <w:uiPriority w:val="2"/>
    <w:qFormat/>
    <w:rsid w:val="00D80D99"/>
    <w:pPr>
      <w:numPr>
        <w:ilvl w:val="1"/>
      </w:numPr>
      <w:spacing w:after="200"/>
      <w:outlineLvl w:val="1"/>
    </w:pPr>
  </w:style>
  <w:style w:type="paragraph" w:styleId="Heading3">
    <w:name w:val="heading 3"/>
    <w:basedOn w:val="Normal"/>
    <w:next w:val="Normal"/>
    <w:link w:val="Heading3Char"/>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D80D99"/>
    <w:pPr>
      <w:numPr>
        <w:ilvl w:val="3"/>
      </w:numPr>
      <w:outlineLvl w:val="3"/>
    </w:pPr>
    <w:rPr>
      <w:iCs/>
    </w:rPr>
  </w:style>
  <w:style w:type="paragraph" w:styleId="Heading5">
    <w:name w:val="heading 5"/>
    <w:basedOn w:val="Heading4"/>
    <w:next w:val="Normal"/>
    <w:link w:val="Heading5Char"/>
    <w:uiPriority w:val="2"/>
    <w:qFormat/>
    <w:rsid w:val="00D80D99"/>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14739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147395"/>
    <w:rPr>
      <w:rFonts w:ascii="Times New Roman" w:eastAsia="Cambria" w:hAnsi="Times New Roman" w:cs="Times New Roman"/>
      <w:b/>
      <w:sz w:val="24"/>
      <w:szCs w:val="24"/>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uiPriority w:val="3"/>
    <w:qFormat/>
    <w:rsid w:val="00310124"/>
    <w:pPr>
      <w:numPr>
        <w:numId w:val="14"/>
      </w:numPr>
      <w:ind w:left="1434" w:hanging="357"/>
      <w:contextualSpacing/>
    </w:pPr>
    <w:rPr>
      <w:rFonts w:eastAsia="Cambria" w:cs="Times New Roman"/>
      <w:szCs w:val="24"/>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A53000"/>
    <w:pPr>
      <w:tabs>
        <w:tab w:val="center" w:pos="4844"/>
        <w:tab w:val="right" w:pos="9689"/>
      </w:tabs>
    </w:pPr>
    <w:rPr>
      <w:b/>
    </w:rPr>
  </w:style>
  <w:style w:type="character" w:customStyle="1" w:styleId="HeaderChar">
    <w:name w:val="Header Char"/>
    <w:basedOn w:val="DefaultParagraphFont"/>
    <w:link w:val="Header"/>
    <w:uiPriority w:val="99"/>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basedOn w:val="TableNormal"/>
    <w:uiPriority w:val="59"/>
    <w:rsid w:val="00117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A53000"/>
    <w:pPr>
      <w:keepNext/>
    </w:pPr>
    <w:rPr>
      <w:rFonts w:cs="Times New Roman"/>
      <w:b/>
      <w:bCs/>
      <w:szCs w:val="24"/>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semiHidden/>
    <w:unhideWhenUsed/>
    <w:rsid w:val="00725A7D"/>
    <w:rPr>
      <w:sz w:val="16"/>
      <w:szCs w:val="16"/>
    </w:rPr>
  </w:style>
  <w:style w:type="paragraph" w:styleId="CommentText">
    <w:name w:val="annotation text"/>
    <w:basedOn w:val="Normal"/>
    <w:link w:val="CommentTextChar"/>
    <w:uiPriority w:val="99"/>
    <w:semiHidden/>
    <w:unhideWhenUsed/>
    <w:rsid w:val="00725A7D"/>
    <w:rPr>
      <w:sz w:val="20"/>
      <w:szCs w:val="20"/>
    </w:rPr>
  </w:style>
  <w:style w:type="character" w:customStyle="1" w:styleId="CommentTextChar">
    <w:name w:val="Comment Text Char"/>
    <w:basedOn w:val="DefaultParagraphFont"/>
    <w:link w:val="CommentText"/>
    <w:uiPriority w:val="99"/>
    <w:semiHidden/>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paragraph" w:styleId="Title">
    <w:name w:val="Title"/>
    <w:basedOn w:val="Normal"/>
    <w:next w:val="Normal"/>
    <w:link w:val="TitleChar"/>
    <w:qFormat/>
    <w:rsid w:val="00D80D99"/>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D80D99"/>
    <w:rPr>
      <w:rFonts w:ascii="Times New Roman" w:hAnsi="Times New Roman" w:cs="Times New Roman"/>
      <w:b/>
      <w:sz w:val="32"/>
      <w:szCs w:val="32"/>
    </w:rPr>
  </w:style>
  <w:style w:type="paragraph" w:styleId="Subtitle">
    <w:name w:val="Subtitle"/>
    <w:basedOn w:val="Normal"/>
    <w:next w:val="Normal"/>
    <w:link w:val="SubtitleChar"/>
    <w:uiPriority w:val="99"/>
    <w:unhideWhenUsed/>
    <w:qFormat/>
    <w:rsid w:val="00AC0270"/>
    <w:pPr>
      <w:spacing w:before="240"/>
    </w:pPr>
    <w:rPr>
      <w:rFonts w:cs="Times New Roman"/>
      <w:b/>
      <w:szCs w:val="24"/>
    </w:rPr>
  </w:style>
  <w:style w:type="character" w:customStyle="1" w:styleId="SubtitleChar">
    <w:name w:val="Subtitle Char"/>
    <w:basedOn w:val="DefaultParagraphFont"/>
    <w:link w:val="Subtitle"/>
    <w:uiPriority w:val="99"/>
    <w:rsid w:val="00651CA2"/>
    <w:rPr>
      <w:rFonts w:ascii="Times New Roman" w:hAnsi="Times New Roman" w:cs="Times New Roman"/>
      <w:b/>
      <w:sz w:val="24"/>
      <w:szCs w:val="24"/>
    </w:rPr>
  </w:style>
  <w:style w:type="character" w:customStyle="1" w:styleId="Heading3Char">
    <w:name w:val="Heading 3 Char"/>
    <w:basedOn w:val="DefaultParagraphFont"/>
    <w:link w:val="Heading3"/>
    <w:uiPriority w:val="2"/>
    <w:rsid w:val="005D1840"/>
    <w:rPr>
      <w:rFonts w:ascii="Times New Roman" w:eastAsiaTheme="majorEastAsia" w:hAnsi="Times New Roman" w:cstheme="majorBidi"/>
      <w:b/>
      <w:sz w:val="24"/>
      <w:szCs w:val="24"/>
    </w:rPr>
  </w:style>
  <w:style w:type="paragraph" w:styleId="NoSpacing">
    <w:name w:val="No Spacing"/>
    <w:uiPriority w:val="99"/>
    <w:unhideWhenUsed/>
    <w:qFormat/>
    <w:rsid w:val="00A53000"/>
    <w:pPr>
      <w:spacing w:after="0" w:line="240" w:lineRule="auto"/>
    </w:pPr>
    <w:rPr>
      <w:rFonts w:ascii="Times New Roman" w:hAnsi="Times New Roman"/>
      <w:sz w:val="24"/>
    </w:rPr>
  </w:style>
  <w:style w:type="character" w:customStyle="1" w:styleId="Heading4Char">
    <w:name w:val="Heading 4 Char"/>
    <w:basedOn w:val="DefaultParagraphFont"/>
    <w:link w:val="Heading4"/>
    <w:uiPriority w:val="2"/>
    <w:rsid w:val="005D1840"/>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Revision">
    <w:name w:val="Revision"/>
    <w:hidden/>
    <w:uiPriority w:val="99"/>
    <w:semiHidden/>
    <w:rsid w:val="00A545C6"/>
    <w:pPr>
      <w:spacing w:after="0" w:line="240" w:lineRule="auto"/>
    </w:pPr>
    <w:rPr>
      <w:rFonts w:ascii="Times New Roman" w:hAnsi="Times New Roman"/>
      <w:sz w:val="24"/>
    </w:rPr>
  </w:style>
  <w:style w:type="character" w:styleId="UnresolvedMention">
    <w:name w:val="Unresolved Mention"/>
    <w:basedOn w:val="DefaultParagraphFont"/>
    <w:uiPriority w:val="99"/>
    <w:semiHidden/>
    <w:unhideWhenUsed/>
    <w:rsid w:val="00895308"/>
    <w:rPr>
      <w:color w:val="605E5C"/>
      <w:shd w:val="clear" w:color="auto" w:fill="E1DFDD"/>
    </w:rPr>
  </w:style>
  <w:style w:type="paragraph" w:customStyle="1" w:styleId="Corpo">
    <w:name w:val="Corpo"/>
    <w:link w:val="CorpoChar"/>
    <w:rsid w:val="003C405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de-DE" w:eastAsia="en-GB"/>
    </w:rPr>
  </w:style>
  <w:style w:type="character" w:customStyle="1" w:styleId="Nessuno">
    <w:name w:val="Nessuno"/>
    <w:rsid w:val="003C4056"/>
  </w:style>
  <w:style w:type="character" w:customStyle="1" w:styleId="None">
    <w:name w:val="None"/>
    <w:rsid w:val="003C4056"/>
  </w:style>
  <w:style w:type="character" w:customStyle="1" w:styleId="CorpoChar">
    <w:name w:val="Corpo Char"/>
    <w:basedOn w:val="DefaultParagraphFont"/>
    <w:link w:val="Corpo"/>
    <w:rsid w:val="003C4056"/>
    <w:rPr>
      <w:rFonts w:ascii="Times New Roman" w:eastAsia="Arial Unicode MS" w:hAnsi="Times New Roman" w:cs="Arial Unicode MS"/>
      <w:color w:val="000000"/>
      <w:sz w:val="24"/>
      <w:szCs w:val="24"/>
      <w:u w:color="000000"/>
      <w:bdr w:val="nil"/>
      <w:lang w:val="de-DE" w:eastAsia="en-GB"/>
    </w:rPr>
  </w:style>
  <w:style w:type="paragraph" w:customStyle="1" w:styleId="EndNoteBibliographyTitle">
    <w:name w:val="EndNote Bibliography Title"/>
    <w:basedOn w:val="Normal"/>
    <w:link w:val="EndNoteBibliographyTitleChar"/>
    <w:rsid w:val="00441A09"/>
    <w:pPr>
      <w:spacing w:after="0"/>
      <w:jc w:val="center"/>
    </w:pPr>
    <w:rPr>
      <w:rFonts w:cs="Times New Roman"/>
      <w:noProof/>
    </w:rPr>
  </w:style>
  <w:style w:type="character" w:customStyle="1" w:styleId="EndNoteBibliographyTitleChar">
    <w:name w:val="EndNote Bibliography Title Char"/>
    <w:basedOn w:val="Heading1Char"/>
    <w:link w:val="EndNoteBibliographyTitle"/>
    <w:rsid w:val="00441A09"/>
    <w:rPr>
      <w:rFonts w:ascii="Times New Roman" w:eastAsia="Cambria" w:hAnsi="Times New Roman" w:cs="Times New Roman"/>
      <w:b w:val="0"/>
      <w:noProof/>
      <w:sz w:val="24"/>
      <w:szCs w:val="24"/>
    </w:rPr>
  </w:style>
  <w:style w:type="paragraph" w:customStyle="1" w:styleId="EndNoteBibliography">
    <w:name w:val="EndNote Bibliography"/>
    <w:basedOn w:val="Normal"/>
    <w:link w:val="EndNoteBibliographyChar"/>
    <w:rsid w:val="00441A09"/>
    <w:rPr>
      <w:rFonts w:cs="Times New Roman"/>
      <w:noProof/>
    </w:rPr>
  </w:style>
  <w:style w:type="character" w:customStyle="1" w:styleId="EndNoteBibliographyChar">
    <w:name w:val="EndNote Bibliography Char"/>
    <w:basedOn w:val="Heading1Char"/>
    <w:link w:val="EndNoteBibliography"/>
    <w:rsid w:val="00441A09"/>
    <w:rPr>
      <w:rFonts w:ascii="Times New Roman" w:eastAsia="Cambria" w:hAnsi="Times New Roman" w:cs="Times New Roman"/>
      <w:b w:val="0"/>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tiff"/><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nicola.veronese@unipa.i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eccles\OneDrive%20-%20Frontiers%20Media%20SA\Documents\Latex%20work\Sep%202022_link%20updates\frontier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445AF306EBB441B7A6158762C40D43" ma:contentTypeVersion="28" ma:contentTypeDescription="Create a new document." ma:contentTypeScope="" ma:versionID="6fd1d3709ebdae3c6e0eeb2d23db798b">
  <xsd:schema xmlns:xsd="http://www.w3.org/2001/XMLSchema" xmlns:xs="http://www.w3.org/2001/XMLSchema" xmlns:p="http://schemas.microsoft.com/office/2006/metadata/properties" xmlns:ns2="26005759-6815-4540-b8ea-913958d74f23" xmlns:ns3="970c08f3-bdc0-46be-888b-e62464d9f78c" targetNamespace="http://schemas.microsoft.com/office/2006/metadata/properties" ma:root="true" ma:fieldsID="830d6d9b807b871f8ec19ed92d251fd0" ns2:_="" ns3:_="">
    <xsd:import namespace="26005759-6815-4540-b8ea-913958d74f23"/>
    <xsd:import namespace="970c08f3-bdc0-46be-888b-e62464d9f78c"/>
    <xsd:element name="properties">
      <xsd:complexType>
        <xsd:sequence>
          <xsd:element name="documentManagement">
            <xsd:complexType>
              <xsd:all>
                <xsd:element ref="ns2:_dlc_DocIdUrl" minOccurs="0"/>
                <xsd:element ref="ns2:_dlc_DocId"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Status" minOccurs="0"/>
                <xsd:element ref="ns3:Lead" minOccurs="0"/>
                <xsd:element ref="ns3:Description" minOccurs="0"/>
                <xsd:element ref="ns3:_Flow_SignoffStatu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005759-6815-4540-b8ea-913958d74f23"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7" nillable="true" ma:displayName="Document ID Value" ma:description="The value of the document ID assigned to this item." ma:hidden="true" ma:internalName="_dlc_DocId" ma:readOnly="false">
      <xsd:simpleType>
        <xsd:restriction base="dms:Text"/>
      </xsd:simpleType>
    </xsd:element>
    <xsd:element name="_dlc_DocIdPersistId" ma:index="9" nillable="true" ma:displayName="Persist ID" ma:description="Keep ID on add." ma:hidden="true" ma:internalName="_dlc_DocIdPersistId" ma:readOnly="false">
      <xsd:simpleType>
        <xsd:restriction base="dms:Boolean"/>
      </xsd:simpleType>
    </xsd:element>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9" nillable="true" ma:displayName="Taxonomy Catch All Column" ma:hidden="true" ma:list="{43fa7804-5c1f-47ca-a814-a80f2ff05ca7}" ma:internalName="TaxCatchAll" ma:showField="CatchAllData" ma:web="26005759-6815-4540-b8ea-913958d74f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0c08f3-bdc0-46be-888b-e62464d9f7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Status" ma:index="18" nillable="true" ma:displayName="Status" ma:default="New" ma:description="Archive function" ma:format="Dropdown" ma:internalName="Status">
      <xsd:simpleType>
        <xsd:restriction base="dms:Choice">
          <xsd:enumeration value="New"/>
          <xsd:enumeration value="Ongoing"/>
          <xsd:enumeration value="Finished"/>
        </xsd:restriction>
      </xsd:simpleType>
    </xsd:element>
    <xsd:element name="Lead" ma:index="19" nillable="true" ma:displayName="Lead" ma:format="Dropdown" ma:list="UserInfo" ma:SharePointGroup="0" ma:internalName="Lea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 ma:index="20" nillable="true" ma:displayName="Description" ma:format="Dropdown" ma:internalName="Description">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65d274b-74f9-43c9-a5ca-fb7fe75b76d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CHICAGO.XSL" StyleName="Chicago"/>
</file>

<file path=customXml/item4.xml><?xml version="1.0" encoding="utf-8"?>
<p:properties xmlns:p="http://schemas.microsoft.com/office/2006/metadata/properties" xmlns:xsi="http://www.w3.org/2001/XMLSchema-instance" xmlns:pc="http://schemas.microsoft.com/office/infopath/2007/PartnerControls">
  <documentManagement>
    <_dlc_DocId xmlns="26005759-6815-4540-b8ea-913958d74f23">FRONDOC-1086935359-10120</_dlc_DocId>
    <_dlc_DocIdUrl xmlns="26005759-6815-4540-b8ea-913958d74f23">
      <Url>https://frontiersin.sharepoint.com/Publishing/PubOps/Production/_layouts/15/DocIdRedir.aspx?ID=FRONDOC-1086935359-10120</Url>
      <Description>FRONDOC-1086935359-10120</Description>
    </_dlc_DocIdUrl>
    <_dlc_DocIdPersistId xmlns="26005759-6815-4540-b8ea-913958d74f23">false</_dlc_DocIdPersistId>
    <Description xmlns="970c08f3-bdc0-46be-888b-e62464d9f78c" xsi:nil="true"/>
    <Lead xmlns="970c08f3-bdc0-46be-888b-e62464d9f78c">
      <UserInfo>
        <DisplayName/>
        <AccountId xsi:nil="true"/>
        <AccountType/>
      </UserInfo>
    </Lead>
    <Status xmlns="970c08f3-bdc0-46be-888b-e62464d9f78c">New</Status>
    <_Flow_SignoffStatus xmlns="970c08f3-bdc0-46be-888b-e62464d9f78c" xsi:nil="true"/>
    <SharedWithUsers xmlns="26005759-6815-4540-b8ea-913958d74f23">
      <UserInfo>
        <DisplayName/>
        <AccountId xsi:nil="true"/>
        <AccountType/>
      </UserInfo>
    </SharedWithUsers>
    <lcf76f155ced4ddcb4097134ff3c332f xmlns="970c08f3-bdc0-46be-888b-e62464d9f78c">
      <Terms xmlns="http://schemas.microsoft.com/office/infopath/2007/PartnerControls"/>
    </lcf76f155ced4ddcb4097134ff3c332f>
    <TaxCatchAll xmlns="26005759-6815-4540-b8ea-913958d74f23"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7D19558-80B8-407F-9A85-A5582859BF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005759-6815-4540-b8ea-913958d74f23"/>
    <ds:schemaRef ds:uri="970c08f3-bdc0-46be-888b-e62464d9f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47FD6E-73F0-4542-8474-D6680317EFD1}">
  <ds:schemaRefs>
    <ds:schemaRef ds:uri="http://schemas.microsoft.com/sharepoint/v3/contenttype/forms"/>
  </ds:schemaRefs>
</ds:datastoreItem>
</file>

<file path=customXml/itemProps3.xml><?xml version="1.0" encoding="utf-8"?>
<ds:datastoreItem xmlns:ds="http://schemas.openxmlformats.org/officeDocument/2006/customXml" ds:itemID="{5F9F80FA-172A-49E6-812C-44A6388DD2F9}">
  <ds:schemaRefs>
    <ds:schemaRef ds:uri="http://schemas.openxmlformats.org/officeDocument/2006/bibliography"/>
  </ds:schemaRefs>
</ds:datastoreItem>
</file>

<file path=customXml/itemProps4.xml><?xml version="1.0" encoding="utf-8"?>
<ds:datastoreItem xmlns:ds="http://schemas.openxmlformats.org/officeDocument/2006/customXml" ds:itemID="{C80633FE-2C4D-43D3-9027-7B70B5BC8799}">
  <ds:schemaRefs>
    <ds:schemaRef ds:uri="http://schemas.microsoft.com/office/2006/metadata/properties"/>
    <ds:schemaRef ds:uri="http://schemas.microsoft.com/office/infopath/2007/PartnerControls"/>
    <ds:schemaRef ds:uri="26005759-6815-4540-b8ea-913958d74f23"/>
    <ds:schemaRef ds:uri="970c08f3-bdc0-46be-888b-e62464d9f78c"/>
  </ds:schemaRefs>
</ds:datastoreItem>
</file>

<file path=customXml/itemProps5.xml><?xml version="1.0" encoding="utf-8"?>
<ds:datastoreItem xmlns:ds="http://schemas.openxmlformats.org/officeDocument/2006/customXml" ds:itemID="{51F9E78B-9130-4244-A349-202827F2937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frontiers_template</Template>
  <TotalTime>5</TotalTime>
  <Pages>12</Pages>
  <Words>9563</Words>
  <Characters>54510</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Frontiers</dc:creator>
  <cp:keywords/>
  <dc:description/>
  <cp:lastModifiedBy>Smith, Lee</cp:lastModifiedBy>
  <cp:revision>2</cp:revision>
  <cp:lastPrinted>2013-10-03T12:51:00Z</cp:lastPrinted>
  <dcterms:created xsi:type="dcterms:W3CDTF">2023-04-13T16:17:00Z</dcterms:created>
  <dcterms:modified xsi:type="dcterms:W3CDTF">2023-04-13T16:17:00Z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0x01010026445AF306EBB441B7A6158762C40D43</vt:lpwstr>
  </property>
  <property fmtid="{D5CDD505-2E9C-101B-9397-08002B2CF9AE}" pid="3" name="_dlc_DocIdItemGuid">
    <vt:lpwstr>1f20ac40-4545-4ae8-9e88-2ffc72570862</vt:lpwstr>
  </property>
  <property fmtid="{D5CDD505-2E9C-101B-9397-08002B2CF9AE}" pid="4" name="Order">
    <vt:r8>1012000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