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F2177" w14:textId="77777777" w:rsidR="00310F2C" w:rsidRPr="00AC4273" w:rsidRDefault="00310F2C" w:rsidP="00862DC6">
      <w:pPr>
        <w:pStyle w:val="MDPI11articletype"/>
      </w:pPr>
      <w:r w:rsidRPr="00AC4273">
        <w:t>Article</w:t>
      </w:r>
    </w:p>
    <w:p w14:paraId="361396CA" w14:textId="495E7DD3" w:rsidR="00310F2C" w:rsidRPr="00AC4273" w:rsidRDefault="00310F2C" w:rsidP="00862DC6">
      <w:pPr>
        <w:pStyle w:val="MDPI12title"/>
      </w:pPr>
      <w:r w:rsidRPr="00AC4273">
        <w:t xml:space="preserve">Pet Ownership and Physical Activity in Older Adults: </w:t>
      </w:r>
      <w:r w:rsidR="00C51415">
        <w:br/>
      </w:r>
      <w:r w:rsidRPr="00AC4273">
        <w:t>Cross-</w:t>
      </w:r>
      <w:r w:rsidR="00C51415">
        <w:t>S</w:t>
      </w:r>
      <w:r w:rsidRPr="00AC4273">
        <w:t>ectional Analyses from the NICOLA Study</w:t>
      </w:r>
    </w:p>
    <w:p w14:paraId="46D91D14" w14:textId="19E49DD2" w:rsidR="00EE09B8" w:rsidRPr="00381945" w:rsidRDefault="00310F2C" w:rsidP="00862DC6">
      <w:pPr>
        <w:pStyle w:val="MDPI13authornames"/>
      </w:pPr>
      <w:r w:rsidRPr="00381945">
        <w:t xml:space="preserve">Ruth D. Neill </w:t>
      </w:r>
      <w:proofErr w:type="gramStart"/>
      <w:r w:rsidRPr="00381945">
        <w:rPr>
          <w:vertAlign w:val="superscript"/>
        </w:rPr>
        <w:t>1</w:t>
      </w:r>
      <w:r w:rsidR="00862DC6" w:rsidRPr="00381945">
        <w:rPr>
          <w:vertAlign w:val="superscript"/>
        </w:rPr>
        <w:t>,</w:t>
      </w:r>
      <w:r w:rsidRPr="00381945">
        <w:t>*</w:t>
      </w:r>
      <w:proofErr w:type="gramEnd"/>
      <w:r w:rsidRPr="00381945">
        <w:t xml:space="preserve">, Conor Cunningham </w:t>
      </w:r>
      <w:r w:rsidRPr="00381945">
        <w:rPr>
          <w:vertAlign w:val="superscript"/>
        </w:rPr>
        <w:t>2</w:t>
      </w:r>
      <w:r w:rsidRPr="00381945">
        <w:t xml:space="preserve">, Maeve </w:t>
      </w:r>
      <w:proofErr w:type="spellStart"/>
      <w:r w:rsidRPr="00381945">
        <w:t>O’Doherty</w:t>
      </w:r>
      <w:proofErr w:type="spellEnd"/>
      <w:r w:rsidRPr="00381945">
        <w:t xml:space="preserve"> </w:t>
      </w:r>
      <w:r w:rsidRPr="00381945">
        <w:rPr>
          <w:vertAlign w:val="superscript"/>
        </w:rPr>
        <w:t>1</w:t>
      </w:r>
      <w:r w:rsidR="00313521" w:rsidRPr="00381945">
        <w:t xml:space="preserve">, </w:t>
      </w:r>
      <w:r w:rsidRPr="00381945">
        <w:t xml:space="preserve">Lee Smith </w:t>
      </w:r>
      <w:r w:rsidRPr="00381945">
        <w:rPr>
          <w:vertAlign w:val="superscript"/>
        </w:rPr>
        <w:t>3</w:t>
      </w:r>
      <w:r w:rsidR="00313521" w:rsidRPr="00381945">
        <w:t xml:space="preserve"> </w:t>
      </w:r>
      <w:r w:rsidRPr="00381945">
        <w:t xml:space="preserve">and Mark A. Tully </w:t>
      </w:r>
      <w:r w:rsidRPr="00381945">
        <w:rPr>
          <w:vertAlign w:val="superscript"/>
        </w:rPr>
        <w:t>1</w:t>
      </w:r>
    </w:p>
    <w:p w14:paraId="57C6D708" w14:textId="62848D39" w:rsidR="00310F2C" w:rsidRPr="00381945" w:rsidRDefault="00310F2C" w:rsidP="00190342">
      <w:pPr>
        <w:pStyle w:val="MDPI16affiliation"/>
      </w:pPr>
      <w:r w:rsidRPr="00381945">
        <w:rPr>
          <w:vertAlign w:val="superscript"/>
        </w:rPr>
        <w:t>1</w:t>
      </w:r>
      <w:r w:rsidRPr="00381945">
        <w:tab/>
        <w:t>School of Medicine, Ulster University, Belfast</w:t>
      </w:r>
      <w:r w:rsidR="004B3FE0" w:rsidRPr="00381945">
        <w:t xml:space="preserve"> </w:t>
      </w:r>
      <w:r w:rsidR="004B3FE0" w:rsidRPr="00381945">
        <w:rPr>
          <w:rStyle w:val="lrzxr"/>
        </w:rPr>
        <w:t>BT15 1ED, UK</w:t>
      </w:r>
      <w:r w:rsidR="004B3FE0" w:rsidRPr="00381945">
        <w:t>;</w:t>
      </w:r>
      <w:r w:rsidRPr="00381945">
        <w:t xml:space="preserve"> </w:t>
      </w:r>
      <w:r w:rsidR="00313521" w:rsidRPr="00381945">
        <w:t>m.odoherty@ulster.ac.uk</w:t>
      </w:r>
      <w:r w:rsidR="00190342" w:rsidRPr="00381945">
        <w:t xml:space="preserve"> (M.O.)</w:t>
      </w:r>
      <w:r w:rsidR="00313521" w:rsidRPr="00381945">
        <w:t xml:space="preserve">; </w:t>
      </w:r>
      <w:r w:rsidR="00313521" w:rsidRPr="00381945">
        <w:br/>
        <w:t>m.tully@ulster.ac.uk (M.A.T.)</w:t>
      </w:r>
    </w:p>
    <w:p w14:paraId="02342520" w14:textId="75AE07EC" w:rsidR="00310F2C" w:rsidRPr="00381945" w:rsidRDefault="00310F2C" w:rsidP="00190342">
      <w:pPr>
        <w:pStyle w:val="MDPI16affiliation"/>
      </w:pPr>
      <w:r w:rsidRPr="00381945">
        <w:rPr>
          <w:vertAlign w:val="superscript"/>
        </w:rPr>
        <w:t>2</w:t>
      </w:r>
      <w:r w:rsidR="00862DC6" w:rsidRPr="00381945">
        <w:tab/>
      </w:r>
      <w:r w:rsidRPr="00381945">
        <w:t>School of Health Sciences, Ulster University, Belfast</w:t>
      </w:r>
      <w:r w:rsidR="004B3FE0" w:rsidRPr="00381945">
        <w:rPr>
          <w:rStyle w:val="lrzxr"/>
        </w:rPr>
        <w:t xml:space="preserve"> BT15 1ED, UK</w:t>
      </w:r>
      <w:r w:rsidRPr="00381945">
        <w:t>; c.cunningham1@ulster.ac.uk</w:t>
      </w:r>
    </w:p>
    <w:p w14:paraId="25810096" w14:textId="15D20BBB" w:rsidR="00310F2C" w:rsidRPr="00AC4273" w:rsidRDefault="00310F2C" w:rsidP="00190342">
      <w:pPr>
        <w:pStyle w:val="MDPI16affiliation"/>
      </w:pPr>
      <w:r w:rsidRPr="00381945">
        <w:rPr>
          <w:vertAlign w:val="superscript"/>
        </w:rPr>
        <w:t>3</w:t>
      </w:r>
      <w:r w:rsidRPr="00381945">
        <w:tab/>
        <w:t>School of Psychology and Sport Science, Anglia Ruskin University, Cambridge</w:t>
      </w:r>
      <w:r w:rsidR="00313521" w:rsidRPr="00381945">
        <w:t xml:space="preserve"> </w:t>
      </w:r>
      <w:r w:rsidR="00313521" w:rsidRPr="00381945">
        <w:rPr>
          <w:rStyle w:val="lrzxr"/>
        </w:rPr>
        <w:t>CB1 1PT, UK</w:t>
      </w:r>
      <w:r w:rsidR="00313521" w:rsidRPr="00381945">
        <w:t>;</w:t>
      </w:r>
      <w:r w:rsidRPr="00381945">
        <w:t xml:space="preserve"> lee.smith@aru.ac.uk</w:t>
      </w:r>
    </w:p>
    <w:p w14:paraId="633D5A3C" w14:textId="08D68AEE" w:rsidR="00310F2C" w:rsidRPr="00862DC6" w:rsidRDefault="00190342" w:rsidP="00190342">
      <w:pPr>
        <w:pStyle w:val="MDPI16affiliation"/>
      </w:pPr>
      <w:r w:rsidRPr="00190342">
        <w:rPr>
          <w:b/>
        </w:rPr>
        <w:t>*</w:t>
      </w:r>
      <w:r w:rsidRPr="00190342">
        <w:tab/>
        <w:t xml:space="preserve">Correspondence: </w:t>
      </w:r>
      <w:r w:rsidR="00310F2C" w:rsidRPr="00AC4273">
        <w:t>r.neill@ulster.ac.uk</w:t>
      </w:r>
    </w:p>
    <w:p w14:paraId="43BBA103" w14:textId="7C1F02DF" w:rsidR="00310F2C" w:rsidRPr="00930DFA" w:rsidRDefault="00310F2C" w:rsidP="00862DC6">
      <w:pPr>
        <w:pStyle w:val="MDPI17abstract"/>
        <w:rPr>
          <w:rFonts w:eastAsia="ArialMT"/>
        </w:rPr>
      </w:pPr>
      <w:r w:rsidRPr="00862DC6">
        <w:rPr>
          <w:b/>
          <w:szCs w:val="18"/>
        </w:rPr>
        <w:t xml:space="preserve">Abstract: </w:t>
      </w:r>
      <w:r w:rsidRPr="00AC4273">
        <w:t xml:space="preserve">Aging research indicates that there is increased sedentary </w:t>
      </w:r>
      <w:proofErr w:type="spellStart"/>
      <w:r w:rsidRPr="00AC4273">
        <w:t>behaviour</w:t>
      </w:r>
      <w:proofErr w:type="spellEnd"/>
      <w:r w:rsidRPr="00AC4273">
        <w:t xml:space="preserve"> and insufficient physical activity levels across the older adult population. There is a growing body of evidence that suggests that pet ownership can have beneficial physical and mental health effects.</w:t>
      </w:r>
      <w:r w:rsidR="00630CAE">
        <w:t xml:space="preserve"> </w:t>
      </w:r>
      <w:r w:rsidRPr="00AC4273">
        <w:t>Data were drawn from the Northern Ireland Cohort for the Longitudinal Study of Ageing (NICOLA) study.</w:t>
      </w:r>
      <w:r w:rsidR="00630CAE">
        <w:t xml:space="preserve"> </w:t>
      </w:r>
      <w:r w:rsidRPr="00AC4273">
        <w:t>This questionnaire measured general social demographics such as gender, age, marital status while also examining elements of physical activity, lifestyle factors</w:t>
      </w:r>
      <w:r>
        <w:t xml:space="preserve"> (drinking status, smoking status)</w:t>
      </w:r>
      <w:r w:rsidRPr="00AC4273">
        <w:t>, and education.</w:t>
      </w:r>
      <w:r w:rsidR="00630CAE">
        <w:t xml:space="preserve"> </w:t>
      </w:r>
      <w:r w:rsidRPr="00AC4273">
        <w:t>Two items from the short form International Physical Activity Questionnaire recorded moderate and vigorous activity.</w:t>
      </w:r>
      <w:r w:rsidR="00630CAE">
        <w:t xml:space="preserve"> </w:t>
      </w:r>
      <w:r w:rsidRPr="00AC4273">
        <w:t xml:space="preserve">Respondents </w:t>
      </w:r>
      <w:r w:rsidRPr="00BB6656">
        <w:t xml:space="preserve">were asked if they </w:t>
      </w:r>
      <w:r w:rsidRPr="00B216BC">
        <w:t>owned a pet (Yes/No).</w:t>
      </w:r>
      <w:r w:rsidR="00630CAE" w:rsidRPr="00B216BC">
        <w:t xml:space="preserve"> </w:t>
      </w:r>
      <w:r w:rsidRPr="00B216BC">
        <w:t xml:space="preserve">The results are based on a secondary data analysis. </w:t>
      </w:r>
      <w:r w:rsidRPr="00B216BC">
        <w:rPr>
          <w:rFonts w:eastAsia="ArialMT"/>
        </w:rPr>
        <w:t>An ordinal logistic regression revealed that an increase in moderate activity days was associated with pet ownership with an odds ratio of</w:t>
      </w:r>
      <w:r w:rsidR="00B216BC" w:rsidRPr="00B216BC">
        <w:rPr>
          <w:rFonts w:eastAsia="ArialMT"/>
        </w:rPr>
        <w:t xml:space="preserve"> 0.1</w:t>
      </w:r>
      <w:r w:rsidRPr="00B216BC">
        <w:rPr>
          <w:rFonts w:eastAsia="ArialMT"/>
        </w:rPr>
        <w:t xml:space="preserve">11 (95% CI, </w:t>
      </w:r>
      <w:r w:rsidR="00064E9A" w:rsidRPr="00B216BC">
        <w:rPr>
          <w:rFonts w:eastAsia="ArialMT"/>
        </w:rPr>
        <w:t>−</w:t>
      </w:r>
      <w:r w:rsidR="00B216BC" w:rsidRPr="00B216BC">
        <w:rPr>
          <w:rFonts w:eastAsia="ArialMT"/>
        </w:rPr>
        <w:t>0</w:t>
      </w:r>
      <w:r w:rsidRPr="00B216BC">
        <w:rPr>
          <w:rFonts w:eastAsia="ArialMT"/>
        </w:rPr>
        <w:t>.036 to</w:t>
      </w:r>
      <w:r w:rsidR="00B216BC" w:rsidRPr="00B216BC">
        <w:rPr>
          <w:rFonts w:eastAsia="ArialMT"/>
        </w:rPr>
        <w:t xml:space="preserve"> 0.3</w:t>
      </w:r>
      <w:r w:rsidRPr="00B216BC">
        <w:rPr>
          <w:rFonts w:eastAsia="ArialMT"/>
        </w:rPr>
        <w:t xml:space="preserve">37), Wald </w:t>
      </w:r>
      <w:r w:rsidRPr="00B216BC">
        <w:rPr>
          <w:rFonts w:ascii="Times New Roman" w:eastAsia="ArialMT" w:hAnsi="Times New Roman"/>
        </w:rPr>
        <w:t>ꭓ</w:t>
      </w:r>
      <w:r w:rsidRPr="00B216BC">
        <w:rPr>
          <w:rFonts w:eastAsia="ArialMT"/>
          <w:vertAlign w:val="superscript"/>
        </w:rPr>
        <w:t xml:space="preserve">2 </w:t>
      </w:r>
      <w:r w:rsidRPr="00B216BC">
        <w:rPr>
          <w:rFonts w:eastAsia="ArialMT"/>
        </w:rPr>
        <w:t>(1) 15.013,</w:t>
      </w:r>
      <w:r w:rsidR="00B216BC" w:rsidRPr="00B216BC">
        <w:rPr>
          <w:rFonts w:eastAsia="ArialMT"/>
          <w:i/>
        </w:rPr>
        <w:t xml:space="preserve"> p </w:t>
      </w:r>
      <w:r w:rsidR="00B216BC" w:rsidRPr="00B216BC">
        <w:rPr>
          <w:rFonts w:eastAsia="ArialMT"/>
        </w:rPr>
        <w:t>&lt; 0.</w:t>
      </w:r>
      <w:r w:rsidRPr="00B216BC">
        <w:rPr>
          <w:rFonts w:eastAsia="ArialMT"/>
        </w:rPr>
        <w:t>001.</w:t>
      </w:r>
      <w:r w:rsidR="00630CAE" w:rsidRPr="00B216BC">
        <w:rPr>
          <w:rFonts w:eastAsia="ArialMT"/>
        </w:rPr>
        <w:t xml:space="preserve"> </w:t>
      </w:r>
      <w:r w:rsidRPr="00B216BC">
        <w:rPr>
          <w:rFonts w:eastAsia="ArialMT"/>
        </w:rPr>
        <w:t>An increase in vigorous activity days was associated with pet ownership with an odds ratio of</w:t>
      </w:r>
      <w:r w:rsidR="00B216BC" w:rsidRPr="00B216BC">
        <w:rPr>
          <w:rFonts w:eastAsia="ArialMT"/>
        </w:rPr>
        <w:t xml:space="preserve"> 0.0</w:t>
      </w:r>
      <w:r w:rsidRPr="00B216BC">
        <w:rPr>
          <w:rFonts w:eastAsia="ArialMT"/>
        </w:rPr>
        <w:t>39 (95% CI,</w:t>
      </w:r>
      <w:r w:rsidR="00B216BC" w:rsidRPr="00B216BC">
        <w:rPr>
          <w:rFonts w:eastAsia="ArialMT"/>
        </w:rPr>
        <w:t xml:space="preserve"> 0.0</w:t>
      </w:r>
      <w:r w:rsidRPr="00B216BC">
        <w:rPr>
          <w:rFonts w:eastAsia="ArialMT"/>
        </w:rPr>
        <w:t>04 to</w:t>
      </w:r>
      <w:r w:rsidR="00B216BC" w:rsidRPr="00B216BC">
        <w:rPr>
          <w:rFonts w:eastAsia="ArialMT"/>
        </w:rPr>
        <w:t xml:space="preserve"> 0.3</w:t>
      </w:r>
      <w:r w:rsidRPr="00B216BC">
        <w:rPr>
          <w:rFonts w:eastAsia="ArialMT"/>
        </w:rPr>
        <w:t xml:space="preserve">42), Wald </w:t>
      </w:r>
      <w:r w:rsidRPr="00B216BC">
        <w:rPr>
          <w:rFonts w:ascii="Times New Roman" w:eastAsia="ArialMT" w:hAnsi="Times New Roman"/>
        </w:rPr>
        <w:t>ꭓ</w:t>
      </w:r>
      <w:r w:rsidRPr="00B216BC">
        <w:rPr>
          <w:rFonts w:eastAsia="ArialMT"/>
          <w:vertAlign w:val="superscript"/>
        </w:rPr>
        <w:t xml:space="preserve">2 </w:t>
      </w:r>
      <w:r w:rsidRPr="00B216BC">
        <w:rPr>
          <w:rFonts w:eastAsia="ArialMT"/>
        </w:rPr>
        <w:t xml:space="preserve">(1) 8.952, </w:t>
      </w:r>
      <w:r w:rsidRPr="00D60D92">
        <w:rPr>
          <w:rFonts w:eastAsia="ArialMT"/>
          <w:i/>
          <w:iCs/>
        </w:rPr>
        <w:t>p</w:t>
      </w:r>
      <w:r w:rsidR="00B216BC" w:rsidRPr="00B216BC">
        <w:rPr>
          <w:rFonts w:eastAsia="ArialMT"/>
        </w:rPr>
        <w:t xml:space="preserve"> </w:t>
      </w:r>
      <w:r w:rsidRPr="00B216BC">
        <w:rPr>
          <w:rFonts w:eastAsia="ArialMT"/>
        </w:rPr>
        <w:t>=</w:t>
      </w:r>
      <w:r w:rsidR="00B216BC" w:rsidRPr="00B216BC">
        <w:rPr>
          <w:rFonts w:eastAsia="ArialMT"/>
        </w:rPr>
        <w:t xml:space="preserve"> 0</w:t>
      </w:r>
      <w:r w:rsidRPr="00B216BC">
        <w:rPr>
          <w:rFonts w:eastAsia="ArialMT"/>
        </w:rPr>
        <w:t>.003).</w:t>
      </w:r>
      <w:r w:rsidR="00B216BC" w:rsidRPr="00B216BC">
        <w:rPr>
          <w:rFonts w:eastAsia="ArialMT"/>
        </w:rPr>
        <w:t xml:space="preserve"> </w:t>
      </w:r>
      <w:r w:rsidRPr="00B216BC">
        <w:t>Amongst older adults in Northern Ireland, those with a pet were more likely to engage in regular</w:t>
      </w:r>
      <w:r w:rsidRPr="00AC4273">
        <w:t xml:space="preserve"> physical activity.</w:t>
      </w:r>
      <w:r w:rsidR="00630CAE">
        <w:t xml:space="preserve"> </w:t>
      </w:r>
      <w:r>
        <w:t>This study based on a small specific sample of the population showed differences in physical activity levels between pet owners and non-pet owners.</w:t>
      </w:r>
      <w:r w:rsidR="00630CAE">
        <w:t xml:space="preserve"> </w:t>
      </w:r>
      <w:r>
        <w:t xml:space="preserve">Additionally the study showed that </w:t>
      </w:r>
      <w:proofErr w:type="gramStart"/>
      <w:r>
        <w:t>the physical</w:t>
      </w:r>
      <w:proofErr w:type="gramEnd"/>
      <w:r>
        <w:t xml:space="preserve"> activity is extremely low in the older adult population, therefore</w:t>
      </w:r>
      <w:r w:rsidRPr="00AC4273">
        <w:t xml:space="preserve"> further investigation</w:t>
      </w:r>
      <w:r>
        <w:t xml:space="preserve"> is warranted on the reasons for these low levels.</w:t>
      </w:r>
    </w:p>
    <w:tbl>
      <w:tblPr>
        <w:tblStyle w:val="MDPITable"/>
        <w:tblpPr w:leftFromText="198" w:rightFromText="198" w:vertAnchor="page" w:horzAnchor="margin" w:tblpY="10107"/>
        <w:tblW w:w="2409" w:type="dxa"/>
        <w:tblLayout w:type="fixed"/>
        <w:tblLook w:val="04A0" w:firstRow="1" w:lastRow="0" w:firstColumn="1" w:lastColumn="0" w:noHBand="0" w:noVBand="1"/>
      </w:tblPr>
      <w:tblGrid>
        <w:gridCol w:w="2409"/>
      </w:tblGrid>
      <w:tr w:rsidR="009115CF" w14:paraId="265D6648" w14:textId="77777777" w:rsidTr="009115CF">
        <w:trPr>
          <w:cantSplit/>
        </w:trPr>
        <w:tc>
          <w:tcPr>
            <w:tcW w:w="2409" w:type="dxa"/>
          </w:tcPr>
          <w:p w14:paraId="3264F659" w14:textId="77777777" w:rsidR="009115CF" w:rsidRPr="00381945" w:rsidRDefault="009115CF" w:rsidP="009115CF">
            <w:pPr>
              <w:pStyle w:val="MDPI61Citation"/>
            </w:pPr>
            <w:r w:rsidRPr="00381945">
              <w:rPr>
                <w:b/>
              </w:rPr>
              <w:t>Citation:</w:t>
            </w:r>
            <w:r w:rsidRPr="00381945">
              <w:t xml:space="preserve"> Neill, R.D.; Cunningham, C.; </w:t>
            </w:r>
            <w:proofErr w:type="spellStart"/>
            <w:r w:rsidRPr="00381945">
              <w:t>O’Doherty</w:t>
            </w:r>
            <w:proofErr w:type="spellEnd"/>
            <w:r w:rsidRPr="00381945">
              <w:t xml:space="preserve">, M.; Smith, L.; </w:t>
            </w:r>
            <w:r w:rsidRPr="00381945">
              <w:br/>
              <w:t xml:space="preserve">Tully, M.A. Pet Ownership and Physical Activity in Older Adults: Cross-Sectional Analyses from the NICOLA Study. </w:t>
            </w:r>
            <w:r w:rsidRPr="00381945">
              <w:br/>
            </w:r>
            <w:r w:rsidRPr="00381945">
              <w:rPr>
                <w:i/>
              </w:rPr>
              <w:t xml:space="preserve">J. Ageing </w:t>
            </w:r>
            <w:proofErr w:type="spellStart"/>
            <w:r w:rsidRPr="00381945">
              <w:rPr>
                <w:i/>
              </w:rPr>
              <w:t>Longev</w:t>
            </w:r>
            <w:proofErr w:type="spellEnd"/>
            <w:r w:rsidRPr="00381945">
              <w:rPr>
                <w:i/>
              </w:rPr>
              <w:t xml:space="preserve">. </w:t>
            </w:r>
            <w:r w:rsidRPr="00381945">
              <w:rPr>
                <w:b/>
              </w:rPr>
              <w:t>2023</w:t>
            </w:r>
            <w:r w:rsidRPr="00381945">
              <w:t xml:space="preserve">, </w:t>
            </w:r>
            <w:r w:rsidRPr="00381945">
              <w:rPr>
                <w:i/>
              </w:rPr>
              <w:t>3</w:t>
            </w:r>
            <w:r w:rsidRPr="00381945">
              <w:t>, x. https://doi.org/10.3390/xxxxx</w:t>
            </w:r>
          </w:p>
          <w:p w14:paraId="664B925D" w14:textId="77777777" w:rsidR="009115CF" w:rsidRPr="00381945" w:rsidRDefault="009115CF" w:rsidP="009115CF">
            <w:pPr>
              <w:pStyle w:val="MDPI15academiceditor"/>
              <w:spacing w:after="120"/>
            </w:pPr>
            <w:r w:rsidRPr="00381945">
              <w:t xml:space="preserve">Academic Editor(s): </w:t>
            </w:r>
          </w:p>
          <w:p w14:paraId="7C3AF869" w14:textId="77777777" w:rsidR="009115CF" w:rsidRDefault="009115CF" w:rsidP="009115CF">
            <w:pPr>
              <w:pStyle w:val="MDPI14history"/>
              <w:spacing w:before="120"/>
            </w:pPr>
            <w:r w:rsidRPr="00EE09B8">
              <w:t>Received:</w:t>
            </w:r>
            <w:r>
              <w:t xml:space="preserve"> 18 January 2023</w:t>
            </w:r>
          </w:p>
          <w:p w14:paraId="7D58D34B" w14:textId="77777777" w:rsidR="009115CF" w:rsidRPr="00EE09B8" w:rsidRDefault="009115CF" w:rsidP="009115CF">
            <w:pPr>
              <w:pStyle w:val="MDPI14history"/>
            </w:pPr>
            <w:r>
              <w:t>Revised</w:t>
            </w:r>
            <w:r w:rsidRPr="00EE09B8">
              <w:t xml:space="preserve">: </w:t>
            </w:r>
            <w:r>
              <w:t>14 March 2023</w:t>
            </w:r>
          </w:p>
          <w:p w14:paraId="53AEEDE3" w14:textId="77777777" w:rsidR="009115CF" w:rsidRPr="00EE09B8" w:rsidRDefault="009115CF" w:rsidP="009115CF">
            <w:pPr>
              <w:pStyle w:val="MDPI14history"/>
            </w:pPr>
            <w:r w:rsidRPr="00EE09B8">
              <w:t>Accepted:</w:t>
            </w:r>
            <w:r>
              <w:t xml:space="preserve"> 29 March 2023</w:t>
            </w:r>
          </w:p>
          <w:p w14:paraId="78E9113A" w14:textId="77777777" w:rsidR="009115CF" w:rsidRPr="00EE09B8" w:rsidRDefault="009115CF" w:rsidP="009115CF">
            <w:pPr>
              <w:pStyle w:val="MDPI14history"/>
              <w:spacing w:after="120"/>
            </w:pPr>
            <w:r w:rsidRPr="00EE09B8">
              <w:t>Published: date</w:t>
            </w:r>
          </w:p>
          <w:p w14:paraId="2046D043" w14:textId="77777777" w:rsidR="009115CF" w:rsidRDefault="009115CF" w:rsidP="009115CF">
            <w:pPr>
              <w:pStyle w:val="MDPI63Notes"/>
              <w:spacing w:before="120" w:after="0"/>
              <w:jc w:val="both"/>
            </w:pPr>
            <w:r>
              <w:rPr>
                <w:noProof/>
                <w:snapToGrid/>
                <w14:ligatures w14:val="none"/>
              </w:rPr>
              <w:drawing>
                <wp:inline distT="0" distB="0" distL="0" distR="0" wp14:anchorId="6829AD0C" wp14:editId="21E09DD9">
                  <wp:extent cx="694800" cy="248400"/>
                  <wp:effectExtent l="0" t="0" r="0" b="0"/>
                  <wp:docPr id="10" name="Picture 10"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ipart&#10;&#10;Description automatically generated"/>
                          <pic:cNvPicPr/>
                        </pic:nvPicPr>
                        <pic:blipFill>
                          <a:blip r:embed="rId7"/>
                          <a:stretch>
                            <a:fillRect/>
                          </a:stretch>
                        </pic:blipFill>
                        <pic:spPr>
                          <a:xfrm>
                            <a:off x="0" y="0"/>
                            <a:ext cx="694800" cy="248400"/>
                          </a:xfrm>
                          <a:prstGeom prst="rect">
                            <a:avLst/>
                          </a:prstGeom>
                        </pic:spPr>
                      </pic:pic>
                    </a:graphicData>
                  </a:graphic>
                </wp:inline>
              </w:drawing>
            </w:r>
          </w:p>
          <w:p w14:paraId="57B06D49" w14:textId="77777777" w:rsidR="009115CF" w:rsidRPr="00EE09B8" w:rsidRDefault="009115CF" w:rsidP="009115CF">
            <w:pPr>
              <w:pStyle w:val="MDPI63Notes"/>
              <w:spacing w:before="60" w:after="0"/>
              <w:jc w:val="both"/>
            </w:pPr>
            <w:r w:rsidRPr="00EE09B8">
              <w:rPr>
                <w:b/>
              </w:rPr>
              <w:t>Copyright:</w:t>
            </w:r>
            <w:r w:rsidRPr="00EE09B8">
              <w:t xml:space="preserve"> © 2023 by the authors. Submitted for possible open access publication under the terms and conditions of the Creative Commons Attribution (CC BY) license (https://creativecommons.org/licenses/by/4.0/).</w:t>
            </w:r>
          </w:p>
        </w:tc>
      </w:tr>
    </w:tbl>
    <w:p w14:paraId="101CDB8A" w14:textId="737082C7" w:rsidR="00310F2C" w:rsidRPr="00AC4273" w:rsidRDefault="00862DC6" w:rsidP="00862DC6">
      <w:pPr>
        <w:pStyle w:val="MDPI18keywords"/>
      </w:pPr>
      <w:r w:rsidRPr="00862DC6">
        <w:rPr>
          <w:b/>
        </w:rPr>
        <w:t>Keywords:</w:t>
      </w:r>
      <w:r w:rsidR="00310F2C" w:rsidRPr="00862DC6">
        <w:rPr>
          <w:b/>
        </w:rPr>
        <w:t xml:space="preserve"> </w:t>
      </w:r>
      <w:r w:rsidR="00310F2C" w:rsidRPr="00AC4273">
        <w:t>pet ownership; older adults; cross-sectional; physical activity; Northern Ireland</w:t>
      </w:r>
    </w:p>
    <w:p w14:paraId="3E1F02BE" w14:textId="77777777" w:rsidR="00310F2C" w:rsidRPr="00AC4273" w:rsidRDefault="00310F2C" w:rsidP="00862DC6">
      <w:pPr>
        <w:pStyle w:val="MDPI19line"/>
        <w:pBdr>
          <w:bottom w:val="single" w:sz="4" w:space="1" w:color="000000"/>
        </w:pBdr>
      </w:pPr>
    </w:p>
    <w:p w14:paraId="46B9030C" w14:textId="5C073F17" w:rsidR="00310F2C" w:rsidRPr="00AC4273" w:rsidRDefault="00862DC6" w:rsidP="00862DC6">
      <w:pPr>
        <w:pStyle w:val="MDPI21heading1"/>
      </w:pPr>
      <w:r>
        <w:t xml:space="preserve">1. </w:t>
      </w:r>
      <w:r w:rsidR="00310F2C" w:rsidRPr="00AC4273">
        <w:t>Introduction</w:t>
      </w:r>
    </w:p>
    <w:p w14:paraId="42B6BCE6" w14:textId="2B884C14" w:rsidR="00310F2C" w:rsidRDefault="00310F2C" w:rsidP="00862DC6">
      <w:pPr>
        <w:pStyle w:val="MDPI31text"/>
      </w:pPr>
      <w:r>
        <w:t>There is a high prevalence of pet ownership worldwide with over 500 million pets at home, which is estimated to be a pet at home in over half the world’s population [1].</w:t>
      </w:r>
      <w:r w:rsidR="00630CAE">
        <w:t xml:space="preserve"> </w:t>
      </w:r>
      <w:r>
        <w:t>In the United Kingdom approximately 5</w:t>
      </w:r>
      <w:r w:rsidR="00273B11">
        <w:t>2–62</w:t>
      </w:r>
      <w:r>
        <w:t xml:space="preserve">% of the general population own a pet </w:t>
      </w:r>
      <w:r w:rsidR="00630CAE">
        <w:t>[2–4</w:t>
      </w:r>
      <w:r>
        <w:t>].</w:t>
      </w:r>
      <w:r w:rsidR="00630CAE">
        <w:t xml:space="preserve"> </w:t>
      </w:r>
      <w:r>
        <w:t xml:space="preserve">Within the older adult population around half are pet owners [2]. Pets often offer a companionship, or a level of social connection to humans </w:t>
      </w:r>
      <w:r w:rsidR="00630CAE">
        <w:t>[5–7</w:t>
      </w:r>
      <w:r>
        <w:t>]. In older adults, pet ownership may increase when they reach retirement age as the individuals now have more time to give to a pet.</w:t>
      </w:r>
      <w:r w:rsidR="00630CAE">
        <w:t xml:space="preserve"> </w:t>
      </w:r>
      <w:r>
        <w:t xml:space="preserve">Ageing research on older adults and pet ownership suggests that there are positive benefits on mental and physical wellbeing with pets helping emotional and social needs </w:t>
      </w:r>
      <w:r w:rsidR="00630CAE">
        <w:t>[8–12</w:t>
      </w:r>
      <w:r>
        <w:t>].</w:t>
      </w:r>
      <w:r w:rsidR="00630CAE">
        <w:t xml:space="preserve"> </w:t>
      </w:r>
      <w:r>
        <w:t>Friedmann et al. [11] reported that pet ownership was associated with better cognitive function and physical function than those who did not own pets or had no regular contact with pets.</w:t>
      </w:r>
    </w:p>
    <w:p w14:paraId="77799FB7" w14:textId="459E91C9" w:rsidR="00310F2C" w:rsidRDefault="00310F2C" w:rsidP="00862DC6">
      <w:pPr>
        <w:pStyle w:val="MDPI31text"/>
      </w:pPr>
      <w:r w:rsidRPr="00AC4273">
        <w:t>There is a growing body of evidence that suggests that pet ownership can have beneficial physical and mental health effects such as improved life satisfaction reduced loneliness, improved well-being and reduced non-communicable diseases</w:t>
      </w:r>
      <w:r>
        <w:t xml:space="preserve"> </w:t>
      </w:r>
      <w:r w:rsidR="00630CAE">
        <w:t>[5,13,14]</w:t>
      </w:r>
      <w:r w:rsidRPr="00AC4273">
        <w:t xml:space="preserve">. </w:t>
      </w:r>
      <w:r>
        <w:t xml:space="preserve">A study by </w:t>
      </w:r>
      <w:proofErr w:type="spellStart"/>
      <w:r>
        <w:t>Krauso-Darello</w:t>
      </w:r>
      <w:proofErr w:type="spellEnd"/>
      <w:r>
        <w:t xml:space="preserve"> et al. [15] noted that human animal interactions can play a therapeutic </w:t>
      </w:r>
      <w:r>
        <w:lastRenderedPageBreak/>
        <w:t>role in an older adults’ life.</w:t>
      </w:r>
      <w:r w:rsidR="00630CAE">
        <w:t xml:space="preserve"> </w:t>
      </w:r>
      <w:r>
        <w:t>This suggests that pet ownership can be beneficial to older adults in a number of ways.</w:t>
      </w:r>
      <w:r w:rsidR="00630CAE">
        <w:t xml:space="preserve"> </w:t>
      </w:r>
      <w:r>
        <w:t>Studies by McConnell et al. [7] found that pet ownership helped reduced negativity by providing mental and physical benefits to the owners while helping provide support and essential social needs.</w:t>
      </w:r>
      <w:r w:rsidR="00630CAE">
        <w:t xml:space="preserve"> </w:t>
      </w:r>
      <w:r w:rsidRPr="00AC4273">
        <w:t xml:space="preserve">A population study in England involving over 68,000 adults assessing the association of dog ownership and mental health demonstrated that dog owners were less likely to have mental illness than non-dog owners but that the relationship is very complex </w:t>
      </w:r>
      <w:r>
        <w:t>[16].</w:t>
      </w:r>
      <w:r w:rsidRPr="00AC4273">
        <w:t xml:space="preserve"> </w:t>
      </w:r>
      <w:proofErr w:type="spellStart"/>
      <w:r w:rsidRPr="00AC4273">
        <w:t>Obradovic</w:t>
      </w:r>
      <w:proofErr w:type="spellEnd"/>
      <w:r w:rsidRPr="00AC4273">
        <w:t xml:space="preserve"> et al. [</w:t>
      </w:r>
      <w:r>
        <w:t>10</w:t>
      </w:r>
      <w:r w:rsidRPr="00AC4273">
        <w:t>] conducted a case study to explore the role of pet ownership in the daily lives of older adults.</w:t>
      </w:r>
      <w:r w:rsidR="00630CAE">
        <w:t xml:space="preserve"> </w:t>
      </w:r>
      <w:r w:rsidRPr="00AC4273">
        <w:t>The study concluded that owning a pet could provide older adults with a sense of safety and positively influences mood.</w:t>
      </w:r>
      <w:r w:rsidR="00630CAE">
        <w:t xml:space="preserve"> </w:t>
      </w:r>
      <w:r w:rsidRPr="00AC4273">
        <w:t>Similarly, a</w:t>
      </w:r>
      <w:r>
        <w:t xml:space="preserve"> </w:t>
      </w:r>
      <w:r w:rsidRPr="00AC4273">
        <w:t>qualitative study by Gan et al. [</w:t>
      </w:r>
      <w:r>
        <w:t>17</w:t>
      </w:r>
      <w:r w:rsidRPr="00AC4273">
        <w:t>] suggested that pet ownership may be beneficial in older adults as it can influence positive outcomes, including providing a sense of comfort and safety; purpose, routine and structure; and a meaningful role for the owner.</w:t>
      </w:r>
      <w:r w:rsidR="00630CAE">
        <w:t xml:space="preserve"> </w:t>
      </w:r>
      <w:r w:rsidRPr="00AC4273">
        <w:t>However, by contrast, a recent systematic review Scoresby et al. [</w:t>
      </w:r>
      <w:r>
        <w:t>5</w:t>
      </w:r>
      <w:r w:rsidRPr="00AC4273">
        <w:t>] suggested that there is significant variability in findings across studies and therefore the evidence does not fully support the benefits of pet ownership on health.</w:t>
      </w:r>
      <w:r>
        <w:t xml:space="preserve"> Furthermore, other studies have found that pet ownership has a mixed relationship with health outcomes </w:t>
      </w:r>
      <w:r w:rsidR="00630CAE">
        <w:t>[13,17</w:t>
      </w:r>
      <w:r>
        <w:t xml:space="preserve">]. This variability in research findings highlights that pet ownership has many complexities and can be shaped by many different lifestyle factors such as physical activity. Research has shown that pet ownership has been associated with alleviating depression </w:t>
      </w:r>
      <w:r w:rsidR="00630CAE">
        <w:t>[9,15,18</w:t>
      </w:r>
      <w:r>
        <w:t xml:space="preserve">] </w:t>
      </w:r>
      <w:r w:rsidRPr="006B7B35">
        <w:t xml:space="preserve">and increasing physical activity levels </w:t>
      </w:r>
      <w:r w:rsidR="00630CAE">
        <w:t>[10,19</w:t>
      </w:r>
      <w:r>
        <w:t>].</w:t>
      </w:r>
    </w:p>
    <w:p w14:paraId="0FF1195B" w14:textId="7B8073B2" w:rsidR="00310F2C" w:rsidRPr="00AC4273" w:rsidRDefault="00310F2C" w:rsidP="00862DC6">
      <w:pPr>
        <w:pStyle w:val="MDPI31text"/>
      </w:pPr>
      <w:r>
        <w:t>The global p</w:t>
      </w:r>
      <w:r w:rsidRPr="00AC4273">
        <w:t>opulation</w:t>
      </w:r>
      <w:r>
        <w:t>s</w:t>
      </w:r>
      <w:r w:rsidRPr="00AC4273">
        <w:t xml:space="preserve"> levels of sedentary behavior have increased while levels of physical activity have decreased due to increased </w:t>
      </w:r>
      <w:r>
        <w:t xml:space="preserve">usage of </w:t>
      </w:r>
      <w:r w:rsidRPr="00AC4273">
        <w:t xml:space="preserve">technology, increased TV viewing, car usage, occupational reasons, and time spent sitting at home, amongst other factors </w:t>
      </w:r>
      <w:r w:rsidR="00630CAE">
        <w:t>[20–22</w:t>
      </w:r>
      <w:r w:rsidRPr="00AC4273">
        <w:t xml:space="preserve">]. </w:t>
      </w:r>
      <w:r>
        <w:t>These i</w:t>
      </w:r>
      <w:r w:rsidRPr="00AC4273">
        <w:t xml:space="preserve">ncreasing levels of sedentary behavior and declining levels of physical activity are a public health concern as they present a major risk factor for increased mortality, non-communicable </w:t>
      </w:r>
      <w:proofErr w:type="gramStart"/>
      <w:r w:rsidRPr="00AC4273">
        <w:t>disease</w:t>
      </w:r>
      <w:proofErr w:type="gramEnd"/>
      <w:r w:rsidRPr="00AC4273">
        <w:t xml:space="preserve"> and poor mental health, as well as providing additional burden to the health care system costs </w:t>
      </w:r>
      <w:r w:rsidR="00630CAE">
        <w:t>[23–25</w:t>
      </w:r>
      <w:r w:rsidRPr="00AC4273">
        <w:t>].</w:t>
      </w:r>
      <w:r w:rsidR="00630CAE">
        <w:t xml:space="preserve"> </w:t>
      </w:r>
      <w:r w:rsidRPr="00AC4273">
        <w:t xml:space="preserve">Importantly, there is a plethora of literature to demonstrate that health benefits can occur with the uptake of regular and sustained physical activity which is why it is a vital daily element for all </w:t>
      </w:r>
      <w:r w:rsidR="00630CAE">
        <w:t>[26–28</w:t>
      </w:r>
      <w:r w:rsidRPr="00AC4273">
        <w:t xml:space="preserve">]. Higher levels of physical activity in adults and older adults improves the incidence of non-communicable health conditions, improves cognitive function, mental health, sleep, and hypertension, among other conditions </w:t>
      </w:r>
      <w:r w:rsidR="00630CAE">
        <w:t>[22,25–27,29–31</w:t>
      </w:r>
      <w:r w:rsidRPr="00AC4273">
        <w:t xml:space="preserve">]. Additionally, </w:t>
      </w:r>
      <w:r>
        <w:t>higher levels of physical activity may</w:t>
      </w:r>
      <w:r w:rsidRPr="00AC4273">
        <w:t xml:space="preserve"> allow a healthier society and lower health care expenses </w:t>
      </w:r>
      <w:r w:rsidR="00630CAE">
        <w:t>[20,25,32–33</w:t>
      </w:r>
      <w:r w:rsidRPr="00AC4273">
        <w:t xml:space="preserve">]. </w:t>
      </w:r>
      <w:r>
        <w:t>This is particularly important as the increase in population aging worldwide has related in increased prevalence of age-related conditions which may impact health care systems.</w:t>
      </w:r>
      <w:r w:rsidR="00630CAE">
        <w:t xml:space="preserve"> </w:t>
      </w:r>
      <w:r>
        <w:t>As people age, they become subject to more physical and mental changes which is why physical activity could play an important role in counteracting ill-health alongside pet ownership.</w:t>
      </w:r>
    </w:p>
    <w:p w14:paraId="2F6684DD" w14:textId="2D245173" w:rsidR="00310F2C" w:rsidRPr="00AC4273" w:rsidRDefault="00310F2C" w:rsidP="00862DC6">
      <w:pPr>
        <w:pStyle w:val="MDPI31text"/>
      </w:pPr>
      <w:r w:rsidRPr="00AC4273">
        <w:t>The World Health Organization [</w:t>
      </w:r>
      <w:r>
        <w:t>29</w:t>
      </w:r>
      <w:r w:rsidRPr="00AC4273">
        <w:t>] recommend adults between the ages of 1</w:t>
      </w:r>
      <w:r w:rsidR="00273B11" w:rsidRPr="00AC4273">
        <w:t>8</w:t>
      </w:r>
      <w:r w:rsidR="00273B11">
        <w:t>–</w:t>
      </w:r>
      <w:r w:rsidR="00273B11" w:rsidRPr="00AC4273">
        <w:t>64</w:t>
      </w:r>
      <w:r w:rsidRPr="00AC4273">
        <w:t xml:space="preserve"> years old and 65 years plus should engage in physical activity daily, with at least 15</w:t>
      </w:r>
      <w:r w:rsidR="00273B11" w:rsidRPr="00AC4273">
        <w:t>0</w:t>
      </w:r>
      <w:r w:rsidR="00273B11">
        <w:t>–</w:t>
      </w:r>
      <w:r w:rsidR="00273B11" w:rsidRPr="00AC4273">
        <w:t>300</w:t>
      </w:r>
      <w:r w:rsidRPr="00AC4273">
        <w:t xml:space="preserve"> </w:t>
      </w:r>
      <w:r w:rsidR="00630CAE">
        <w:t>min</w:t>
      </w:r>
      <w:r w:rsidRPr="00AC4273">
        <w:t xml:space="preserve"> of moderate activity or 7</w:t>
      </w:r>
      <w:r w:rsidR="00273B11" w:rsidRPr="00AC4273">
        <w:t>5</w:t>
      </w:r>
      <w:r w:rsidR="00273B11">
        <w:t>–</w:t>
      </w:r>
      <w:r w:rsidR="00273B11" w:rsidRPr="00AC4273">
        <w:t>150</w:t>
      </w:r>
      <w:r w:rsidRPr="00AC4273">
        <w:t xml:space="preserve"> </w:t>
      </w:r>
      <w:r w:rsidR="00630CAE">
        <w:t>min</w:t>
      </w:r>
      <w:r w:rsidRPr="00AC4273">
        <w:t xml:space="preserve"> of vigorous activity per week. However only approximately a quarter of the European older adult population globally engage in adequate levels of physically activity [</w:t>
      </w:r>
      <w:r>
        <w:t>34</w:t>
      </w:r>
      <w:r w:rsidRPr="00AC4273">
        <w:t>].</w:t>
      </w:r>
      <w:r w:rsidR="00630CAE">
        <w:t xml:space="preserve"> </w:t>
      </w:r>
      <w:r w:rsidRPr="00AC4273">
        <w:t>In Northern Ireland specifically, only 41% of participants aged 6</w:t>
      </w:r>
      <w:r w:rsidR="00273B11" w:rsidRPr="00AC4273">
        <w:t>5</w:t>
      </w:r>
      <w:r w:rsidR="00273B11">
        <w:t>–</w:t>
      </w:r>
      <w:r w:rsidR="00273B11" w:rsidRPr="00AC4273">
        <w:t>74</w:t>
      </w:r>
      <w:r w:rsidRPr="00AC4273">
        <w:t xml:space="preserve"> years and 10% of participants aged 75 years</w:t>
      </w:r>
      <w:r>
        <w:t xml:space="preserve"> and older</w:t>
      </w:r>
      <w:r w:rsidRPr="00AC4273">
        <w:t xml:space="preserve"> report meeting the 150 </w:t>
      </w:r>
      <w:r w:rsidR="00630CAE">
        <w:t>min</w:t>
      </w:r>
      <w:r w:rsidRPr="00AC4273">
        <w:t xml:space="preserve"> a week moderate to vigorous physical activity guidelines [</w:t>
      </w:r>
      <w:r>
        <w:t>35</w:t>
      </w:r>
      <w:r w:rsidRPr="00AC4273">
        <w:t>].</w:t>
      </w:r>
      <w:r w:rsidR="00630CAE">
        <w:t xml:space="preserve"> </w:t>
      </w:r>
      <w:r w:rsidRPr="00AC4273">
        <w:t xml:space="preserve">Aging research indicates that there is increased sedentary </w:t>
      </w:r>
      <w:proofErr w:type="spellStart"/>
      <w:r w:rsidRPr="00AC4273">
        <w:t>behaviour</w:t>
      </w:r>
      <w:proofErr w:type="spellEnd"/>
      <w:r w:rsidRPr="00AC4273">
        <w:t xml:space="preserve"> and insufficient physical activity levels across the older adult population [</w:t>
      </w:r>
      <w:r>
        <w:t>36</w:t>
      </w:r>
      <w:r w:rsidR="00630CAE">
        <w:t>,</w:t>
      </w:r>
      <w:r>
        <w:t>37</w:t>
      </w:r>
      <w:r w:rsidRPr="00AC4273">
        <w:t>].</w:t>
      </w:r>
    </w:p>
    <w:p w14:paraId="0B03CCBC" w14:textId="5922E0D2" w:rsidR="00310F2C" w:rsidRDefault="00310F2C" w:rsidP="00862DC6">
      <w:pPr>
        <w:pStyle w:val="MDPI31text"/>
      </w:pPr>
      <w:r w:rsidRPr="00AC4273">
        <w:t xml:space="preserve">The literature suggests that those who are pet owners are more likely to participate in more regular physical activity </w:t>
      </w:r>
      <w:r w:rsidR="00630CAE">
        <w:t>[10,19</w:t>
      </w:r>
      <w:r w:rsidRPr="00AC4273">
        <w:t>].</w:t>
      </w:r>
      <w:r w:rsidR="00630CAE">
        <w:t xml:space="preserve"> </w:t>
      </w:r>
      <w:r w:rsidRPr="00AC4273">
        <w:t xml:space="preserve">Specifically, dog ownership has been associated with higher levels of physical activity in older adults </w:t>
      </w:r>
      <w:r w:rsidR="00630CAE">
        <w:t>[31,38–39</w:t>
      </w:r>
      <w:r w:rsidRPr="00AC4273">
        <w:t>].</w:t>
      </w:r>
      <w:r>
        <w:t xml:space="preserve"> Dog walking has been acknowledged as an additional way to get physical activity while providing stress relief particularly when recreational rather than functional [40].</w:t>
      </w:r>
      <w:r w:rsidRPr="00AC4273">
        <w:t xml:space="preserve"> </w:t>
      </w:r>
      <w:r>
        <w:t xml:space="preserve">Wu, </w:t>
      </w:r>
      <w:proofErr w:type="spellStart"/>
      <w:r>
        <w:t>Luben</w:t>
      </w:r>
      <w:proofErr w:type="spellEnd"/>
      <w:r>
        <w:t xml:space="preserve"> and Jones [41] that those who walked dogs consistently were more physically active than those who did not, with activity levels around 20% higher and less sedentary </w:t>
      </w:r>
      <w:proofErr w:type="spellStart"/>
      <w:r>
        <w:t>behaviour</w:t>
      </w:r>
      <w:proofErr w:type="spellEnd"/>
      <w:r>
        <w:t>.</w:t>
      </w:r>
      <w:r w:rsidR="00630CAE">
        <w:t xml:space="preserve"> </w:t>
      </w:r>
      <w:r>
        <w:t xml:space="preserve">This is particularly important as people age sedentary </w:t>
      </w:r>
      <w:proofErr w:type="spellStart"/>
      <w:r>
        <w:t>behaviour</w:t>
      </w:r>
      <w:proofErr w:type="spellEnd"/>
      <w:r>
        <w:t xml:space="preserve"> often increases therefore any physical </w:t>
      </w:r>
      <w:r>
        <w:lastRenderedPageBreak/>
        <w:t>activity is important in the ageing process and in the prevention and reduction of serious health conditions in late life.</w:t>
      </w:r>
    </w:p>
    <w:p w14:paraId="2BD1EF7C" w14:textId="4EE13514" w:rsidR="00310F2C" w:rsidRDefault="00310F2C" w:rsidP="00862DC6">
      <w:pPr>
        <w:pStyle w:val="MDPI31text"/>
      </w:pPr>
      <w:r w:rsidRPr="00AC4273">
        <w:t>Physical activity is closely linked with mental health and physical health, therefore increases in levels of physical activity due to pet ownership could be beneficial particularly to older adults. A study by Potter et al. [</w:t>
      </w:r>
      <w:r>
        <w:t>42</w:t>
      </w:r>
      <w:r w:rsidRPr="00AC4273">
        <w:t>] in the United States examined how dog ‘acquisition’ affects physical activity and psychosocial well-being.</w:t>
      </w:r>
      <w:r w:rsidR="00630CAE">
        <w:t xml:space="preserve"> </w:t>
      </w:r>
      <w:r w:rsidRPr="00AC4273">
        <w:t xml:space="preserve">The authors reported that on average study participants had lower levels of stress and depressive symptoms while physical activity as measured by an </w:t>
      </w:r>
      <w:proofErr w:type="spellStart"/>
      <w:r w:rsidRPr="00AC4273">
        <w:t>Actigraph</w:t>
      </w:r>
      <w:proofErr w:type="spellEnd"/>
      <w:r w:rsidRPr="00AC4273">
        <w:t xml:space="preserve"> demonstrated increased moderate to vigorous physical activity levels by around 20 </w:t>
      </w:r>
      <w:r w:rsidR="00630CAE">
        <w:t>min</w:t>
      </w:r>
      <w:r w:rsidRPr="00AC4273">
        <w:t xml:space="preserve"> a day.</w:t>
      </w:r>
    </w:p>
    <w:p w14:paraId="56329344" w14:textId="6B2D613E" w:rsidR="00310F2C" w:rsidRDefault="00310F2C" w:rsidP="00862DC6">
      <w:pPr>
        <w:pStyle w:val="MDPI31text"/>
      </w:pPr>
      <w:r w:rsidRPr="00AC4273">
        <w:t xml:space="preserve">While several studies have examined pet ownership and physical activity </w:t>
      </w:r>
      <w:r w:rsidR="00630CAE">
        <w:t>[38,42–44</w:t>
      </w:r>
      <w:r w:rsidRPr="00AC4273">
        <w:t>], the evidence around pet ownership and physical activity in older adults is still scarce.</w:t>
      </w:r>
      <w:r w:rsidR="00630CAE">
        <w:t xml:space="preserve"> </w:t>
      </w:r>
      <w:r w:rsidRPr="00AC4273">
        <w:t xml:space="preserve">As such the aim of the present study was to compare the association of pet ownership and days of moderate and vigorous physical activity levels using </w:t>
      </w:r>
      <w:r>
        <w:t>secondary data analysis of a nationally representative sample</w:t>
      </w:r>
      <w:r w:rsidRPr="00AC4273">
        <w:t xml:space="preserve"> from the Northern Ireland Cohort for the Longitudinal Study of Ageing (NICOLA) study.</w:t>
      </w:r>
      <w:r w:rsidR="00630CAE">
        <w:t xml:space="preserve"> </w:t>
      </w:r>
      <w:r>
        <w:t>A secondary data analysis was used in this current study which seeks to extend upon the limited UK literature on physical activity and pet ownership in older adults (65 years and older).</w:t>
      </w:r>
      <w:r w:rsidR="00630CAE">
        <w:t xml:space="preserve"> </w:t>
      </w:r>
      <w:r>
        <w:t xml:space="preserve">This study is unique as it is the first in Northern Ireland to explore this area. The goal of this research is to inform future papers involving physical activity and pet ownership </w:t>
      </w:r>
      <w:proofErr w:type="gramStart"/>
      <w:r>
        <w:t>in regard to</w:t>
      </w:r>
      <w:proofErr w:type="gramEnd"/>
      <w:r>
        <w:t xml:space="preserve"> public health and provide future suggestions.</w:t>
      </w:r>
    </w:p>
    <w:p w14:paraId="6D487536" w14:textId="33FFF841" w:rsidR="00310F2C" w:rsidRPr="00AC4273" w:rsidRDefault="00862DC6" w:rsidP="00862DC6">
      <w:pPr>
        <w:pStyle w:val="MDPI21heading1"/>
      </w:pPr>
      <w:r>
        <w:rPr>
          <w:lang w:eastAsia="zh-CN"/>
        </w:rPr>
        <w:t xml:space="preserve">2. </w:t>
      </w:r>
      <w:r w:rsidR="00310F2C" w:rsidRPr="00AC4273">
        <w:t>Materials and Methods</w:t>
      </w:r>
    </w:p>
    <w:p w14:paraId="0FC58CD6" w14:textId="69A438D0" w:rsidR="00310F2C" w:rsidRPr="00862DC6" w:rsidRDefault="00862DC6" w:rsidP="00862DC6">
      <w:pPr>
        <w:pStyle w:val="MDPI22heading2"/>
      </w:pPr>
      <w:r w:rsidRPr="00862DC6">
        <w:t xml:space="preserve">2.1. </w:t>
      </w:r>
      <w:r w:rsidR="00310F2C" w:rsidRPr="00862DC6">
        <w:t xml:space="preserve">Study </w:t>
      </w:r>
      <w:r w:rsidR="00C41B6D">
        <w:t>P</w:t>
      </w:r>
      <w:r w:rsidR="00310F2C" w:rsidRPr="00862DC6">
        <w:t>opulation</w:t>
      </w:r>
    </w:p>
    <w:p w14:paraId="4C7B451F" w14:textId="1E9D5006" w:rsidR="00310F2C" w:rsidRPr="00381945" w:rsidRDefault="00310F2C" w:rsidP="00862DC6">
      <w:pPr>
        <w:pStyle w:val="MDPI31text"/>
        <w:rPr>
          <w:rFonts w:eastAsia="STIX-Regular"/>
        </w:rPr>
      </w:pPr>
      <w:r w:rsidRPr="00AC4273">
        <w:t>This study involves the use of the WAVE 1 data (collected between Feb</w:t>
      </w:r>
      <w:r w:rsidR="00C86AE1">
        <w:t>ruary</w:t>
      </w:r>
      <w:r w:rsidRPr="00AC4273">
        <w:t xml:space="preserve"> 2014</w:t>
      </w:r>
      <w:r w:rsidR="00C86AE1">
        <w:t>–</w:t>
      </w:r>
      <w:r w:rsidRPr="00AC4273">
        <w:t>Mar</w:t>
      </w:r>
      <w:r w:rsidR="00C86AE1">
        <w:t>ch</w:t>
      </w:r>
      <w:r w:rsidRPr="00AC4273">
        <w:t xml:space="preserve"> 2016) from the NICOLA study, a longitudinal study involving</w:t>
      </w:r>
      <w:r>
        <w:t xml:space="preserve"> a stratified random sample of</w:t>
      </w:r>
      <w:r w:rsidRPr="00AC4273">
        <w:t xml:space="preserve"> 8478 men and women aged 50 years and over exploring why and how certain social, </w:t>
      </w:r>
      <w:proofErr w:type="gramStart"/>
      <w:r w:rsidRPr="00AC4273">
        <w:t>economic</w:t>
      </w:r>
      <w:proofErr w:type="gramEnd"/>
      <w:r w:rsidRPr="00AC4273">
        <w:t xml:space="preserve"> and biological factors are impacting the lives of older adults.</w:t>
      </w:r>
      <w:r w:rsidR="00630CAE">
        <w:t xml:space="preserve"> </w:t>
      </w:r>
      <w:r>
        <w:t>NICOLA is an ongoing longitudinal cohort study of ageing in Northern Ireland designed to complement the English Longitudinal Study of Ageing (ELSA) and the Irish Longitudinal Study of Ageing (TILDA).</w:t>
      </w:r>
      <w:r w:rsidRPr="00AC4273">
        <w:t xml:space="preserve"> </w:t>
      </w:r>
      <w:r>
        <w:t>The aim of the NICOLA study is to monitor older adults and examine health, lifestyle, and wellbeing changes over a 10-year period.</w:t>
      </w:r>
      <w:r w:rsidRPr="00AC4273">
        <w:t xml:space="preserve"> </w:t>
      </w:r>
      <w:r>
        <w:t>Participation in the study was completely voluntary.</w:t>
      </w:r>
      <w:r w:rsidR="00630CAE">
        <w:t xml:space="preserve"> </w:t>
      </w:r>
      <w:r>
        <w:t>Participants were recruited at random from the POINTER address database or GP Register in Northern Ireland with letters sent to the household.</w:t>
      </w:r>
      <w:r w:rsidR="00630CAE">
        <w:t xml:space="preserve"> </w:t>
      </w:r>
      <w:r w:rsidRPr="00AC4273">
        <w:t xml:space="preserve">Consent for the study was obtained from all study </w:t>
      </w:r>
      <w:r w:rsidRPr="00BF6DAE">
        <w:t>participants before the commencement of the research with a double side form getting participants consent that they understand the study and that they consent for each process of the testing.</w:t>
      </w:r>
      <w:r w:rsidR="00BF6DAE" w:rsidRPr="00BF6DAE">
        <w:t xml:space="preserve"> </w:t>
      </w:r>
      <w:r w:rsidRPr="00BF6DAE">
        <w:t xml:space="preserve">Ethical approval was obtained by the School of </w:t>
      </w:r>
      <w:r w:rsidRPr="00BF6DAE">
        <w:rPr>
          <w:rFonts w:eastAsia="STIX-Regular"/>
        </w:rPr>
        <w:t>Medicine, Dentistry and Biomedical Sciences Ethics Committee, Queen’s university Belfast (SREC 12/23) and the study conducted according to the guidelines of the Declaration of Helsinki. All participant data was given a unique</w:t>
      </w:r>
      <w:r>
        <w:rPr>
          <w:rFonts w:eastAsia="STIX-Regular"/>
        </w:rPr>
        <w:t xml:space="preserve"> code so that the data remained anonymous. This secondary data analysis study will only contain the data for adults aged 65 years and older </w:t>
      </w:r>
      <w:r w:rsidRPr="00381945">
        <w:rPr>
          <w:rFonts w:eastAsia="STIX-Regular"/>
        </w:rPr>
        <w:t>from the NICOLA study (n</w:t>
      </w:r>
      <w:r w:rsidR="00BF6DAE" w:rsidRPr="00381945">
        <w:rPr>
          <w:rFonts w:eastAsia="STIX-Regular"/>
        </w:rPr>
        <w:t xml:space="preserve"> </w:t>
      </w:r>
      <w:r w:rsidRPr="00381945">
        <w:rPr>
          <w:rFonts w:eastAsia="STIX-Regular"/>
        </w:rPr>
        <w:t>=</w:t>
      </w:r>
      <w:r w:rsidR="00BF6DAE" w:rsidRPr="00381945">
        <w:rPr>
          <w:rFonts w:eastAsia="STIX-Regular"/>
        </w:rPr>
        <w:t xml:space="preserve"> </w:t>
      </w:r>
      <w:r w:rsidRPr="00381945">
        <w:rPr>
          <w:rFonts w:eastAsia="STIX-Regular"/>
        </w:rPr>
        <w:t>4040).</w:t>
      </w:r>
    </w:p>
    <w:p w14:paraId="30179127" w14:textId="7A2C4679" w:rsidR="00310F2C" w:rsidRPr="00381945" w:rsidRDefault="00862DC6" w:rsidP="00862DC6">
      <w:pPr>
        <w:pStyle w:val="MDPI22heading2"/>
        <w:spacing w:before="240"/>
      </w:pPr>
      <w:r w:rsidRPr="00381945">
        <w:t xml:space="preserve">2.2. </w:t>
      </w:r>
      <w:r w:rsidR="00310F2C" w:rsidRPr="00381945">
        <w:t>Data Collection</w:t>
      </w:r>
    </w:p>
    <w:p w14:paraId="1328454F" w14:textId="393CAD84" w:rsidR="00310F2C" w:rsidRPr="00381945" w:rsidRDefault="00310F2C" w:rsidP="00862DC6">
      <w:pPr>
        <w:pStyle w:val="MDPI31text"/>
      </w:pPr>
      <w:r w:rsidRPr="00381945">
        <w:t xml:space="preserve">The NICOLA study comprised of three elements of data collection: </w:t>
      </w:r>
      <w:r w:rsidR="00BF6DAE" w:rsidRPr="00381945">
        <w:t>(</w:t>
      </w:r>
      <w:r w:rsidRPr="00381945">
        <w:t>1)</w:t>
      </w:r>
      <w:r w:rsidR="00BF6DAE" w:rsidRPr="00381945">
        <w:t xml:space="preserve"> </w:t>
      </w:r>
      <w:r w:rsidRPr="00381945">
        <w:t xml:space="preserve">a computer Assisted Personal Interview (CAPI), </w:t>
      </w:r>
      <w:r w:rsidR="00BF6DAE" w:rsidRPr="00381945">
        <w:t>(</w:t>
      </w:r>
      <w:r w:rsidRPr="00381945">
        <w:t>2) a Self-Completion Questionnaire (SCQ) and (3) a health assessment which were performed at the Northern Ireland Clinical Research Facility. This secondary data analysis study used data from the results of the Computer Assisted Personal Interview (CAPI) and the Self Completed Questionnaires from the WAVE 1 of the NICOLA study.</w:t>
      </w:r>
      <w:r w:rsidR="00630CAE" w:rsidRPr="00381945">
        <w:t xml:space="preserve"> </w:t>
      </w:r>
      <w:r w:rsidRPr="00381945">
        <w:t xml:space="preserve">Details of NICOLA study assessments can be found online at </w:t>
      </w:r>
      <w:r w:rsidR="00BF6DAE" w:rsidRPr="00381945">
        <w:t>https://www.qub.ac.uk/sites/NICOLA/ (accessed on)</w:t>
      </w:r>
      <w:r w:rsidRPr="00381945">
        <w:t>.</w:t>
      </w:r>
    </w:p>
    <w:p w14:paraId="0AF7ADC3" w14:textId="6E035A7A" w:rsidR="00310F2C" w:rsidRPr="00AC4273" w:rsidRDefault="00310F2C" w:rsidP="00862DC6">
      <w:pPr>
        <w:pStyle w:val="MDPI31text"/>
      </w:pPr>
      <w:r w:rsidRPr="00381945">
        <w:rPr>
          <w:b/>
          <w:bCs/>
        </w:rPr>
        <w:t>Socio-demographics:</w:t>
      </w:r>
      <w:r w:rsidR="00630CAE" w:rsidRPr="00381945">
        <w:t xml:space="preserve"> </w:t>
      </w:r>
      <w:r w:rsidRPr="00381945">
        <w:t>This questionnaire measured general social demographics such as gender (male or female), age (65</w:t>
      </w:r>
      <w:r w:rsidR="00BF6DAE" w:rsidRPr="00381945">
        <w:t xml:space="preserve"> </w:t>
      </w:r>
      <w:r w:rsidRPr="00381945">
        <w:t>&gt;</w:t>
      </w:r>
      <w:r w:rsidR="0005769C" w:rsidRPr="00381945">
        <w:t xml:space="preserve"> </w:t>
      </w:r>
      <w:r w:rsidRPr="00381945">
        <w:t>85 years or 85 and</w:t>
      </w:r>
      <w:r>
        <w:t xml:space="preserve"> older)</w:t>
      </w:r>
      <w:r w:rsidRPr="00AC4273">
        <w:t>, marital status</w:t>
      </w:r>
      <w:r>
        <w:t xml:space="preserve"> (single, married, separated, divorced, widowed, living together)</w:t>
      </w:r>
      <w:r w:rsidRPr="00AC4273">
        <w:t xml:space="preserve"> while also examining elements </w:t>
      </w:r>
      <w:r w:rsidRPr="00AC4273">
        <w:lastRenderedPageBreak/>
        <w:t>of physical activity</w:t>
      </w:r>
      <w:r>
        <w:t xml:space="preserve"> (moderate or vigorous days physically active)</w:t>
      </w:r>
      <w:r w:rsidRPr="00AC4273">
        <w:t>, lifestyle factors</w:t>
      </w:r>
      <w:r>
        <w:t xml:space="preserve"> (smoking and drinking status)</w:t>
      </w:r>
      <w:r w:rsidRPr="00AC4273">
        <w:t>, and education.</w:t>
      </w:r>
    </w:p>
    <w:p w14:paraId="5AD1BEF2" w14:textId="45E93DCA" w:rsidR="00310F2C" w:rsidRPr="00381945" w:rsidRDefault="00310F2C" w:rsidP="00862DC6">
      <w:pPr>
        <w:pStyle w:val="MDPI31text"/>
      </w:pPr>
      <w:r w:rsidRPr="00381945">
        <w:rPr>
          <w:b/>
          <w:bCs/>
        </w:rPr>
        <w:t>Physical Activity:</w:t>
      </w:r>
      <w:r w:rsidRPr="00381945">
        <w:t xml:space="preserve"> This analysis used physical activity components from the NICOLA study which focused on two items from the short form International Physical Activity Questionnaire [45].</w:t>
      </w:r>
      <w:r w:rsidR="00630CAE" w:rsidRPr="00381945">
        <w:t xml:space="preserve"> </w:t>
      </w:r>
      <w:r w:rsidRPr="00381945">
        <w:t>These items recorded moderate physical activity (</w:t>
      </w:r>
      <w:r w:rsidRPr="00381945">
        <w:rPr>
          <w:rFonts w:eastAsia="ArialMT"/>
        </w:rPr>
        <w:t xml:space="preserve">During the </w:t>
      </w:r>
      <w:r w:rsidRPr="00381945">
        <w:rPr>
          <w:rFonts w:eastAsia="Arial-BoldMT"/>
        </w:rPr>
        <w:t>last 7 days</w:t>
      </w:r>
      <w:r w:rsidRPr="00381945">
        <w:rPr>
          <w:rFonts w:eastAsia="ArialMT"/>
        </w:rPr>
        <w:t xml:space="preserve">, on how many days did you do </w:t>
      </w:r>
      <w:r w:rsidRPr="00381945">
        <w:rPr>
          <w:rFonts w:eastAsia="Arial-BoldMT"/>
        </w:rPr>
        <w:t xml:space="preserve">moderate </w:t>
      </w:r>
      <w:r w:rsidRPr="00381945">
        <w:rPr>
          <w:rFonts w:eastAsia="ArialMT"/>
        </w:rPr>
        <w:t xml:space="preserve">physical activities like carrying light loads, bicycling at a regular pace, or doubles tennis? Do not include walking) </w:t>
      </w:r>
      <w:r w:rsidRPr="00381945">
        <w:t>and vigorous activity (</w:t>
      </w:r>
      <w:r w:rsidRPr="00381945">
        <w:rPr>
          <w:rFonts w:eastAsia="ArialMT"/>
        </w:rPr>
        <w:t xml:space="preserve">During the </w:t>
      </w:r>
      <w:r w:rsidRPr="00381945">
        <w:rPr>
          <w:rFonts w:eastAsia="Arial-BoldMT"/>
        </w:rPr>
        <w:t>last 7 days</w:t>
      </w:r>
      <w:r w:rsidRPr="00381945">
        <w:rPr>
          <w:rFonts w:eastAsia="ArialMT"/>
        </w:rPr>
        <w:t xml:space="preserve">, on how many days did you do </w:t>
      </w:r>
      <w:r w:rsidRPr="00381945">
        <w:rPr>
          <w:rFonts w:eastAsia="Arial-BoldMT"/>
        </w:rPr>
        <w:t xml:space="preserve">vigorous </w:t>
      </w:r>
      <w:r w:rsidRPr="00381945">
        <w:rPr>
          <w:rFonts w:eastAsia="ArialMT"/>
        </w:rPr>
        <w:t>physical activities like heavy lifting, digging, aerobics, or fast bicycling?)</w:t>
      </w:r>
      <w:r w:rsidRPr="00381945">
        <w:t>.</w:t>
      </w:r>
    </w:p>
    <w:p w14:paraId="32431DC4" w14:textId="6BFA65EC" w:rsidR="00310F2C" w:rsidRPr="00BB6656" w:rsidRDefault="00310F2C" w:rsidP="00862DC6">
      <w:pPr>
        <w:pStyle w:val="MDPI31text"/>
      </w:pPr>
      <w:r w:rsidRPr="00381945">
        <w:rPr>
          <w:b/>
          <w:bCs/>
        </w:rPr>
        <w:t xml:space="preserve">Pet-related variable: </w:t>
      </w:r>
      <w:r w:rsidRPr="00381945">
        <w:t>Respondents</w:t>
      </w:r>
      <w:r w:rsidRPr="00AC4273">
        <w:t xml:space="preserve"> were asked if they owned a pet (Yes/No).</w:t>
      </w:r>
      <w:bookmarkStart w:id="0" w:name="page3"/>
      <w:bookmarkEnd w:id="0"/>
    </w:p>
    <w:p w14:paraId="53D9BCF2" w14:textId="580AC3F5" w:rsidR="00310F2C" w:rsidRPr="00862DC6" w:rsidRDefault="00862DC6" w:rsidP="00862DC6">
      <w:pPr>
        <w:pStyle w:val="MDPI22heading2"/>
        <w:spacing w:before="240"/>
      </w:pPr>
      <w:r w:rsidRPr="00862DC6">
        <w:t xml:space="preserve">2.3. </w:t>
      </w:r>
      <w:r w:rsidR="00310F2C" w:rsidRPr="00862DC6">
        <w:t>Data Analysis</w:t>
      </w:r>
    </w:p>
    <w:p w14:paraId="2290E5F3" w14:textId="1C767A15" w:rsidR="00310F2C" w:rsidRPr="00BB6656" w:rsidRDefault="00310F2C" w:rsidP="00F450E2">
      <w:pPr>
        <w:pStyle w:val="MDPI31text"/>
      </w:pPr>
      <w:r w:rsidRPr="00930DFA">
        <w:t>The data presented here is based on a secondary data analysis. The data was reviewed and any participant under the age of 65 was excluded from the data analysis (n</w:t>
      </w:r>
      <w:r w:rsidR="00360ED3">
        <w:t xml:space="preserve"> </w:t>
      </w:r>
      <w:r w:rsidRPr="00930DFA">
        <w:t>=</w:t>
      </w:r>
      <w:r w:rsidR="00360ED3">
        <w:t xml:space="preserve"> </w:t>
      </w:r>
      <w:r w:rsidRPr="00930DFA">
        <w:t>4098).</w:t>
      </w:r>
      <w:r w:rsidR="00630CAE">
        <w:t xml:space="preserve"> </w:t>
      </w:r>
      <w:r w:rsidRPr="00930DFA">
        <w:t>Additionally, those respondents not answering the physical activity items were removed from the dataset (n</w:t>
      </w:r>
      <w:r w:rsidR="00360ED3">
        <w:t xml:space="preserve"> </w:t>
      </w:r>
      <w:r w:rsidRPr="00930DFA">
        <w:t>=</w:t>
      </w:r>
      <w:r w:rsidR="00360ED3">
        <w:t xml:space="preserve"> </w:t>
      </w:r>
      <w:r w:rsidRPr="00930DFA">
        <w:t>58).</w:t>
      </w:r>
      <w:r w:rsidR="00630CAE">
        <w:t xml:space="preserve"> </w:t>
      </w:r>
      <w:r w:rsidRPr="00930DFA">
        <w:t>This left a sample of 4040 participants to examine the influence of pet ownership on moderate and vigorous physical activity.</w:t>
      </w:r>
      <w:r w:rsidR="00630CAE">
        <w:t xml:space="preserve"> </w:t>
      </w:r>
      <w:r w:rsidRPr="00BB6656">
        <w:t xml:space="preserve">All statistical analysis was conducted on SPSS (IBM </w:t>
      </w:r>
      <w:r w:rsidRPr="00360ED3">
        <w:t xml:space="preserve">SPSS Software, Version 28, </w:t>
      </w:r>
      <w:r w:rsidR="00360ED3" w:rsidRPr="00360ED3">
        <w:t xml:space="preserve">IBM Corp, </w:t>
      </w:r>
      <w:r w:rsidRPr="00360ED3">
        <w:t>Armonk</w:t>
      </w:r>
      <w:r w:rsidR="00360ED3" w:rsidRPr="00360ED3">
        <w:t>,</w:t>
      </w:r>
      <w:r w:rsidRPr="00360ED3">
        <w:t xml:space="preserve"> NY</w:t>
      </w:r>
      <w:r w:rsidR="00360ED3" w:rsidRPr="00360ED3">
        <w:t>, USA</w:t>
      </w:r>
      <w:r w:rsidRPr="00360ED3">
        <w:t>). Summary statistics for variables were reported for the cohort with variables being categorial reported in frequencies and percentages.</w:t>
      </w:r>
      <w:r w:rsidR="00630CAE" w:rsidRPr="00360ED3">
        <w:t xml:space="preserve"> </w:t>
      </w:r>
      <w:r w:rsidRPr="00360ED3">
        <w:t>Data were not normally distributed (</w:t>
      </w:r>
      <w:r w:rsidR="00B216BC" w:rsidRPr="00360ED3">
        <w:rPr>
          <w:i/>
          <w:iCs/>
        </w:rPr>
        <w:t>p</w:t>
      </w:r>
      <w:r w:rsidR="00B216BC" w:rsidRPr="00360ED3">
        <w:t xml:space="preserve"> &lt; 0.</w:t>
      </w:r>
      <w:r w:rsidRPr="00360ED3">
        <w:t xml:space="preserve">005), therefore a chi squared test was conducted to explore the differences between the two categorical variables for pet ownership and days of physical activity. This test was used to see if pet ownership was associated with physical activity Additional subgroup analysis was examined with age and gender using chi-square </w:t>
      </w:r>
      <w:proofErr w:type="spellStart"/>
      <w:r w:rsidRPr="00360ED3">
        <w:t>toexplore</w:t>
      </w:r>
      <w:proofErr w:type="spellEnd"/>
      <w:r w:rsidRPr="00360ED3">
        <w:t xml:space="preserve"> the differences in pet ownership and physical activity. </w:t>
      </w:r>
      <w:proofErr w:type="spellStart"/>
      <w:r w:rsidRPr="00360ED3">
        <w:t>Cramers</w:t>
      </w:r>
      <w:proofErr w:type="spellEnd"/>
      <w:r w:rsidRPr="00360ED3">
        <w:t xml:space="preserve"> V was used alongside the chi-squared to examine the association between the two categorical variables as the effect size, in this study small</w:t>
      </w:r>
      <w:r w:rsidR="00360ED3" w:rsidRPr="00360ED3">
        <w:t xml:space="preserve"> </w:t>
      </w:r>
      <w:r w:rsidRPr="00360ED3">
        <w:t>=</w:t>
      </w:r>
      <w:r w:rsidR="00360ED3" w:rsidRPr="00360ED3">
        <w:t xml:space="preserve"> 0</w:t>
      </w:r>
      <w:r w:rsidRPr="00360ED3">
        <w:t>.07, medium =</w:t>
      </w:r>
      <w:r w:rsidR="00360ED3" w:rsidRPr="00360ED3">
        <w:t xml:space="preserve"> 0</w:t>
      </w:r>
      <w:r w:rsidRPr="00360ED3">
        <w:t>.21, and larger =</w:t>
      </w:r>
      <w:r w:rsidR="00360ED3" w:rsidRPr="00360ED3">
        <w:t xml:space="preserve"> 0</w:t>
      </w:r>
      <w:r w:rsidRPr="00360ED3">
        <w:t>.35.</w:t>
      </w:r>
      <w:r w:rsidRPr="00BB6656">
        <w:t xml:space="preserve"> The physical activity variables for vigorous and moderate were </w:t>
      </w:r>
      <w:proofErr w:type="spellStart"/>
      <w:r w:rsidRPr="00BB6656">
        <w:t>recoded</w:t>
      </w:r>
      <w:proofErr w:type="spellEnd"/>
      <w:r w:rsidRPr="00BB6656">
        <w:t xml:space="preserve"> in binary variables for each labelled 0 (not sufficiently active) and 1 (sufficiently active).</w:t>
      </w:r>
      <w:r w:rsidR="00630CAE">
        <w:t xml:space="preserve"> </w:t>
      </w:r>
      <w:proofErr w:type="gramStart"/>
      <w:r w:rsidRPr="00BB6656">
        <w:t>A</w:t>
      </w:r>
      <w:proofErr w:type="gramEnd"/>
      <w:r w:rsidRPr="00BB6656">
        <w:t xml:space="preserve"> ordinal logistic regression was used to examine pet ownership on physical activity levels with covariates age and gender. For the secondary data analysis, the cross-sectional results of the ordinal regression are reported as odds ratios with 95% confidence intervals which can be interpreted as the increase in odds of pet ownership associated with increase moderate or vigorous physical activity levels. </w:t>
      </w:r>
      <w:r w:rsidRPr="00930DFA">
        <w:t xml:space="preserve">The significance level was assessed </w:t>
      </w:r>
      <w:r w:rsidRPr="00BB6656">
        <w:t>as a p</w:t>
      </w:r>
      <w:r>
        <w:t>-</w:t>
      </w:r>
      <w:r w:rsidRPr="00BB6656">
        <w:t xml:space="preserve">value of </w:t>
      </w:r>
      <w:r>
        <w:t>&lt;0.</w:t>
      </w:r>
      <w:r w:rsidRPr="00BB6656">
        <w:t xml:space="preserve">05 considered statistically significant. Details of NICOLA study dataset can be found online at </w:t>
      </w:r>
      <w:r w:rsidRPr="00FA0907">
        <w:t>https://www.qub.ac.uk/sites/</w:t>
      </w:r>
      <w:r w:rsidRPr="00381945">
        <w:t xml:space="preserve">NICOLA/ </w:t>
      </w:r>
      <w:r w:rsidR="00F450E2" w:rsidRPr="00381945">
        <w:t xml:space="preserve">(accessed on) </w:t>
      </w:r>
      <w:r w:rsidRPr="00381945">
        <w:t xml:space="preserve">with access to the data available by application through </w:t>
      </w:r>
      <w:r w:rsidR="00FA0907" w:rsidRPr="00381945">
        <w:t>https://www.qub.ac.uk/sites/NICOLA/InformationforResearchers (accessed on).</w:t>
      </w:r>
    </w:p>
    <w:p w14:paraId="2BD25007" w14:textId="1687283E" w:rsidR="00310F2C" w:rsidRPr="00BB6656" w:rsidRDefault="00862DC6" w:rsidP="00862DC6">
      <w:pPr>
        <w:pStyle w:val="MDPI21heading1"/>
      </w:pPr>
      <w:r>
        <w:t xml:space="preserve">3. </w:t>
      </w:r>
      <w:r w:rsidR="00310F2C" w:rsidRPr="00BB6656">
        <w:t>Results</w:t>
      </w:r>
    </w:p>
    <w:p w14:paraId="0A75B25A" w14:textId="24E9A39E" w:rsidR="00D6557C" w:rsidRDefault="00310F2C" w:rsidP="00D6557C">
      <w:pPr>
        <w:pStyle w:val="MDPI31text"/>
      </w:pPr>
      <w:r w:rsidRPr="00BB6656">
        <w:t>Descriptive statistics regarding the sociodemographic and study characteristics of the study sample (n</w:t>
      </w:r>
      <w:r w:rsidR="00D6557C">
        <w:t xml:space="preserve"> </w:t>
      </w:r>
      <w:r w:rsidRPr="00BB6656">
        <w:t>=</w:t>
      </w:r>
      <w:r w:rsidR="00D6557C">
        <w:t xml:space="preserve"> </w:t>
      </w:r>
      <w:r w:rsidRPr="00BB6656">
        <w:t>4040) are shown in Table 1.</w:t>
      </w:r>
      <w:r w:rsidR="00630CAE">
        <w:t xml:space="preserve"> </w:t>
      </w:r>
      <w:r w:rsidRPr="00930DFA">
        <w:t>The table shows that over half respondents were female (n</w:t>
      </w:r>
      <w:r w:rsidR="00D6557C">
        <w:t xml:space="preserve"> </w:t>
      </w:r>
      <w:r w:rsidRPr="00930DFA">
        <w:t>=</w:t>
      </w:r>
      <w:r w:rsidR="00D6557C">
        <w:t xml:space="preserve"> </w:t>
      </w:r>
      <w:r w:rsidRPr="00930DFA">
        <w:t>2145, 53.1%) slightly more than male respondents, a majority were in the 65 to &lt; 85 years old category (n</w:t>
      </w:r>
      <w:r w:rsidR="00D6557C">
        <w:t xml:space="preserve"> </w:t>
      </w:r>
      <w:r w:rsidRPr="00930DFA">
        <w:t>=</w:t>
      </w:r>
      <w:r w:rsidR="00D6557C">
        <w:t xml:space="preserve"> </w:t>
      </w:r>
      <w:r w:rsidRPr="00930DFA">
        <w:t>3699, 91.6%). A third of the group had primary or some primary education (n</w:t>
      </w:r>
      <w:r w:rsidR="00D6557C">
        <w:t xml:space="preserve"> </w:t>
      </w:r>
      <w:r w:rsidRPr="00930DFA">
        <w:t>=</w:t>
      </w:r>
      <w:r w:rsidR="00D6557C">
        <w:t xml:space="preserve"> </w:t>
      </w:r>
      <w:r w:rsidRPr="00930DFA">
        <w:t>1343, 33.2%) with the next largest group having completed GCSE/Intermediate/Junior/Group certificate of equivalent education status (n</w:t>
      </w:r>
      <w:r w:rsidR="00D6557C">
        <w:t xml:space="preserve"> </w:t>
      </w:r>
      <w:r w:rsidRPr="00930DFA">
        <w:t>=</w:t>
      </w:r>
      <w:r w:rsidR="00D6557C">
        <w:t xml:space="preserve"> </w:t>
      </w:r>
      <w:r w:rsidRPr="00930DFA">
        <w:t>1296, 32.1%). Over half did not own a pet (n</w:t>
      </w:r>
      <w:r w:rsidR="00D6557C">
        <w:t xml:space="preserve"> </w:t>
      </w:r>
      <w:r w:rsidRPr="00930DFA">
        <w:t>=</w:t>
      </w:r>
      <w:r w:rsidR="00D6557C">
        <w:t xml:space="preserve"> </w:t>
      </w:r>
      <w:r w:rsidRPr="00930DFA">
        <w:t>2739, 67.8%).</w:t>
      </w:r>
      <w:r w:rsidR="00630CAE">
        <w:t xml:space="preserve"> </w:t>
      </w:r>
      <w:r w:rsidRPr="00930DFA">
        <w:t>Over half of the respondents were married (n</w:t>
      </w:r>
      <w:r w:rsidR="00D6557C">
        <w:t xml:space="preserve"> </w:t>
      </w:r>
      <w:r w:rsidRPr="00930DFA">
        <w:t>= 2391, 59.2%), with 48.6% never smoking (n</w:t>
      </w:r>
      <w:r w:rsidR="00D6557C">
        <w:t xml:space="preserve"> </w:t>
      </w:r>
      <w:r>
        <w:t>=</w:t>
      </w:r>
      <w:r w:rsidR="00D6557C">
        <w:t xml:space="preserve"> </w:t>
      </w:r>
      <w:r w:rsidRPr="00930DFA">
        <w:t>1964) while 50.4% (n</w:t>
      </w:r>
      <w:r w:rsidR="00D6557C">
        <w:t xml:space="preserve"> </w:t>
      </w:r>
      <w:r w:rsidRPr="00930DFA">
        <w:t>=</w:t>
      </w:r>
      <w:r w:rsidR="00D6557C">
        <w:t xml:space="preserve"> </w:t>
      </w:r>
      <w:r w:rsidRPr="00930DFA">
        <w:t>2038) would have a drink of a regular basis.</w:t>
      </w:r>
      <w:r w:rsidR="00630CAE">
        <w:t xml:space="preserve"> </w:t>
      </w:r>
      <w:r w:rsidRPr="00930DFA">
        <w:t>A total 86.8% of those who did not own a pet did not take part in any vigorous physical activity which is a higher percentage than those who did own a pet (84.6%).</w:t>
      </w:r>
      <w:r w:rsidR="00630CAE">
        <w:t xml:space="preserve"> </w:t>
      </w:r>
      <w:r w:rsidRPr="00930DFA">
        <w:t>In relations to moderate physical activity, 70.7% of respondents who did not own a pet were not physically active, again higher than the 68.4% of those who owned a pet but were not physically active at all during the week.</w:t>
      </w:r>
    </w:p>
    <w:p w14:paraId="3236B40C" w14:textId="77777777" w:rsidR="00D6557C" w:rsidRDefault="00D6557C">
      <w:pPr>
        <w:spacing w:line="240" w:lineRule="auto"/>
        <w:jc w:val="left"/>
        <w:rPr>
          <w:rFonts w:eastAsia="Times New Roman"/>
          <w:noProof w:val="0"/>
          <w:snapToGrid w:val="0"/>
          <w:kern w:val="2"/>
          <w:szCs w:val="22"/>
          <w:lang w:eastAsia="de-DE" w:bidi="en-US"/>
          <w14:ligatures w14:val="standardContextual"/>
        </w:rPr>
      </w:pPr>
      <w:r>
        <w:br w:type="page"/>
      </w:r>
    </w:p>
    <w:p w14:paraId="1769295E" w14:textId="5B32ED20" w:rsidR="00310F2C" w:rsidRPr="00AE0315" w:rsidRDefault="006A29FD" w:rsidP="006A29FD">
      <w:pPr>
        <w:pStyle w:val="MDPI41tablecaption"/>
      </w:pPr>
      <w:r w:rsidRPr="006A29FD">
        <w:rPr>
          <w:b/>
        </w:rPr>
        <w:lastRenderedPageBreak/>
        <w:t xml:space="preserve">Table 1. </w:t>
      </w:r>
      <w:r w:rsidR="00310F2C" w:rsidRPr="00AC4273">
        <w:t>Socio-demographic and outcome variables (n</w:t>
      </w:r>
      <w:r w:rsidR="00640D06">
        <w:t xml:space="preserve"> </w:t>
      </w:r>
      <w:r w:rsidR="00310F2C" w:rsidRPr="00AC4273">
        <w:t>=</w:t>
      </w:r>
      <w:r w:rsidR="00640D06">
        <w:t xml:space="preserve"> </w:t>
      </w:r>
      <w:r w:rsidR="00310F2C">
        <w:t>4040</w:t>
      </w:r>
      <w:r w:rsidR="00310F2C" w:rsidRPr="00AC4273">
        <w:t>).</w:t>
      </w:r>
    </w:p>
    <w:tbl>
      <w:tblPr>
        <w:tblStyle w:val="TableGrid"/>
        <w:tblW w:w="7857" w:type="dxa"/>
        <w:tblInd w:w="2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942"/>
        <w:gridCol w:w="1638"/>
        <w:gridCol w:w="1639"/>
        <w:gridCol w:w="1638"/>
      </w:tblGrid>
      <w:tr w:rsidR="006A29FD" w:rsidRPr="006A29FD" w14:paraId="78E81258" w14:textId="77777777" w:rsidTr="006A29FD">
        <w:tc>
          <w:tcPr>
            <w:tcW w:w="2942" w:type="dxa"/>
            <w:tcBorders>
              <w:top w:val="single" w:sz="8" w:space="0" w:color="auto"/>
              <w:bottom w:val="single" w:sz="4" w:space="0" w:color="auto"/>
            </w:tcBorders>
            <w:shd w:val="clear" w:color="auto" w:fill="auto"/>
            <w:vAlign w:val="center"/>
          </w:tcPr>
          <w:p w14:paraId="03C91C1B" w14:textId="77777777" w:rsidR="006A29FD" w:rsidRPr="006A29FD" w:rsidRDefault="006A29FD" w:rsidP="006A29FD">
            <w:pPr>
              <w:pStyle w:val="MDPI31text"/>
              <w:autoSpaceDE w:val="0"/>
              <w:autoSpaceDN w:val="0"/>
              <w:spacing w:line="240" w:lineRule="auto"/>
              <w:ind w:left="0" w:firstLine="0"/>
              <w:jc w:val="center"/>
              <w:rPr>
                <w:b/>
              </w:rPr>
            </w:pPr>
          </w:p>
        </w:tc>
        <w:tc>
          <w:tcPr>
            <w:tcW w:w="1638" w:type="dxa"/>
            <w:tcBorders>
              <w:top w:val="single" w:sz="8" w:space="0" w:color="auto"/>
              <w:bottom w:val="single" w:sz="4" w:space="0" w:color="auto"/>
            </w:tcBorders>
            <w:shd w:val="clear" w:color="auto" w:fill="auto"/>
            <w:vAlign w:val="center"/>
          </w:tcPr>
          <w:p w14:paraId="5547F972" w14:textId="385DB2A4" w:rsidR="006A29FD" w:rsidRPr="006A29FD" w:rsidRDefault="006A29FD" w:rsidP="006A29FD">
            <w:pPr>
              <w:pStyle w:val="MDPI31text"/>
              <w:autoSpaceDE w:val="0"/>
              <w:autoSpaceDN w:val="0"/>
              <w:spacing w:line="240" w:lineRule="auto"/>
              <w:ind w:left="0" w:firstLine="0"/>
              <w:jc w:val="center"/>
              <w:rPr>
                <w:b/>
                <w:bCs/>
              </w:rPr>
            </w:pPr>
            <w:r w:rsidRPr="006A29FD">
              <w:rPr>
                <w:b/>
                <w:bCs/>
              </w:rPr>
              <w:t>Overall (n</w:t>
            </w:r>
            <w:r w:rsidR="00D6557C">
              <w:rPr>
                <w:b/>
                <w:bCs/>
              </w:rPr>
              <w:t xml:space="preserve"> </w:t>
            </w:r>
            <w:r w:rsidRPr="006A29FD">
              <w:rPr>
                <w:b/>
                <w:bCs/>
              </w:rPr>
              <w:t>=</w:t>
            </w:r>
            <w:r w:rsidR="00D6557C">
              <w:rPr>
                <w:b/>
                <w:bCs/>
              </w:rPr>
              <w:t xml:space="preserve"> </w:t>
            </w:r>
            <w:r w:rsidRPr="006A29FD">
              <w:rPr>
                <w:b/>
                <w:bCs/>
              </w:rPr>
              <w:t>4040)</w:t>
            </w:r>
          </w:p>
        </w:tc>
        <w:tc>
          <w:tcPr>
            <w:tcW w:w="1639" w:type="dxa"/>
            <w:tcBorders>
              <w:top w:val="single" w:sz="8" w:space="0" w:color="auto"/>
              <w:bottom w:val="single" w:sz="4" w:space="0" w:color="auto"/>
            </w:tcBorders>
            <w:shd w:val="clear" w:color="auto" w:fill="auto"/>
            <w:vAlign w:val="center"/>
          </w:tcPr>
          <w:p w14:paraId="453968C0" w14:textId="5027BE17" w:rsidR="006A29FD" w:rsidRPr="006A29FD" w:rsidRDefault="006A29FD" w:rsidP="006A29FD">
            <w:pPr>
              <w:pStyle w:val="MDPI31text"/>
              <w:autoSpaceDE w:val="0"/>
              <w:autoSpaceDN w:val="0"/>
              <w:spacing w:line="240" w:lineRule="auto"/>
              <w:ind w:left="0" w:firstLine="0"/>
              <w:jc w:val="center"/>
              <w:rPr>
                <w:b/>
                <w:bCs/>
              </w:rPr>
            </w:pPr>
            <w:r w:rsidRPr="006A29FD">
              <w:rPr>
                <w:b/>
                <w:bCs/>
              </w:rPr>
              <w:t xml:space="preserve">Owned Pet </w:t>
            </w:r>
            <w:r w:rsidR="00D6557C">
              <w:rPr>
                <w:b/>
                <w:bCs/>
              </w:rPr>
              <w:br/>
            </w:r>
            <w:r w:rsidRPr="006A29FD">
              <w:rPr>
                <w:b/>
                <w:bCs/>
              </w:rPr>
              <w:t>(n</w:t>
            </w:r>
            <w:r w:rsidR="00D6557C">
              <w:rPr>
                <w:b/>
                <w:bCs/>
              </w:rPr>
              <w:t xml:space="preserve"> </w:t>
            </w:r>
            <w:r w:rsidRPr="006A29FD">
              <w:rPr>
                <w:b/>
                <w:bCs/>
              </w:rPr>
              <w:t>=</w:t>
            </w:r>
            <w:r w:rsidR="00D6557C">
              <w:rPr>
                <w:b/>
                <w:bCs/>
              </w:rPr>
              <w:t xml:space="preserve"> </w:t>
            </w:r>
            <w:r w:rsidRPr="006A29FD">
              <w:rPr>
                <w:b/>
                <w:bCs/>
              </w:rPr>
              <w:t>1301)</w:t>
            </w:r>
          </w:p>
        </w:tc>
        <w:tc>
          <w:tcPr>
            <w:tcW w:w="1638" w:type="dxa"/>
            <w:tcBorders>
              <w:top w:val="single" w:sz="8" w:space="0" w:color="auto"/>
              <w:bottom w:val="single" w:sz="4" w:space="0" w:color="auto"/>
            </w:tcBorders>
            <w:shd w:val="clear" w:color="auto" w:fill="auto"/>
            <w:vAlign w:val="center"/>
          </w:tcPr>
          <w:p w14:paraId="46745B87" w14:textId="66EF953C" w:rsidR="006A29FD" w:rsidRPr="006A29FD" w:rsidRDefault="006A29FD" w:rsidP="006A29FD">
            <w:pPr>
              <w:pStyle w:val="MDPI31text"/>
              <w:autoSpaceDE w:val="0"/>
              <w:autoSpaceDN w:val="0"/>
              <w:spacing w:line="240" w:lineRule="auto"/>
              <w:ind w:left="0" w:firstLine="0"/>
              <w:jc w:val="center"/>
              <w:rPr>
                <w:b/>
                <w:bCs/>
              </w:rPr>
            </w:pPr>
            <w:r w:rsidRPr="006A29FD">
              <w:rPr>
                <w:b/>
                <w:bCs/>
              </w:rPr>
              <w:t>No Pet (n</w:t>
            </w:r>
            <w:r w:rsidR="00D6557C">
              <w:rPr>
                <w:b/>
                <w:bCs/>
              </w:rPr>
              <w:t xml:space="preserve"> </w:t>
            </w:r>
            <w:r w:rsidRPr="006A29FD">
              <w:rPr>
                <w:b/>
                <w:bCs/>
              </w:rPr>
              <w:t>=</w:t>
            </w:r>
            <w:r w:rsidR="00D6557C">
              <w:rPr>
                <w:b/>
                <w:bCs/>
              </w:rPr>
              <w:t xml:space="preserve"> </w:t>
            </w:r>
            <w:r w:rsidRPr="006A29FD">
              <w:rPr>
                <w:b/>
                <w:bCs/>
              </w:rPr>
              <w:t>2739)</w:t>
            </w:r>
          </w:p>
        </w:tc>
      </w:tr>
      <w:tr w:rsidR="006A29FD" w:rsidRPr="006A29FD" w14:paraId="09D7C8E8" w14:textId="77777777" w:rsidTr="006A29FD">
        <w:tc>
          <w:tcPr>
            <w:tcW w:w="7857" w:type="dxa"/>
            <w:gridSpan w:val="4"/>
            <w:tcBorders>
              <w:top w:val="single" w:sz="4" w:space="0" w:color="auto"/>
            </w:tcBorders>
            <w:shd w:val="clear" w:color="auto" w:fill="auto"/>
            <w:vAlign w:val="center"/>
          </w:tcPr>
          <w:p w14:paraId="7A14C508" w14:textId="77777777" w:rsidR="006A29FD" w:rsidRPr="00381945" w:rsidRDefault="006A29FD" w:rsidP="006A29FD">
            <w:pPr>
              <w:pStyle w:val="MDPI31text"/>
              <w:autoSpaceDE w:val="0"/>
              <w:autoSpaceDN w:val="0"/>
              <w:spacing w:line="240" w:lineRule="auto"/>
              <w:ind w:left="0" w:firstLine="0"/>
              <w:jc w:val="center"/>
            </w:pPr>
            <w:r w:rsidRPr="00381945">
              <w:rPr>
                <w:b/>
                <w:bCs/>
              </w:rPr>
              <w:t>Gender</w:t>
            </w:r>
          </w:p>
        </w:tc>
      </w:tr>
      <w:tr w:rsidR="006A29FD" w:rsidRPr="006A29FD" w14:paraId="755AA44E" w14:textId="77777777" w:rsidTr="006A29FD">
        <w:tc>
          <w:tcPr>
            <w:tcW w:w="2942" w:type="dxa"/>
            <w:shd w:val="clear" w:color="auto" w:fill="auto"/>
            <w:vAlign w:val="center"/>
          </w:tcPr>
          <w:p w14:paraId="36432FA5" w14:textId="77777777" w:rsidR="006A29FD" w:rsidRPr="00381945" w:rsidRDefault="006A29FD" w:rsidP="006A29FD">
            <w:pPr>
              <w:pStyle w:val="MDPI31text"/>
              <w:autoSpaceDE w:val="0"/>
              <w:autoSpaceDN w:val="0"/>
              <w:spacing w:line="240" w:lineRule="auto"/>
              <w:ind w:left="0" w:firstLine="0"/>
              <w:jc w:val="center"/>
            </w:pPr>
            <w:r w:rsidRPr="00381945">
              <w:t xml:space="preserve">Male </w:t>
            </w:r>
          </w:p>
        </w:tc>
        <w:tc>
          <w:tcPr>
            <w:tcW w:w="1638" w:type="dxa"/>
            <w:shd w:val="clear" w:color="auto" w:fill="auto"/>
            <w:vAlign w:val="center"/>
          </w:tcPr>
          <w:p w14:paraId="4A878BBB" w14:textId="77777777" w:rsidR="006A29FD" w:rsidRPr="00381945" w:rsidRDefault="006A29FD" w:rsidP="006A29FD">
            <w:pPr>
              <w:pStyle w:val="MDPI31text"/>
              <w:autoSpaceDE w:val="0"/>
              <w:autoSpaceDN w:val="0"/>
              <w:spacing w:line="240" w:lineRule="auto"/>
              <w:ind w:left="0" w:firstLine="0"/>
              <w:jc w:val="center"/>
            </w:pPr>
            <w:r w:rsidRPr="00381945">
              <w:t>1894 (46.9%)</w:t>
            </w:r>
          </w:p>
        </w:tc>
        <w:tc>
          <w:tcPr>
            <w:tcW w:w="1639" w:type="dxa"/>
            <w:shd w:val="clear" w:color="auto" w:fill="auto"/>
            <w:vAlign w:val="center"/>
          </w:tcPr>
          <w:p w14:paraId="4D086704" w14:textId="77777777" w:rsidR="006A29FD" w:rsidRPr="00381945" w:rsidRDefault="006A29FD" w:rsidP="006A29FD">
            <w:pPr>
              <w:pStyle w:val="MDPI31text"/>
              <w:autoSpaceDE w:val="0"/>
              <w:autoSpaceDN w:val="0"/>
              <w:spacing w:line="240" w:lineRule="auto"/>
              <w:ind w:left="0" w:firstLine="0"/>
              <w:jc w:val="center"/>
            </w:pPr>
            <w:r w:rsidRPr="00381945">
              <w:t>630 (48.4%)</w:t>
            </w:r>
          </w:p>
        </w:tc>
        <w:tc>
          <w:tcPr>
            <w:tcW w:w="1638" w:type="dxa"/>
            <w:shd w:val="clear" w:color="auto" w:fill="auto"/>
            <w:vAlign w:val="center"/>
          </w:tcPr>
          <w:p w14:paraId="5664D560" w14:textId="77777777" w:rsidR="006A29FD" w:rsidRPr="00381945" w:rsidRDefault="006A29FD" w:rsidP="006A29FD">
            <w:pPr>
              <w:pStyle w:val="MDPI31text"/>
              <w:autoSpaceDE w:val="0"/>
              <w:autoSpaceDN w:val="0"/>
              <w:spacing w:line="240" w:lineRule="auto"/>
              <w:ind w:left="0" w:firstLine="0"/>
              <w:jc w:val="center"/>
            </w:pPr>
            <w:r w:rsidRPr="00381945">
              <w:t>1264 (46.1%)</w:t>
            </w:r>
          </w:p>
        </w:tc>
      </w:tr>
      <w:tr w:rsidR="006A29FD" w:rsidRPr="006A29FD" w14:paraId="2133FB99" w14:textId="77777777" w:rsidTr="006A29FD">
        <w:tc>
          <w:tcPr>
            <w:tcW w:w="2942" w:type="dxa"/>
            <w:tcBorders>
              <w:bottom w:val="single" w:sz="4" w:space="0" w:color="auto"/>
            </w:tcBorders>
            <w:shd w:val="clear" w:color="auto" w:fill="auto"/>
            <w:vAlign w:val="center"/>
          </w:tcPr>
          <w:p w14:paraId="315E3BC6" w14:textId="77777777" w:rsidR="006A29FD" w:rsidRPr="00381945" w:rsidRDefault="006A29FD" w:rsidP="006A29FD">
            <w:pPr>
              <w:pStyle w:val="MDPI31text"/>
              <w:autoSpaceDE w:val="0"/>
              <w:autoSpaceDN w:val="0"/>
              <w:spacing w:line="240" w:lineRule="auto"/>
              <w:ind w:left="0" w:firstLine="0"/>
              <w:jc w:val="center"/>
            </w:pPr>
            <w:r w:rsidRPr="00381945">
              <w:t>Female</w:t>
            </w:r>
          </w:p>
        </w:tc>
        <w:tc>
          <w:tcPr>
            <w:tcW w:w="1638" w:type="dxa"/>
            <w:tcBorders>
              <w:bottom w:val="single" w:sz="4" w:space="0" w:color="auto"/>
            </w:tcBorders>
            <w:shd w:val="clear" w:color="auto" w:fill="auto"/>
            <w:vAlign w:val="center"/>
          </w:tcPr>
          <w:p w14:paraId="0727E317" w14:textId="77777777" w:rsidR="006A29FD" w:rsidRPr="00381945" w:rsidRDefault="006A29FD" w:rsidP="006A29FD">
            <w:pPr>
              <w:pStyle w:val="MDPI31text"/>
              <w:autoSpaceDE w:val="0"/>
              <w:autoSpaceDN w:val="0"/>
              <w:spacing w:line="240" w:lineRule="auto"/>
              <w:ind w:left="0" w:firstLine="0"/>
              <w:jc w:val="center"/>
            </w:pPr>
            <w:r w:rsidRPr="00381945">
              <w:t>2145 (53.1%)</w:t>
            </w:r>
          </w:p>
        </w:tc>
        <w:tc>
          <w:tcPr>
            <w:tcW w:w="1639" w:type="dxa"/>
            <w:tcBorders>
              <w:bottom w:val="single" w:sz="4" w:space="0" w:color="auto"/>
            </w:tcBorders>
            <w:shd w:val="clear" w:color="auto" w:fill="auto"/>
            <w:vAlign w:val="center"/>
          </w:tcPr>
          <w:p w14:paraId="203F99C3" w14:textId="77777777" w:rsidR="006A29FD" w:rsidRPr="00381945" w:rsidRDefault="006A29FD" w:rsidP="006A29FD">
            <w:pPr>
              <w:pStyle w:val="MDPI31text"/>
              <w:autoSpaceDE w:val="0"/>
              <w:autoSpaceDN w:val="0"/>
              <w:spacing w:line="240" w:lineRule="auto"/>
              <w:ind w:left="0" w:firstLine="0"/>
              <w:jc w:val="center"/>
            </w:pPr>
            <w:r w:rsidRPr="00381945">
              <w:t>671 (51.6%)</w:t>
            </w:r>
          </w:p>
        </w:tc>
        <w:tc>
          <w:tcPr>
            <w:tcW w:w="1638" w:type="dxa"/>
            <w:tcBorders>
              <w:bottom w:val="single" w:sz="4" w:space="0" w:color="auto"/>
            </w:tcBorders>
            <w:shd w:val="clear" w:color="auto" w:fill="auto"/>
            <w:vAlign w:val="center"/>
          </w:tcPr>
          <w:p w14:paraId="42FA8E5A" w14:textId="77777777" w:rsidR="006A29FD" w:rsidRPr="00381945" w:rsidRDefault="006A29FD" w:rsidP="006A29FD">
            <w:pPr>
              <w:pStyle w:val="MDPI31text"/>
              <w:autoSpaceDE w:val="0"/>
              <w:autoSpaceDN w:val="0"/>
              <w:spacing w:line="240" w:lineRule="auto"/>
              <w:ind w:left="0" w:firstLine="0"/>
              <w:jc w:val="center"/>
            </w:pPr>
            <w:r w:rsidRPr="00381945">
              <w:t>1475 (53.9%)</w:t>
            </w:r>
          </w:p>
        </w:tc>
      </w:tr>
      <w:tr w:rsidR="006A29FD" w:rsidRPr="006A29FD" w14:paraId="79BA8D76" w14:textId="77777777" w:rsidTr="006A29FD">
        <w:tc>
          <w:tcPr>
            <w:tcW w:w="7857" w:type="dxa"/>
            <w:gridSpan w:val="4"/>
            <w:tcBorders>
              <w:top w:val="single" w:sz="4" w:space="0" w:color="auto"/>
            </w:tcBorders>
            <w:shd w:val="clear" w:color="auto" w:fill="auto"/>
            <w:vAlign w:val="center"/>
          </w:tcPr>
          <w:p w14:paraId="6247DB72" w14:textId="77777777" w:rsidR="006A29FD" w:rsidRPr="00381945" w:rsidRDefault="006A29FD" w:rsidP="006A29FD">
            <w:pPr>
              <w:pStyle w:val="MDPI31text"/>
              <w:autoSpaceDE w:val="0"/>
              <w:autoSpaceDN w:val="0"/>
              <w:spacing w:line="240" w:lineRule="auto"/>
              <w:ind w:left="0" w:firstLine="0"/>
              <w:jc w:val="center"/>
            </w:pPr>
            <w:r w:rsidRPr="00381945">
              <w:rPr>
                <w:b/>
                <w:bCs/>
              </w:rPr>
              <w:t>Age</w:t>
            </w:r>
          </w:p>
        </w:tc>
      </w:tr>
      <w:tr w:rsidR="006A29FD" w:rsidRPr="006A29FD" w14:paraId="414C0865" w14:textId="77777777" w:rsidTr="006A29FD">
        <w:tc>
          <w:tcPr>
            <w:tcW w:w="2942" w:type="dxa"/>
            <w:shd w:val="clear" w:color="auto" w:fill="auto"/>
            <w:vAlign w:val="center"/>
          </w:tcPr>
          <w:p w14:paraId="04D1DB09" w14:textId="4BBFBED7" w:rsidR="006A29FD" w:rsidRPr="00381945" w:rsidRDefault="006A29FD" w:rsidP="006A29FD">
            <w:pPr>
              <w:pStyle w:val="MDPI31text"/>
              <w:autoSpaceDE w:val="0"/>
              <w:autoSpaceDN w:val="0"/>
              <w:spacing w:line="240" w:lineRule="auto"/>
              <w:ind w:left="0" w:firstLine="0"/>
              <w:jc w:val="center"/>
            </w:pPr>
            <w:r w:rsidRPr="00381945">
              <w:t>65 to &lt;85 years old</w:t>
            </w:r>
          </w:p>
        </w:tc>
        <w:tc>
          <w:tcPr>
            <w:tcW w:w="1638" w:type="dxa"/>
            <w:shd w:val="clear" w:color="auto" w:fill="auto"/>
            <w:vAlign w:val="center"/>
          </w:tcPr>
          <w:p w14:paraId="01CCA2CB" w14:textId="77777777" w:rsidR="006A29FD" w:rsidRPr="00381945" w:rsidRDefault="006A29FD" w:rsidP="006A29FD">
            <w:pPr>
              <w:pStyle w:val="MDPI31text"/>
              <w:autoSpaceDE w:val="0"/>
              <w:autoSpaceDN w:val="0"/>
              <w:spacing w:line="240" w:lineRule="auto"/>
              <w:ind w:left="0" w:firstLine="0"/>
              <w:jc w:val="center"/>
            </w:pPr>
            <w:r w:rsidRPr="00381945">
              <w:t>3699 (91.6%)</w:t>
            </w:r>
          </w:p>
        </w:tc>
        <w:tc>
          <w:tcPr>
            <w:tcW w:w="1639" w:type="dxa"/>
            <w:shd w:val="clear" w:color="auto" w:fill="auto"/>
            <w:vAlign w:val="center"/>
          </w:tcPr>
          <w:p w14:paraId="228DF3E7" w14:textId="77777777" w:rsidR="006A29FD" w:rsidRPr="00381945" w:rsidRDefault="006A29FD" w:rsidP="006A29FD">
            <w:pPr>
              <w:pStyle w:val="MDPI31text"/>
              <w:autoSpaceDE w:val="0"/>
              <w:autoSpaceDN w:val="0"/>
              <w:spacing w:line="240" w:lineRule="auto"/>
              <w:ind w:left="0" w:firstLine="0"/>
              <w:jc w:val="center"/>
            </w:pPr>
            <w:r w:rsidRPr="00381945">
              <w:t>1235 (94.9%)</w:t>
            </w:r>
          </w:p>
        </w:tc>
        <w:tc>
          <w:tcPr>
            <w:tcW w:w="1638" w:type="dxa"/>
            <w:shd w:val="clear" w:color="auto" w:fill="auto"/>
            <w:vAlign w:val="center"/>
          </w:tcPr>
          <w:p w14:paraId="3AD2BA90" w14:textId="77777777" w:rsidR="006A29FD" w:rsidRPr="00381945" w:rsidRDefault="006A29FD" w:rsidP="006A29FD">
            <w:pPr>
              <w:pStyle w:val="MDPI31text"/>
              <w:autoSpaceDE w:val="0"/>
              <w:autoSpaceDN w:val="0"/>
              <w:spacing w:line="240" w:lineRule="auto"/>
              <w:ind w:left="0" w:firstLine="0"/>
              <w:jc w:val="center"/>
            </w:pPr>
            <w:r w:rsidRPr="00381945">
              <w:t>2464 (90.0%)</w:t>
            </w:r>
          </w:p>
        </w:tc>
      </w:tr>
      <w:tr w:rsidR="006A29FD" w:rsidRPr="006A29FD" w14:paraId="3E4D3C8F" w14:textId="77777777" w:rsidTr="006A29FD">
        <w:tc>
          <w:tcPr>
            <w:tcW w:w="2942" w:type="dxa"/>
            <w:tcBorders>
              <w:bottom w:val="single" w:sz="4" w:space="0" w:color="auto"/>
            </w:tcBorders>
            <w:shd w:val="clear" w:color="auto" w:fill="auto"/>
            <w:vAlign w:val="center"/>
          </w:tcPr>
          <w:p w14:paraId="1CEADB9E" w14:textId="77777777" w:rsidR="006A29FD" w:rsidRPr="00381945" w:rsidRDefault="006A29FD" w:rsidP="006A29FD">
            <w:pPr>
              <w:pStyle w:val="MDPI31text"/>
              <w:autoSpaceDE w:val="0"/>
              <w:autoSpaceDN w:val="0"/>
              <w:spacing w:line="240" w:lineRule="auto"/>
              <w:ind w:left="0" w:firstLine="0"/>
              <w:jc w:val="center"/>
            </w:pPr>
            <w:r w:rsidRPr="00381945">
              <w:t>85 years and older</w:t>
            </w:r>
          </w:p>
        </w:tc>
        <w:tc>
          <w:tcPr>
            <w:tcW w:w="1638" w:type="dxa"/>
            <w:tcBorders>
              <w:bottom w:val="single" w:sz="4" w:space="0" w:color="auto"/>
            </w:tcBorders>
            <w:shd w:val="clear" w:color="auto" w:fill="auto"/>
            <w:vAlign w:val="center"/>
          </w:tcPr>
          <w:p w14:paraId="78F7F677" w14:textId="77777777" w:rsidR="006A29FD" w:rsidRPr="00381945" w:rsidRDefault="006A29FD" w:rsidP="006A29FD">
            <w:pPr>
              <w:pStyle w:val="MDPI31text"/>
              <w:autoSpaceDE w:val="0"/>
              <w:autoSpaceDN w:val="0"/>
              <w:spacing w:line="240" w:lineRule="auto"/>
              <w:ind w:left="0" w:firstLine="0"/>
              <w:jc w:val="center"/>
            </w:pPr>
            <w:r w:rsidRPr="00381945">
              <w:t>341 (8.4%)</w:t>
            </w:r>
          </w:p>
        </w:tc>
        <w:tc>
          <w:tcPr>
            <w:tcW w:w="1639" w:type="dxa"/>
            <w:tcBorders>
              <w:bottom w:val="single" w:sz="4" w:space="0" w:color="auto"/>
            </w:tcBorders>
            <w:shd w:val="clear" w:color="auto" w:fill="auto"/>
            <w:vAlign w:val="center"/>
          </w:tcPr>
          <w:p w14:paraId="5BB72AAA" w14:textId="77777777" w:rsidR="006A29FD" w:rsidRPr="00381945" w:rsidRDefault="006A29FD" w:rsidP="006A29FD">
            <w:pPr>
              <w:pStyle w:val="MDPI31text"/>
              <w:autoSpaceDE w:val="0"/>
              <w:autoSpaceDN w:val="0"/>
              <w:spacing w:line="240" w:lineRule="auto"/>
              <w:ind w:left="0" w:firstLine="0"/>
              <w:jc w:val="center"/>
            </w:pPr>
            <w:r w:rsidRPr="00381945">
              <w:t>66 (5.1%)</w:t>
            </w:r>
          </w:p>
        </w:tc>
        <w:tc>
          <w:tcPr>
            <w:tcW w:w="1638" w:type="dxa"/>
            <w:tcBorders>
              <w:bottom w:val="single" w:sz="4" w:space="0" w:color="auto"/>
            </w:tcBorders>
            <w:shd w:val="clear" w:color="auto" w:fill="auto"/>
            <w:vAlign w:val="center"/>
          </w:tcPr>
          <w:p w14:paraId="1CECAA48" w14:textId="77777777" w:rsidR="006A29FD" w:rsidRPr="00381945" w:rsidRDefault="006A29FD" w:rsidP="006A29FD">
            <w:pPr>
              <w:pStyle w:val="MDPI31text"/>
              <w:autoSpaceDE w:val="0"/>
              <w:autoSpaceDN w:val="0"/>
              <w:spacing w:line="240" w:lineRule="auto"/>
              <w:ind w:left="0" w:firstLine="0"/>
              <w:jc w:val="center"/>
            </w:pPr>
            <w:r w:rsidRPr="00381945">
              <w:t>275 (10.0%)</w:t>
            </w:r>
          </w:p>
        </w:tc>
      </w:tr>
      <w:tr w:rsidR="006A29FD" w:rsidRPr="006A29FD" w14:paraId="0F561ED2" w14:textId="77777777" w:rsidTr="006A29FD">
        <w:tc>
          <w:tcPr>
            <w:tcW w:w="2942" w:type="dxa"/>
            <w:tcBorders>
              <w:top w:val="single" w:sz="4" w:space="0" w:color="auto"/>
            </w:tcBorders>
            <w:shd w:val="clear" w:color="auto" w:fill="auto"/>
            <w:vAlign w:val="center"/>
          </w:tcPr>
          <w:p w14:paraId="341920D4" w14:textId="77777777" w:rsidR="006A29FD" w:rsidRPr="00381945" w:rsidRDefault="006A29FD" w:rsidP="006A29FD">
            <w:pPr>
              <w:pStyle w:val="MDPI31text"/>
              <w:autoSpaceDE w:val="0"/>
              <w:autoSpaceDN w:val="0"/>
              <w:spacing w:line="240" w:lineRule="auto"/>
              <w:ind w:left="0" w:firstLine="0"/>
              <w:jc w:val="center"/>
            </w:pPr>
          </w:p>
        </w:tc>
        <w:tc>
          <w:tcPr>
            <w:tcW w:w="1638" w:type="dxa"/>
            <w:tcBorders>
              <w:top w:val="single" w:sz="4" w:space="0" w:color="auto"/>
            </w:tcBorders>
            <w:shd w:val="clear" w:color="auto" w:fill="auto"/>
            <w:vAlign w:val="center"/>
          </w:tcPr>
          <w:p w14:paraId="430D278D" w14:textId="77777777" w:rsidR="006A29FD" w:rsidRPr="00381945" w:rsidRDefault="006A29FD" w:rsidP="006A29FD">
            <w:pPr>
              <w:pStyle w:val="MDPI31text"/>
              <w:autoSpaceDE w:val="0"/>
              <w:autoSpaceDN w:val="0"/>
              <w:spacing w:line="240" w:lineRule="auto"/>
              <w:ind w:left="0" w:firstLine="0"/>
              <w:jc w:val="center"/>
            </w:pPr>
            <w:r w:rsidRPr="00381945">
              <w:rPr>
                <w:b/>
                <w:bCs/>
              </w:rPr>
              <w:t>Smoking Status</w:t>
            </w:r>
          </w:p>
        </w:tc>
        <w:tc>
          <w:tcPr>
            <w:tcW w:w="1639" w:type="dxa"/>
            <w:tcBorders>
              <w:top w:val="single" w:sz="4" w:space="0" w:color="auto"/>
            </w:tcBorders>
            <w:shd w:val="clear" w:color="auto" w:fill="auto"/>
            <w:vAlign w:val="center"/>
          </w:tcPr>
          <w:p w14:paraId="6AB33173" w14:textId="77777777" w:rsidR="006A29FD" w:rsidRPr="00381945" w:rsidRDefault="006A29FD" w:rsidP="006A29FD">
            <w:pPr>
              <w:pStyle w:val="MDPI31text"/>
              <w:autoSpaceDE w:val="0"/>
              <w:autoSpaceDN w:val="0"/>
              <w:spacing w:line="240" w:lineRule="auto"/>
              <w:ind w:left="0" w:firstLine="0"/>
              <w:jc w:val="center"/>
            </w:pPr>
          </w:p>
        </w:tc>
        <w:tc>
          <w:tcPr>
            <w:tcW w:w="1638" w:type="dxa"/>
            <w:tcBorders>
              <w:top w:val="single" w:sz="4" w:space="0" w:color="auto"/>
            </w:tcBorders>
            <w:shd w:val="clear" w:color="auto" w:fill="auto"/>
            <w:vAlign w:val="center"/>
          </w:tcPr>
          <w:p w14:paraId="777CF1D3" w14:textId="77777777" w:rsidR="006A29FD" w:rsidRPr="00381945" w:rsidRDefault="006A29FD" w:rsidP="006A29FD">
            <w:pPr>
              <w:pStyle w:val="MDPI31text"/>
              <w:autoSpaceDE w:val="0"/>
              <w:autoSpaceDN w:val="0"/>
              <w:spacing w:line="240" w:lineRule="auto"/>
              <w:ind w:left="0" w:firstLine="0"/>
              <w:jc w:val="center"/>
            </w:pPr>
          </w:p>
        </w:tc>
      </w:tr>
      <w:tr w:rsidR="006A29FD" w:rsidRPr="006A29FD" w14:paraId="1350C067" w14:textId="77777777" w:rsidTr="006A29FD">
        <w:tc>
          <w:tcPr>
            <w:tcW w:w="2942" w:type="dxa"/>
            <w:shd w:val="clear" w:color="auto" w:fill="auto"/>
            <w:vAlign w:val="center"/>
          </w:tcPr>
          <w:p w14:paraId="75E918CE" w14:textId="77777777" w:rsidR="006A29FD" w:rsidRPr="00381945" w:rsidRDefault="006A29FD" w:rsidP="006A29FD">
            <w:pPr>
              <w:pStyle w:val="MDPI31text"/>
              <w:autoSpaceDE w:val="0"/>
              <w:autoSpaceDN w:val="0"/>
              <w:spacing w:line="240" w:lineRule="auto"/>
              <w:ind w:left="0" w:firstLine="0"/>
              <w:jc w:val="center"/>
            </w:pPr>
            <w:r w:rsidRPr="00381945">
              <w:t>Current</w:t>
            </w:r>
          </w:p>
        </w:tc>
        <w:tc>
          <w:tcPr>
            <w:tcW w:w="1638" w:type="dxa"/>
            <w:shd w:val="clear" w:color="auto" w:fill="auto"/>
            <w:vAlign w:val="center"/>
          </w:tcPr>
          <w:p w14:paraId="0A6991B9" w14:textId="77777777" w:rsidR="006A29FD" w:rsidRPr="00381945" w:rsidRDefault="006A29FD" w:rsidP="006A29FD">
            <w:pPr>
              <w:pStyle w:val="MDPI31text"/>
              <w:autoSpaceDE w:val="0"/>
              <w:autoSpaceDN w:val="0"/>
              <w:spacing w:line="240" w:lineRule="auto"/>
              <w:ind w:left="0" w:firstLine="0"/>
              <w:jc w:val="center"/>
            </w:pPr>
            <w:r w:rsidRPr="00381945">
              <w:t>524 (13.0%)</w:t>
            </w:r>
          </w:p>
        </w:tc>
        <w:tc>
          <w:tcPr>
            <w:tcW w:w="1639" w:type="dxa"/>
            <w:shd w:val="clear" w:color="auto" w:fill="auto"/>
            <w:vAlign w:val="center"/>
          </w:tcPr>
          <w:p w14:paraId="0F08157D" w14:textId="77777777" w:rsidR="006A29FD" w:rsidRPr="00381945" w:rsidRDefault="006A29FD" w:rsidP="006A29FD">
            <w:pPr>
              <w:pStyle w:val="MDPI31text"/>
              <w:autoSpaceDE w:val="0"/>
              <w:autoSpaceDN w:val="0"/>
              <w:spacing w:line="240" w:lineRule="auto"/>
              <w:ind w:left="0" w:firstLine="0"/>
              <w:jc w:val="center"/>
            </w:pPr>
            <w:r w:rsidRPr="00381945">
              <w:t>191 (14.7%)</w:t>
            </w:r>
          </w:p>
        </w:tc>
        <w:tc>
          <w:tcPr>
            <w:tcW w:w="1638" w:type="dxa"/>
            <w:shd w:val="clear" w:color="auto" w:fill="auto"/>
            <w:vAlign w:val="center"/>
          </w:tcPr>
          <w:p w14:paraId="442D277D" w14:textId="77777777" w:rsidR="006A29FD" w:rsidRPr="00381945" w:rsidRDefault="006A29FD" w:rsidP="006A29FD">
            <w:pPr>
              <w:pStyle w:val="MDPI31text"/>
              <w:autoSpaceDE w:val="0"/>
              <w:autoSpaceDN w:val="0"/>
              <w:spacing w:line="240" w:lineRule="auto"/>
              <w:ind w:left="0" w:firstLine="0"/>
              <w:jc w:val="center"/>
            </w:pPr>
            <w:r w:rsidRPr="00381945">
              <w:t>333 (12.2%)</w:t>
            </w:r>
          </w:p>
        </w:tc>
      </w:tr>
      <w:tr w:rsidR="006A29FD" w:rsidRPr="006A29FD" w14:paraId="08997612" w14:textId="77777777" w:rsidTr="006A29FD">
        <w:tc>
          <w:tcPr>
            <w:tcW w:w="2942" w:type="dxa"/>
            <w:shd w:val="clear" w:color="auto" w:fill="auto"/>
            <w:vAlign w:val="center"/>
          </w:tcPr>
          <w:p w14:paraId="1BF1E8AA" w14:textId="77777777" w:rsidR="006A29FD" w:rsidRPr="00381945" w:rsidRDefault="006A29FD" w:rsidP="006A29FD">
            <w:pPr>
              <w:pStyle w:val="MDPI31text"/>
              <w:autoSpaceDE w:val="0"/>
              <w:autoSpaceDN w:val="0"/>
              <w:spacing w:line="240" w:lineRule="auto"/>
              <w:ind w:left="0" w:firstLine="0"/>
              <w:jc w:val="center"/>
            </w:pPr>
            <w:r w:rsidRPr="00381945">
              <w:t>Ex</w:t>
            </w:r>
          </w:p>
        </w:tc>
        <w:tc>
          <w:tcPr>
            <w:tcW w:w="1638" w:type="dxa"/>
            <w:shd w:val="clear" w:color="auto" w:fill="auto"/>
            <w:vAlign w:val="center"/>
          </w:tcPr>
          <w:p w14:paraId="2A7792E8" w14:textId="77777777" w:rsidR="006A29FD" w:rsidRPr="00381945" w:rsidRDefault="006A29FD" w:rsidP="006A29FD">
            <w:pPr>
              <w:pStyle w:val="MDPI31text"/>
              <w:autoSpaceDE w:val="0"/>
              <w:autoSpaceDN w:val="0"/>
              <w:spacing w:line="240" w:lineRule="auto"/>
              <w:ind w:left="0" w:firstLine="0"/>
              <w:jc w:val="center"/>
            </w:pPr>
            <w:r w:rsidRPr="00381945">
              <w:t>1546 (38.3%)</w:t>
            </w:r>
          </w:p>
        </w:tc>
        <w:tc>
          <w:tcPr>
            <w:tcW w:w="1639" w:type="dxa"/>
            <w:shd w:val="clear" w:color="auto" w:fill="auto"/>
            <w:vAlign w:val="center"/>
          </w:tcPr>
          <w:p w14:paraId="484B9D41" w14:textId="77777777" w:rsidR="006A29FD" w:rsidRPr="00381945" w:rsidRDefault="006A29FD" w:rsidP="006A29FD">
            <w:pPr>
              <w:pStyle w:val="MDPI31text"/>
              <w:autoSpaceDE w:val="0"/>
              <w:autoSpaceDN w:val="0"/>
              <w:spacing w:line="240" w:lineRule="auto"/>
              <w:ind w:left="0" w:firstLine="0"/>
              <w:jc w:val="center"/>
            </w:pPr>
            <w:r w:rsidRPr="00381945">
              <w:t>529 (40.7%)</w:t>
            </w:r>
          </w:p>
        </w:tc>
        <w:tc>
          <w:tcPr>
            <w:tcW w:w="1638" w:type="dxa"/>
            <w:shd w:val="clear" w:color="auto" w:fill="auto"/>
            <w:vAlign w:val="center"/>
          </w:tcPr>
          <w:p w14:paraId="17DCB1B0" w14:textId="77777777" w:rsidR="006A29FD" w:rsidRPr="00381945" w:rsidRDefault="006A29FD" w:rsidP="006A29FD">
            <w:pPr>
              <w:pStyle w:val="MDPI31text"/>
              <w:autoSpaceDE w:val="0"/>
              <w:autoSpaceDN w:val="0"/>
              <w:spacing w:line="240" w:lineRule="auto"/>
              <w:ind w:left="0" w:firstLine="0"/>
              <w:jc w:val="center"/>
            </w:pPr>
            <w:r w:rsidRPr="00381945">
              <w:t>1017 (37,1%)</w:t>
            </w:r>
          </w:p>
        </w:tc>
      </w:tr>
      <w:tr w:rsidR="006A29FD" w:rsidRPr="006A29FD" w14:paraId="27180F79" w14:textId="77777777" w:rsidTr="006A29FD">
        <w:tc>
          <w:tcPr>
            <w:tcW w:w="2942" w:type="dxa"/>
            <w:shd w:val="clear" w:color="auto" w:fill="auto"/>
            <w:vAlign w:val="center"/>
          </w:tcPr>
          <w:p w14:paraId="02534ECF" w14:textId="77777777" w:rsidR="006A29FD" w:rsidRPr="00381945" w:rsidRDefault="006A29FD" w:rsidP="006A29FD">
            <w:pPr>
              <w:pStyle w:val="MDPI31text"/>
              <w:autoSpaceDE w:val="0"/>
              <w:autoSpaceDN w:val="0"/>
              <w:spacing w:line="240" w:lineRule="auto"/>
              <w:ind w:left="0" w:firstLine="0"/>
              <w:jc w:val="center"/>
            </w:pPr>
            <w:r w:rsidRPr="00381945">
              <w:t>Never</w:t>
            </w:r>
          </w:p>
        </w:tc>
        <w:tc>
          <w:tcPr>
            <w:tcW w:w="1638" w:type="dxa"/>
            <w:shd w:val="clear" w:color="auto" w:fill="auto"/>
            <w:vAlign w:val="center"/>
          </w:tcPr>
          <w:p w14:paraId="51030C80" w14:textId="77777777" w:rsidR="006A29FD" w:rsidRPr="00381945" w:rsidRDefault="006A29FD" w:rsidP="006A29FD">
            <w:pPr>
              <w:pStyle w:val="MDPI31text"/>
              <w:autoSpaceDE w:val="0"/>
              <w:autoSpaceDN w:val="0"/>
              <w:spacing w:line="240" w:lineRule="auto"/>
              <w:ind w:left="0" w:firstLine="0"/>
              <w:jc w:val="center"/>
            </w:pPr>
            <w:r w:rsidRPr="00381945">
              <w:t>1964 (48.6%)</w:t>
            </w:r>
          </w:p>
        </w:tc>
        <w:tc>
          <w:tcPr>
            <w:tcW w:w="1639" w:type="dxa"/>
            <w:shd w:val="clear" w:color="auto" w:fill="auto"/>
            <w:vAlign w:val="center"/>
          </w:tcPr>
          <w:p w14:paraId="7D037845" w14:textId="77777777" w:rsidR="006A29FD" w:rsidRPr="00381945" w:rsidRDefault="006A29FD" w:rsidP="006A29FD">
            <w:pPr>
              <w:pStyle w:val="MDPI31text"/>
              <w:autoSpaceDE w:val="0"/>
              <w:autoSpaceDN w:val="0"/>
              <w:spacing w:line="240" w:lineRule="auto"/>
              <w:ind w:left="0" w:firstLine="0"/>
              <w:jc w:val="center"/>
            </w:pPr>
            <w:r w:rsidRPr="00381945">
              <w:t>580 (44.6%)</w:t>
            </w:r>
          </w:p>
        </w:tc>
        <w:tc>
          <w:tcPr>
            <w:tcW w:w="1638" w:type="dxa"/>
            <w:shd w:val="clear" w:color="auto" w:fill="auto"/>
            <w:vAlign w:val="center"/>
          </w:tcPr>
          <w:p w14:paraId="0929E3E2" w14:textId="77777777" w:rsidR="006A29FD" w:rsidRPr="00381945" w:rsidRDefault="006A29FD" w:rsidP="006A29FD">
            <w:pPr>
              <w:pStyle w:val="MDPI31text"/>
              <w:autoSpaceDE w:val="0"/>
              <w:autoSpaceDN w:val="0"/>
              <w:spacing w:line="240" w:lineRule="auto"/>
              <w:ind w:left="0" w:firstLine="0"/>
              <w:jc w:val="center"/>
            </w:pPr>
            <w:r w:rsidRPr="00381945">
              <w:t>1384 (50.5%)</w:t>
            </w:r>
          </w:p>
        </w:tc>
      </w:tr>
      <w:tr w:rsidR="006A29FD" w:rsidRPr="006A29FD" w14:paraId="2240A16A" w14:textId="77777777" w:rsidTr="006A29FD">
        <w:tc>
          <w:tcPr>
            <w:tcW w:w="2942" w:type="dxa"/>
            <w:tcBorders>
              <w:bottom w:val="single" w:sz="4" w:space="0" w:color="auto"/>
            </w:tcBorders>
            <w:shd w:val="clear" w:color="auto" w:fill="auto"/>
            <w:vAlign w:val="center"/>
          </w:tcPr>
          <w:p w14:paraId="61165B8A" w14:textId="77777777" w:rsidR="006A29FD" w:rsidRPr="00381945" w:rsidRDefault="006A29FD" w:rsidP="006A29FD">
            <w:pPr>
              <w:pStyle w:val="MDPI31text"/>
              <w:autoSpaceDE w:val="0"/>
              <w:autoSpaceDN w:val="0"/>
              <w:spacing w:line="240" w:lineRule="auto"/>
              <w:ind w:left="0" w:firstLine="0"/>
              <w:jc w:val="center"/>
            </w:pPr>
            <w:r w:rsidRPr="00381945">
              <w:t>Refused</w:t>
            </w:r>
          </w:p>
        </w:tc>
        <w:tc>
          <w:tcPr>
            <w:tcW w:w="1638" w:type="dxa"/>
            <w:tcBorders>
              <w:bottom w:val="single" w:sz="4" w:space="0" w:color="auto"/>
            </w:tcBorders>
            <w:shd w:val="clear" w:color="auto" w:fill="auto"/>
            <w:vAlign w:val="center"/>
          </w:tcPr>
          <w:p w14:paraId="31C29B05" w14:textId="77777777" w:rsidR="006A29FD" w:rsidRPr="00381945" w:rsidRDefault="006A29FD" w:rsidP="006A29FD">
            <w:pPr>
              <w:pStyle w:val="MDPI31text"/>
              <w:autoSpaceDE w:val="0"/>
              <w:autoSpaceDN w:val="0"/>
              <w:spacing w:line="240" w:lineRule="auto"/>
              <w:ind w:left="0" w:firstLine="0"/>
              <w:jc w:val="center"/>
            </w:pPr>
            <w:r w:rsidRPr="00381945">
              <w:t>6 (0.1%)</w:t>
            </w:r>
          </w:p>
        </w:tc>
        <w:tc>
          <w:tcPr>
            <w:tcW w:w="1639" w:type="dxa"/>
            <w:tcBorders>
              <w:bottom w:val="single" w:sz="4" w:space="0" w:color="auto"/>
            </w:tcBorders>
            <w:shd w:val="clear" w:color="auto" w:fill="auto"/>
            <w:vAlign w:val="center"/>
          </w:tcPr>
          <w:p w14:paraId="11C1D926" w14:textId="77777777" w:rsidR="006A29FD" w:rsidRPr="00381945" w:rsidRDefault="006A29FD" w:rsidP="006A29FD">
            <w:pPr>
              <w:pStyle w:val="MDPI31text"/>
              <w:autoSpaceDE w:val="0"/>
              <w:autoSpaceDN w:val="0"/>
              <w:spacing w:line="240" w:lineRule="auto"/>
              <w:ind w:left="0" w:firstLine="0"/>
              <w:jc w:val="center"/>
            </w:pPr>
            <w:r w:rsidRPr="00381945">
              <w:t>1 (0.1%)</w:t>
            </w:r>
          </w:p>
        </w:tc>
        <w:tc>
          <w:tcPr>
            <w:tcW w:w="1638" w:type="dxa"/>
            <w:tcBorders>
              <w:bottom w:val="single" w:sz="4" w:space="0" w:color="auto"/>
            </w:tcBorders>
            <w:shd w:val="clear" w:color="auto" w:fill="auto"/>
            <w:vAlign w:val="center"/>
          </w:tcPr>
          <w:p w14:paraId="54B44179" w14:textId="77777777" w:rsidR="006A29FD" w:rsidRPr="00381945" w:rsidRDefault="006A29FD" w:rsidP="006A29FD">
            <w:pPr>
              <w:pStyle w:val="MDPI31text"/>
              <w:autoSpaceDE w:val="0"/>
              <w:autoSpaceDN w:val="0"/>
              <w:spacing w:line="240" w:lineRule="auto"/>
              <w:ind w:left="0" w:firstLine="0"/>
              <w:jc w:val="center"/>
            </w:pPr>
            <w:r w:rsidRPr="00381945">
              <w:t>5 (0.2%)</w:t>
            </w:r>
          </w:p>
        </w:tc>
      </w:tr>
      <w:tr w:rsidR="006A29FD" w:rsidRPr="006A29FD" w14:paraId="2FFA280D" w14:textId="77777777" w:rsidTr="006A29FD">
        <w:tc>
          <w:tcPr>
            <w:tcW w:w="2942" w:type="dxa"/>
            <w:tcBorders>
              <w:top w:val="single" w:sz="4" w:space="0" w:color="auto"/>
            </w:tcBorders>
            <w:shd w:val="clear" w:color="auto" w:fill="auto"/>
            <w:vAlign w:val="center"/>
          </w:tcPr>
          <w:p w14:paraId="247D2CE9" w14:textId="77777777" w:rsidR="006A29FD" w:rsidRPr="00381945" w:rsidRDefault="006A29FD" w:rsidP="006A29FD">
            <w:pPr>
              <w:pStyle w:val="MDPI31text"/>
              <w:autoSpaceDE w:val="0"/>
              <w:autoSpaceDN w:val="0"/>
              <w:spacing w:line="240" w:lineRule="auto"/>
              <w:ind w:left="0" w:firstLine="0"/>
              <w:jc w:val="center"/>
            </w:pPr>
          </w:p>
        </w:tc>
        <w:tc>
          <w:tcPr>
            <w:tcW w:w="1638" w:type="dxa"/>
            <w:tcBorders>
              <w:top w:val="single" w:sz="4" w:space="0" w:color="auto"/>
            </w:tcBorders>
            <w:shd w:val="clear" w:color="auto" w:fill="auto"/>
            <w:vAlign w:val="center"/>
          </w:tcPr>
          <w:p w14:paraId="7130B278" w14:textId="77777777" w:rsidR="006A29FD" w:rsidRPr="00381945" w:rsidRDefault="006A29FD" w:rsidP="006A29FD">
            <w:pPr>
              <w:pStyle w:val="MDPI31text"/>
              <w:autoSpaceDE w:val="0"/>
              <w:autoSpaceDN w:val="0"/>
              <w:spacing w:line="240" w:lineRule="auto"/>
              <w:ind w:left="0" w:firstLine="0"/>
              <w:jc w:val="center"/>
            </w:pPr>
            <w:r w:rsidRPr="00381945">
              <w:rPr>
                <w:b/>
                <w:bCs/>
              </w:rPr>
              <w:t>Drinking Status</w:t>
            </w:r>
          </w:p>
        </w:tc>
        <w:tc>
          <w:tcPr>
            <w:tcW w:w="1639" w:type="dxa"/>
            <w:tcBorders>
              <w:top w:val="single" w:sz="4" w:space="0" w:color="auto"/>
            </w:tcBorders>
            <w:shd w:val="clear" w:color="auto" w:fill="auto"/>
            <w:vAlign w:val="center"/>
          </w:tcPr>
          <w:p w14:paraId="743B9EE6" w14:textId="77777777" w:rsidR="006A29FD" w:rsidRPr="00381945" w:rsidRDefault="006A29FD" w:rsidP="006A29FD">
            <w:pPr>
              <w:pStyle w:val="MDPI31text"/>
              <w:autoSpaceDE w:val="0"/>
              <w:autoSpaceDN w:val="0"/>
              <w:spacing w:line="240" w:lineRule="auto"/>
              <w:ind w:left="0" w:firstLine="0"/>
              <w:jc w:val="center"/>
            </w:pPr>
          </w:p>
        </w:tc>
        <w:tc>
          <w:tcPr>
            <w:tcW w:w="1638" w:type="dxa"/>
            <w:tcBorders>
              <w:top w:val="single" w:sz="4" w:space="0" w:color="auto"/>
            </w:tcBorders>
            <w:shd w:val="clear" w:color="auto" w:fill="auto"/>
            <w:vAlign w:val="center"/>
          </w:tcPr>
          <w:p w14:paraId="2E4BE0C1" w14:textId="77777777" w:rsidR="006A29FD" w:rsidRPr="00381945" w:rsidRDefault="006A29FD" w:rsidP="006A29FD">
            <w:pPr>
              <w:pStyle w:val="MDPI31text"/>
              <w:autoSpaceDE w:val="0"/>
              <w:autoSpaceDN w:val="0"/>
              <w:spacing w:line="240" w:lineRule="auto"/>
              <w:ind w:left="0" w:firstLine="0"/>
              <w:jc w:val="center"/>
            </w:pPr>
          </w:p>
        </w:tc>
      </w:tr>
      <w:tr w:rsidR="006A29FD" w:rsidRPr="006A29FD" w14:paraId="26D79947" w14:textId="77777777" w:rsidTr="006A29FD">
        <w:tc>
          <w:tcPr>
            <w:tcW w:w="2942" w:type="dxa"/>
            <w:shd w:val="clear" w:color="auto" w:fill="auto"/>
            <w:vAlign w:val="center"/>
          </w:tcPr>
          <w:p w14:paraId="2ADF4FB1" w14:textId="77777777" w:rsidR="006A29FD" w:rsidRPr="00381945" w:rsidRDefault="006A29FD" w:rsidP="006A29FD">
            <w:pPr>
              <w:pStyle w:val="MDPI31text"/>
              <w:autoSpaceDE w:val="0"/>
              <w:autoSpaceDN w:val="0"/>
              <w:spacing w:line="240" w:lineRule="auto"/>
              <w:ind w:left="0" w:firstLine="0"/>
              <w:jc w:val="center"/>
            </w:pPr>
            <w:r w:rsidRPr="00381945">
              <w:t>Current</w:t>
            </w:r>
          </w:p>
        </w:tc>
        <w:tc>
          <w:tcPr>
            <w:tcW w:w="1638" w:type="dxa"/>
            <w:shd w:val="clear" w:color="auto" w:fill="auto"/>
            <w:vAlign w:val="center"/>
          </w:tcPr>
          <w:p w14:paraId="54011264" w14:textId="77777777" w:rsidR="006A29FD" w:rsidRPr="00381945" w:rsidRDefault="006A29FD" w:rsidP="006A29FD">
            <w:pPr>
              <w:pStyle w:val="MDPI31text"/>
              <w:autoSpaceDE w:val="0"/>
              <w:autoSpaceDN w:val="0"/>
              <w:spacing w:line="240" w:lineRule="auto"/>
              <w:ind w:left="0" w:firstLine="0"/>
              <w:jc w:val="center"/>
            </w:pPr>
            <w:r w:rsidRPr="00381945">
              <w:t>2038 (50.4%)</w:t>
            </w:r>
          </w:p>
        </w:tc>
        <w:tc>
          <w:tcPr>
            <w:tcW w:w="1639" w:type="dxa"/>
            <w:shd w:val="clear" w:color="auto" w:fill="auto"/>
            <w:vAlign w:val="center"/>
          </w:tcPr>
          <w:p w14:paraId="482B5F0B" w14:textId="77777777" w:rsidR="006A29FD" w:rsidRPr="00381945" w:rsidRDefault="006A29FD" w:rsidP="006A29FD">
            <w:pPr>
              <w:pStyle w:val="MDPI31text"/>
              <w:autoSpaceDE w:val="0"/>
              <w:autoSpaceDN w:val="0"/>
              <w:spacing w:line="240" w:lineRule="auto"/>
              <w:ind w:left="0" w:firstLine="0"/>
              <w:jc w:val="center"/>
            </w:pPr>
            <w:r w:rsidRPr="00381945">
              <w:t>693 (53.3%)</w:t>
            </w:r>
          </w:p>
        </w:tc>
        <w:tc>
          <w:tcPr>
            <w:tcW w:w="1638" w:type="dxa"/>
            <w:shd w:val="clear" w:color="auto" w:fill="auto"/>
            <w:vAlign w:val="center"/>
          </w:tcPr>
          <w:p w14:paraId="42EA053C" w14:textId="77777777" w:rsidR="006A29FD" w:rsidRPr="00381945" w:rsidRDefault="006A29FD" w:rsidP="006A29FD">
            <w:pPr>
              <w:pStyle w:val="MDPI31text"/>
              <w:autoSpaceDE w:val="0"/>
              <w:autoSpaceDN w:val="0"/>
              <w:spacing w:line="240" w:lineRule="auto"/>
              <w:ind w:left="0" w:firstLine="0"/>
              <w:jc w:val="center"/>
            </w:pPr>
            <w:r w:rsidRPr="00381945">
              <w:t>1345 (49.1%)</w:t>
            </w:r>
          </w:p>
        </w:tc>
      </w:tr>
      <w:tr w:rsidR="006A29FD" w:rsidRPr="006A29FD" w14:paraId="3AC13416" w14:textId="77777777" w:rsidTr="006A29FD">
        <w:tc>
          <w:tcPr>
            <w:tcW w:w="2942" w:type="dxa"/>
            <w:shd w:val="clear" w:color="auto" w:fill="auto"/>
            <w:vAlign w:val="center"/>
          </w:tcPr>
          <w:p w14:paraId="38200166" w14:textId="77777777" w:rsidR="006A29FD" w:rsidRPr="00381945" w:rsidRDefault="006A29FD" w:rsidP="006A29FD">
            <w:pPr>
              <w:pStyle w:val="MDPI31text"/>
              <w:autoSpaceDE w:val="0"/>
              <w:autoSpaceDN w:val="0"/>
              <w:spacing w:line="240" w:lineRule="auto"/>
              <w:ind w:left="0" w:firstLine="0"/>
              <w:jc w:val="center"/>
            </w:pPr>
            <w:r w:rsidRPr="00381945">
              <w:t>Ex</w:t>
            </w:r>
          </w:p>
        </w:tc>
        <w:tc>
          <w:tcPr>
            <w:tcW w:w="1638" w:type="dxa"/>
            <w:shd w:val="clear" w:color="auto" w:fill="auto"/>
            <w:vAlign w:val="center"/>
          </w:tcPr>
          <w:p w14:paraId="3EE28045" w14:textId="6655C806" w:rsidR="006A29FD" w:rsidRPr="00381945" w:rsidRDefault="006A29FD" w:rsidP="006A29FD">
            <w:pPr>
              <w:pStyle w:val="MDPI31text"/>
              <w:autoSpaceDE w:val="0"/>
              <w:autoSpaceDN w:val="0"/>
              <w:spacing w:line="240" w:lineRule="auto"/>
              <w:ind w:left="0" w:firstLine="0"/>
              <w:jc w:val="center"/>
            </w:pPr>
            <w:r w:rsidRPr="00381945">
              <w:t>893 (22.1%)</w:t>
            </w:r>
          </w:p>
        </w:tc>
        <w:tc>
          <w:tcPr>
            <w:tcW w:w="1639" w:type="dxa"/>
            <w:shd w:val="clear" w:color="auto" w:fill="auto"/>
            <w:vAlign w:val="center"/>
          </w:tcPr>
          <w:p w14:paraId="125FA538" w14:textId="77777777" w:rsidR="006A29FD" w:rsidRPr="00381945" w:rsidRDefault="006A29FD" w:rsidP="006A29FD">
            <w:pPr>
              <w:pStyle w:val="MDPI31text"/>
              <w:autoSpaceDE w:val="0"/>
              <w:autoSpaceDN w:val="0"/>
              <w:spacing w:line="240" w:lineRule="auto"/>
              <w:ind w:left="0" w:firstLine="0"/>
              <w:jc w:val="center"/>
            </w:pPr>
            <w:r w:rsidRPr="00381945">
              <w:t>274 (21.1%)</w:t>
            </w:r>
          </w:p>
        </w:tc>
        <w:tc>
          <w:tcPr>
            <w:tcW w:w="1638" w:type="dxa"/>
            <w:shd w:val="clear" w:color="auto" w:fill="auto"/>
            <w:vAlign w:val="center"/>
          </w:tcPr>
          <w:p w14:paraId="7A521A20" w14:textId="77777777" w:rsidR="006A29FD" w:rsidRPr="00381945" w:rsidRDefault="006A29FD" w:rsidP="006A29FD">
            <w:pPr>
              <w:pStyle w:val="MDPI31text"/>
              <w:autoSpaceDE w:val="0"/>
              <w:autoSpaceDN w:val="0"/>
              <w:spacing w:line="240" w:lineRule="auto"/>
              <w:ind w:left="0" w:firstLine="0"/>
              <w:jc w:val="center"/>
            </w:pPr>
            <w:r w:rsidRPr="00381945">
              <w:t>619 (22.6%)</w:t>
            </w:r>
          </w:p>
        </w:tc>
      </w:tr>
      <w:tr w:rsidR="006A29FD" w:rsidRPr="006A29FD" w14:paraId="4874BFCD" w14:textId="77777777" w:rsidTr="006A29FD">
        <w:tc>
          <w:tcPr>
            <w:tcW w:w="2942" w:type="dxa"/>
            <w:shd w:val="clear" w:color="auto" w:fill="auto"/>
            <w:vAlign w:val="center"/>
          </w:tcPr>
          <w:p w14:paraId="20F81094" w14:textId="77777777" w:rsidR="006A29FD" w:rsidRPr="00381945" w:rsidRDefault="006A29FD" w:rsidP="006A29FD">
            <w:pPr>
              <w:pStyle w:val="MDPI31text"/>
              <w:autoSpaceDE w:val="0"/>
              <w:autoSpaceDN w:val="0"/>
              <w:spacing w:line="240" w:lineRule="auto"/>
              <w:ind w:left="0" w:firstLine="0"/>
              <w:jc w:val="center"/>
            </w:pPr>
            <w:r w:rsidRPr="00381945">
              <w:t>Never</w:t>
            </w:r>
          </w:p>
        </w:tc>
        <w:tc>
          <w:tcPr>
            <w:tcW w:w="1638" w:type="dxa"/>
            <w:shd w:val="clear" w:color="auto" w:fill="auto"/>
            <w:vAlign w:val="center"/>
          </w:tcPr>
          <w:p w14:paraId="67A0B669" w14:textId="77777777" w:rsidR="006A29FD" w:rsidRPr="00381945" w:rsidRDefault="006A29FD" w:rsidP="006A29FD">
            <w:pPr>
              <w:pStyle w:val="MDPI31text"/>
              <w:autoSpaceDE w:val="0"/>
              <w:autoSpaceDN w:val="0"/>
              <w:spacing w:line="240" w:lineRule="auto"/>
              <w:ind w:left="0" w:firstLine="0"/>
              <w:jc w:val="center"/>
            </w:pPr>
            <w:r w:rsidRPr="00381945">
              <w:t>1102 (27.3%)</w:t>
            </w:r>
          </w:p>
        </w:tc>
        <w:tc>
          <w:tcPr>
            <w:tcW w:w="1639" w:type="dxa"/>
            <w:shd w:val="clear" w:color="auto" w:fill="auto"/>
            <w:vAlign w:val="center"/>
          </w:tcPr>
          <w:p w14:paraId="1B82C046" w14:textId="77777777" w:rsidR="006A29FD" w:rsidRPr="00381945" w:rsidRDefault="006A29FD" w:rsidP="006A29FD">
            <w:pPr>
              <w:pStyle w:val="MDPI31text"/>
              <w:autoSpaceDE w:val="0"/>
              <w:autoSpaceDN w:val="0"/>
              <w:spacing w:line="240" w:lineRule="auto"/>
              <w:ind w:left="0" w:firstLine="0"/>
              <w:jc w:val="center"/>
            </w:pPr>
            <w:r w:rsidRPr="00381945">
              <w:t>332 (25.5%)</w:t>
            </w:r>
          </w:p>
        </w:tc>
        <w:tc>
          <w:tcPr>
            <w:tcW w:w="1638" w:type="dxa"/>
            <w:shd w:val="clear" w:color="auto" w:fill="auto"/>
            <w:vAlign w:val="center"/>
          </w:tcPr>
          <w:p w14:paraId="02170703" w14:textId="77777777" w:rsidR="006A29FD" w:rsidRPr="00381945" w:rsidRDefault="006A29FD" w:rsidP="006A29FD">
            <w:pPr>
              <w:pStyle w:val="MDPI31text"/>
              <w:autoSpaceDE w:val="0"/>
              <w:autoSpaceDN w:val="0"/>
              <w:spacing w:line="240" w:lineRule="auto"/>
              <w:ind w:left="0" w:firstLine="0"/>
              <w:jc w:val="center"/>
            </w:pPr>
            <w:r w:rsidRPr="00381945">
              <w:t>770 (28.1%)</w:t>
            </w:r>
          </w:p>
        </w:tc>
      </w:tr>
      <w:tr w:rsidR="006A29FD" w:rsidRPr="006A29FD" w14:paraId="55C2AAB7" w14:textId="77777777" w:rsidTr="006A29FD">
        <w:tc>
          <w:tcPr>
            <w:tcW w:w="2942" w:type="dxa"/>
            <w:tcBorders>
              <w:bottom w:val="single" w:sz="4" w:space="0" w:color="auto"/>
            </w:tcBorders>
            <w:shd w:val="clear" w:color="auto" w:fill="auto"/>
            <w:vAlign w:val="center"/>
          </w:tcPr>
          <w:p w14:paraId="41EF00C7" w14:textId="77777777" w:rsidR="006A29FD" w:rsidRPr="00381945" w:rsidRDefault="006A29FD" w:rsidP="006A29FD">
            <w:pPr>
              <w:pStyle w:val="MDPI31text"/>
              <w:autoSpaceDE w:val="0"/>
              <w:autoSpaceDN w:val="0"/>
              <w:spacing w:line="240" w:lineRule="auto"/>
              <w:ind w:left="0" w:firstLine="0"/>
              <w:jc w:val="center"/>
            </w:pPr>
            <w:r w:rsidRPr="00381945">
              <w:t>Refused</w:t>
            </w:r>
          </w:p>
        </w:tc>
        <w:tc>
          <w:tcPr>
            <w:tcW w:w="1638" w:type="dxa"/>
            <w:tcBorders>
              <w:bottom w:val="single" w:sz="4" w:space="0" w:color="auto"/>
            </w:tcBorders>
            <w:shd w:val="clear" w:color="auto" w:fill="auto"/>
            <w:vAlign w:val="center"/>
          </w:tcPr>
          <w:p w14:paraId="08FDB2F4" w14:textId="77777777" w:rsidR="006A29FD" w:rsidRPr="00381945" w:rsidRDefault="006A29FD" w:rsidP="006A29FD">
            <w:pPr>
              <w:pStyle w:val="MDPI31text"/>
              <w:autoSpaceDE w:val="0"/>
              <w:autoSpaceDN w:val="0"/>
              <w:spacing w:line="240" w:lineRule="auto"/>
              <w:ind w:left="0" w:firstLine="0"/>
              <w:jc w:val="center"/>
            </w:pPr>
            <w:r w:rsidRPr="00381945">
              <w:t>7 (0.2%)</w:t>
            </w:r>
          </w:p>
        </w:tc>
        <w:tc>
          <w:tcPr>
            <w:tcW w:w="1639" w:type="dxa"/>
            <w:tcBorders>
              <w:bottom w:val="single" w:sz="4" w:space="0" w:color="auto"/>
            </w:tcBorders>
            <w:shd w:val="clear" w:color="auto" w:fill="auto"/>
            <w:vAlign w:val="center"/>
          </w:tcPr>
          <w:p w14:paraId="07C6FA42" w14:textId="77777777" w:rsidR="006A29FD" w:rsidRPr="00381945" w:rsidRDefault="006A29FD" w:rsidP="006A29FD">
            <w:pPr>
              <w:pStyle w:val="MDPI31text"/>
              <w:autoSpaceDE w:val="0"/>
              <w:autoSpaceDN w:val="0"/>
              <w:spacing w:line="240" w:lineRule="auto"/>
              <w:ind w:left="0" w:firstLine="0"/>
              <w:jc w:val="center"/>
            </w:pPr>
            <w:r w:rsidRPr="00381945">
              <w:t>2 (0.2%)</w:t>
            </w:r>
          </w:p>
        </w:tc>
        <w:tc>
          <w:tcPr>
            <w:tcW w:w="1638" w:type="dxa"/>
            <w:tcBorders>
              <w:bottom w:val="single" w:sz="4" w:space="0" w:color="auto"/>
            </w:tcBorders>
            <w:shd w:val="clear" w:color="auto" w:fill="auto"/>
            <w:vAlign w:val="center"/>
          </w:tcPr>
          <w:p w14:paraId="777B719E" w14:textId="77777777" w:rsidR="006A29FD" w:rsidRPr="00381945" w:rsidRDefault="006A29FD" w:rsidP="006A29FD">
            <w:pPr>
              <w:pStyle w:val="MDPI31text"/>
              <w:autoSpaceDE w:val="0"/>
              <w:autoSpaceDN w:val="0"/>
              <w:spacing w:line="240" w:lineRule="auto"/>
              <w:ind w:left="0" w:firstLine="0"/>
              <w:jc w:val="center"/>
            </w:pPr>
            <w:r w:rsidRPr="00381945">
              <w:t>5 (0.2%)</w:t>
            </w:r>
          </w:p>
        </w:tc>
      </w:tr>
      <w:tr w:rsidR="006A29FD" w:rsidRPr="006A29FD" w14:paraId="44493CC7" w14:textId="77777777" w:rsidTr="006A29FD">
        <w:tc>
          <w:tcPr>
            <w:tcW w:w="2942" w:type="dxa"/>
            <w:tcBorders>
              <w:top w:val="single" w:sz="4" w:space="0" w:color="auto"/>
            </w:tcBorders>
            <w:shd w:val="clear" w:color="auto" w:fill="auto"/>
            <w:vAlign w:val="center"/>
          </w:tcPr>
          <w:p w14:paraId="281C131C" w14:textId="77777777" w:rsidR="006A29FD" w:rsidRPr="00381945" w:rsidRDefault="006A29FD" w:rsidP="006A29FD">
            <w:pPr>
              <w:pStyle w:val="MDPI31text"/>
              <w:autoSpaceDE w:val="0"/>
              <w:autoSpaceDN w:val="0"/>
              <w:spacing w:line="240" w:lineRule="auto"/>
              <w:ind w:left="0" w:firstLine="0"/>
              <w:jc w:val="center"/>
            </w:pPr>
          </w:p>
        </w:tc>
        <w:tc>
          <w:tcPr>
            <w:tcW w:w="1638" w:type="dxa"/>
            <w:tcBorders>
              <w:top w:val="single" w:sz="4" w:space="0" w:color="auto"/>
            </w:tcBorders>
            <w:shd w:val="clear" w:color="auto" w:fill="auto"/>
            <w:vAlign w:val="center"/>
          </w:tcPr>
          <w:p w14:paraId="5815F0D6" w14:textId="77777777" w:rsidR="006A29FD" w:rsidRPr="00381945" w:rsidRDefault="006A29FD" w:rsidP="006A29FD">
            <w:pPr>
              <w:pStyle w:val="MDPI31text"/>
              <w:autoSpaceDE w:val="0"/>
              <w:autoSpaceDN w:val="0"/>
              <w:spacing w:line="240" w:lineRule="auto"/>
              <w:ind w:left="0" w:firstLine="0"/>
              <w:jc w:val="center"/>
              <w:rPr>
                <w:b/>
                <w:bCs/>
              </w:rPr>
            </w:pPr>
            <w:r w:rsidRPr="00381945">
              <w:rPr>
                <w:b/>
                <w:bCs/>
              </w:rPr>
              <w:t>Education</w:t>
            </w:r>
          </w:p>
        </w:tc>
        <w:tc>
          <w:tcPr>
            <w:tcW w:w="1639" w:type="dxa"/>
            <w:tcBorders>
              <w:top w:val="single" w:sz="4" w:space="0" w:color="auto"/>
            </w:tcBorders>
            <w:shd w:val="clear" w:color="auto" w:fill="auto"/>
            <w:vAlign w:val="center"/>
          </w:tcPr>
          <w:p w14:paraId="5CC52F83" w14:textId="77777777" w:rsidR="006A29FD" w:rsidRPr="00381945" w:rsidRDefault="006A29FD" w:rsidP="006A29FD">
            <w:pPr>
              <w:pStyle w:val="MDPI31text"/>
              <w:autoSpaceDE w:val="0"/>
              <w:autoSpaceDN w:val="0"/>
              <w:spacing w:line="240" w:lineRule="auto"/>
              <w:ind w:left="0" w:firstLine="0"/>
              <w:jc w:val="center"/>
              <w:rPr>
                <w:b/>
                <w:bCs/>
              </w:rPr>
            </w:pPr>
          </w:p>
        </w:tc>
        <w:tc>
          <w:tcPr>
            <w:tcW w:w="1638" w:type="dxa"/>
            <w:tcBorders>
              <w:top w:val="single" w:sz="4" w:space="0" w:color="auto"/>
            </w:tcBorders>
            <w:shd w:val="clear" w:color="auto" w:fill="auto"/>
            <w:vAlign w:val="center"/>
          </w:tcPr>
          <w:p w14:paraId="13BC9267" w14:textId="77777777" w:rsidR="006A29FD" w:rsidRPr="00381945" w:rsidRDefault="006A29FD" w:rsidP="006A29FD">
            <w:pPr>
              <w:pStyle w:val="MDPI31text"/>
              <w:autoSpaceDE w:val="0"/>
              <w:autoSpaceDN w:val="0"/>
              <w:spacing w:line="240" w:lineRule="auto"/>
              <w:ind w:left="0" w:firstLine="0"/>
              <w:jc w:val="center"/>
            </w:pPr>
          </w:p>
        </w:tc>
      </w:tr>
      <w:tr w:rsidR="006A29FD" w:rsidRPr="006A29FD" w14:paraId="6F68192C" w14:textId="77777777" w:rsidTr="006A29FD">
        <w:tc>
          <w:tcPr>
            <w:tcW w:w="2942" w:type="dxa"/>
            <w:shd w:val="clear" w:color="auto" w:fill="auto"/>
            <w:vAlign w:val="center"/>
          </w:tcPr>
          <w:p w14:paraId="48AD8372" w14:textId="77777777" w:rsidR="006A29FD" w:rsidRPr="00381945" w:rsidRDefault="006A29FD" w:rsidP="006A29FD">
            <w:pPr>
              <w:pStyle w:val="MDPI31text"/>
              <w:autoSpaceDE w:val="0"/>
              <w:autoSpaceDN w:val="0"/>
              <w:spacing w:line="240" w:lineRule="auto"/>
              <w:ind w:left="0" w:firstLine="0"/>
              <w:jc w:val="center"/>
            </w:pPr>
            <w:r w:rsidRPr="00381945">
              <w:t>Primary or some primary</w:t>
            </w:r>
          </w:p>
        </w:tc>
        <w:tc>
          <w:tcPr>
            <w:tcW w:w="1638" w:type="dxa"/>
            <w:shd w:val="clear" w:color="auto" w:fill="auto"/>
            <w:vAlign w:val="center"/>
          </w:tcPr>
          <w:p w14:paraId="43988E7F" w14:textId="77777777" w:rsidR="006A29FD" w:rsidRPr="00381945" w:rsidRDefault="006A29FD" w:rsidP="006A29FD">
            <w:pPr>
              <w:pStyle w:val="MDPI31text"/>
              <w:autoSpaceDE w:val="0"/>
              <w:autoSpaceDN w:val="0"/>
              <w:spacing w:line="240" w:lineRule="auto"/>
              <w:ind w:left="0" w:firstLine="0"/>
              <w:jc w:val="center"/>
            </w:pPr>
            <w:r w:rsidRPr="00381945">
              <w:t>1343 (33.2%)</w:t>
            </w:r>
          </w:p>
        </w:tc>
        <w:tc>
          <w:tcPr>
            <w:tcW w:w="1639" w:type="dxa"/>
            <w:shd w:val="clear" w:color="auto" w:fill="auto"/>
            <w:vAlign w:val="center"/>
          </w:tcPr>
          <w:p w14:paraId="4E9F6F0F" w14:textId="77777777" w:rsidR="006A29FD" w:rsidRPr="00381945" w:rsidRDefault="006A29FD" w:rsidP="006A29FD">
            <w:pPr>
              <w:pStyle w:val="MDPI31text"/>
              <w:autoSpaceDE w:val="0"/>
              <w:autoSpaceDN w:val="0"/>
              <w:spacing w:line="240" w:lineRule="auto"/>
              <w:ind w:left="0" w:firstLine="0"/>
              <w:jc w:val="center"/>
            </w:pPr>
            <w:r w:rsidRPr="00381945">
              <w:t>445 (34.2%)</w:t>
            </w:r>
          </w:p>
        </w:tc>
        <w:tc>
          <w:tcPr>
            <w:tcW w:w="1638" w:type="dxa"/>
            <w:shd w:val="clear" w:color="auto" w:fill="auto"/>
            <w:vAlign w:val="center"/>
          </w:tcPr>
          <w:p w14:paraId="557472E2" w14:textId="77777777" w:rsidR="006A29FD" w:rsidRPr="00381945" w:rsidRDefault="006A29FD" w:rsidP="006A29FD">
            <w:pPr>
              <w:pStyle w:val="MDPI31text"/>
              <w:autoSpaceDE w:val="0"/>
              <w:autoSpaceDN w:val="0"/>
              <w:spacing w:line="240" w:lineRule="auto"/>
              <w:ind w:left="0" w:firstLine="0"/>
              <w:jc w:val="center"/>
            </w:pPr>
            <w:r w:rsidRPr="00381945">
              <w:t>898 (32.8%)</w:t>
            </w:r>
          </w:p>
        </w:tc>
      </w:tr>
      <w:tr w:rsidR="006A29FD" w:rsidRPr="006A29FD" w14:paraId="290E1945" w14:textId="77777777" w:rsidTr="006A29FD">
        <w:tc>
          <w:tcPr>
            <w:tcW w:w="2942" w:type="dxa"/>
            <w:shd w:val="clear" w:color="auto" w:fill="auto"/>
            <w:vAlign w:val="center"/>
          </w:tcPr>
          <w:p w14:paraId="079A9B5C" w14:textId="77777777" w:rsidR="006A29FD" w:rsidRPr="00381945" w:rsidRDefault="006A29FD" w:rsidP="006A29FD">
            <w:pPr>
              <w:pStyle w:val="MDPI31text"/>
              <w:autoSpaceDE w:val="0"/>
              <w:autoSpaceDN w:val="0"/>
              <w:spacing w:line="240" w:lineRule="auto"/>
              <w:ind w:left="0" w:firstLine="0"/>
              <w:jc w:val="center"/>
            </w:pPr>
            <w:r w:rsidRPr="00381945">
              <w:t>GCSE/Intermediate/Junior/Group certificate or equivalent</w:t>
            </w:r>
          </w:p>
        </w:tc>
        <w:tc>
          <w:tcPr>
            <w:tcW w:w="1638" w:type="dxa"/>
            <w:shd w:val="clear" w:color="auto" w:fill="auto"/>
            <w:vAlign w:val="center"/>
          </w:tcPr>
          <w:p w14:paraId="5146BAF7" w14:textId="77777777" w:rsidR="006A29FD" w:rsidRPr="00381945" w:rsidRDefault="006A29FD" w:rsidP="006A29FD">
            <w:pPr>
              <w:pStyle w:val="MDPI31text"/>
              <w:autoSpaceDE w:val="0"/>
              <w:autoSpaceDN w:val="0"/>
              <w:spacing w:line="240" w:lineRule="auto"/>
              <w:ind w:left="0" w:firstLine="0"/>
              <w:jc w:val="center"/>
            </w:pPr>
            <w:r w:rsidRPr="00381945">
              <w:t>1296 (32.1)</w:t>
            </w:r>
          </w:p>
        </w:tc>
        <w:tc>
          <w:tcPr>
            <w:tcW w:w="1639" w:type="dxa"/>
            <w:shd w:val="clear" w:color="auto" w:fill="auto"/>
            <w:vAlign w:val="center"/>
          </w:tcPr>
          <w:p w14:paraId="217F6575" w14:textId="77777777" w:rsidR="006A29FD" w:rsidRPr="00381945" w:rsidRDefault="006A29FD" w:rsidP="006A29FD">
            <w:pPr>
              <w:pStyle w:val="MDPI31text"/>
              <w:autoSpaceDE w:val="0"/>
              <w:autoSpaceDN w:val="0"/>
              <w:spacing w:line="240" w:lineRule="auto"/>
              <w:ind w:left="0" w:firstLine="0"/>
              <w:jc w:val="center"/>
            </w:pPr>
            <w:r w:rsidRPr="00381945">
              <w:t>431 (33.1%)</w:t>
            </w:r>
          </w:p>
        </w:tc>
        <w:tc>
          <w:tcPr>
            <w:tcW w:w="1638" w:type="dxa"/>
            <w:shd w:val="clear" w:color="auto" w:fill="auto"/>
            <w:vAlign w:val="center"/>
          </w:tcPr>
          <w:p w14:paraId="2F63F72C" w14:textId="77777777" w:rsidR="006A29FD" w:rsidRPr="00381945" w:rsidRDefault="006A29FD" w:rsidP="006A29FD">
            <w:pPr>
              <w:pStyle w:val="MDPI31text"/>
              <w:autoSpaceDE w:val="0"/>
              <w:autoSpaceDN w:val="0"/>
              <w:spacing w:line="240" w:lineRule="auto"/>
              <w:ind w:left="0" w:firstLine="0"/>
              <w:jc w:val="center"/>
            </w:pPr>
            <w:r w:rsidRPr="00381945">
              <w:t>865 (31.6%)</w:t>
            </w:r>
          </w:p>
        </w:tc>
      </w:tr>
      <w:tr w:rsidR="006A29FD" w:rsidRPr="006A29FD" w14:paraId="028E31C4" w14:textId="77777777" w:rsidTr="006A29FD">
        <w:tc>
          <w:tcPr>
            <w:tcW w:w="2942" w:type="dxa"/>
            <w:shd w:val="clear" w:color="auto" w:fill="auto"/>
            <w:vAlign w:val="center"/>
          </w:tcPr>
          <w:p w14:paraId="1CEC2E15" w14:textId="77777777" w:rsidR="006A29FD" w:rsidRPr="00381945" w:rsidRDefault="006A29FD" w:rsidP="006A29FD">
            <w:pPr>
              <w:pStyle w:val="MDPI31text"/>
              <w:autoSpaceDE w:val="0"/>
              <w:autoSpaceDN w:val="0"/>
              <w:spacing w:line="240" w:lineRule="auto"/>
              <w:ind w:left="0" w:firstLine="0"/>
              <w:jc w:val="center"/>
            </w:pPr>
            <w:r w:rsidRPr="00381945">
              <w:t>A-level/Leaving certificate or equivalent</w:t>
            </w:r>
          </w:p>
        </w:tc>
        <w:tc>
          <w:tcPr>
            <w:tcW w:w="1638" w:type="dxa"/>
            <w:shd w:val="clear" w:color="auto" w:fill="auto"/>
            <w:vAlign w:val="center"/>
          </w:tcPr>
          <w:p w14:paraId="2BB09015" w14:textId="77777777" w:rsidR="006A29FD" w:rsidRPr="00381945" w:rsidRDefault="006A29FD" w:rsidP="006A29FD">
            <w:pPr>
              <w:pStyle w:val="MDPI31text"/>
              <w:autoSpaceDE w:val="0"/>
              <w:autoSpaceDN w:val="0"/>
              <w:spacing w:line="240" w:lineRule="auto"/>
              <w:ind w:left="0" w:firstLine="0"/>
              <w:jc w:val="center"/>
            </w:pPr>
            <w:r w:rsidRPr="00381945">
              <w:t>289 (7.2%)</w:t>
            </w:r>
          </w:p>
        </w:tc>
        <w:tc>
          <w:tcPr>
            <w:tcW w:w="1639" w:type="dxa"/>
            <w:shd w:val="clear" w:color="auto" w:fill="auto"/>
            <w:vAlign w:val="center"/>
          </w:tcPr>
          <w:p w14:paraId="2F942ECD" w14:textId="77777777" w:rsidR="006A29FD" w:rsidRPr="00381945" w:rsidRDefault="006A29FD" w:rsidP="006A29FD">
            <w:pPr>
              <w:pStyle w:val="MDPI31text"/>
              <w:autoSpaceDE w:val="0"/>
              <w:autoSpaceDN w:val="0"/>
              <w:spacing w:line="240" w:lineRule="auto"/>
              <w:ind w:left="0" w:firstLine="0"/>
              <w:jc w:val="center"/>
            </w:pPr>
            <w:r w:rsidRPr="00381945">
              <w:t>91 (7.0%)</w:t>
            </w:r>
          </w:p>
        </w:tc>
        <w:tc>
          <w:tcPr>
            <w:tcW w:w="1638" w:type="dxa"/>
            <w:shd w:val="clear" w:color="auto" w:fill="auto"/>
            <w:vAlign w:val="center"/>
          </w:tcPr>
          <w:p w14:paraId="62D438A6" w14:textId="77777777" w:rsidR="006A29FD" w:rsidRPr="00381945" w:rsidRDefault="006A29FD" w:rsidP="006A29FD">
            <w:pPr>
              <w:pStyle w:val="MDPI31text"/>
              <w:autoSpaceDE w:val="0"/>
              <w:autoSpaceDN w:val="0"/>
              <w:spacing w:line="240" w:lineRule="auto"/>
              <w:ind w:left="0" w:firstLine="0"/>
              <w:jc w:val="center"/>
            </w:pPr>
            <w:r w:rsidRPr="00381945">
              <w:t>198 (7.2%)</w:t>
            </w:r>
          </w:p>
        </w:tc>
      </w:tr>
      <w:tr w:rsidR="006A29FD" w:rsidRPr="006A29FD" w14:paraId="615F3436" w14:textId="77777777" w:rsidTr="006A29FD">
        <w:tc>
          <w:tcPr>
            <w:tcW w:w="2942" w:type="dxa"/>
            <w:shd w:val="clear" w:color="auto" w:fill="auto"/>
            <w:vAlign w:val="center"/>
          </w:tcPr>
          <w:p w14:paraId="2417F08A" w14:textId="77777777" w:rsidR="006A29FD" w:rsidRPr="00381945" w:rsidRDefault="006A29FD" w:rsidP="006A29FD">
            <w:pPr>
              <w:pStyle w:val="MDPI31text"/>
              <w:autoSpaceDE w:val="0"/>
              <w:autoSpaceDN w:val="0"/>
              <w:spacing w:line="240" w:lineRule="auto"/>
              <w:ind w:left="0" w:firstLine="0"/>
              <w:jc w:val="center"/>
            </w:pPr>
            <w:proofErr w:type="spellStart"/>
            <w:r w:rsidRPr="00381945">
              <w:t>Dipolma</w:t>
            </w:r>
            <w:proofErr w:type="spellEnd"/>
            <w:r w:rsidRPr="00381945">
              <w:t>/Certificate</w:t>
            </w:r>
          </w:p>
        </w:tc>
        <w:tc>
          <w:tcPr>
            <w:tcW w:w="1638" w:type="dxa"/>
            <w:shd w:val="clear" w:color="auto" w:fill="auto"/>
            <w:vAlign w:val="center"/>
          </w:tcPr>
          <w:p w14:paraId="4573AAC9" w14:textId="77777777" w:rsidR="006A29FD" w:rsidRPr="00381945" w:rsidRDefault="006A29FD" w:rsidP="006A29FD">
            <w:pPr>
              <w:pStyle w:val="MDPI31text"/>
              <w:autoSpaceDE w:val="0"/>
              <w:autoSpaceDN w:val="0"/>
              <w:spacing w:line="240" w:lineRule="auto"/>
              <w:ind w:left="0" w:firstLine="0"/>
              <w:jc w:val="center"/>
            </w:pPr>
            <w:r w:rsidRPr="00381945">
              <w:t>460 (11.4%)</w:t>
            </w:r>
          </w:p>
        </w:tc>
        <w:tc>
          <w:tcPr>
            <w:tcW w:w="1639" w:type="dxa"/>
            <w:shd w:val="clear" w:color="auto" w:fill="auto"/>
            <w:vAlign w:val="center"/>
          </w:tcPr>
          <w:p w14:paraId="016BCAE6" w14:textId="77777777" w:rsidR="006A29FD" w:rsidRPr="00381945" w:rsidRDefault="006A29FD" w:rsidP="006A29FD">
            <w:pPr>
              <w:pStyle w:val="MDPI31text"/>
              <w:autoSpaceDE w:val="0"/>
              <w:autoSpaceDN w:val="0"/>
              <w:spacing w:line="240" w:lineRule="auto"/>
              <w:ind w:left="0" w:firstLine="0"/>
              <w:jc w:val="center"/>
            </w:pPr>
            <w:r w:rsidRPr="00381945">
              <w:t>147 (11.3%)</w:t>
            </w:r>
          </w:p>
        </w:tc>
        <w:tc>
          <w:tcPr>
            <w:tcW w:w="1638" w:type="dxa"/>
            <w:shd w:val="clear" w:color="auto" w:fill="auto"/>
            <w:vAlign w:val="center"/>
          </w:tcPr>
          <w:p w14:paraId="1F537FEC" w14:textId="77777777" w:rsidR="006A29FD" w:rsidRPr="00381945" w:rsidRDefault="006A29FD" w:rsidP="006A29FD">
            <w:pPr>
              <w:pStyle w:val="MDPI31text"/>
              <w:autoSpaceDE w:val="0"/>
              <w:autoSpaceDN w:val="0"/>
              <w:spacing w:line="240" w:lineRule="auto"/>
              <w:ind w:left="0" w:firstLine="0"/>
              <w:jc w:val="center"/>
            </w:pPr>
            <w:r w:rsidRPr="00381945">
              <w:t>313 (11.4%)</w:t>
            </w:r>
          </w:p>
        </w:tc>
      </w:tr>
      <w:tr w:rsidR="006A29FD" w:rsidRPr="006A29FD" w14:paraId="5755EE09" w14:textId="77777777" w:rsidTr="006A29FD">
        <w:tc>
          <w:tcPr>
            <w:tcW w:w="2942" w:type="dxa"/>
            <w:shd w:val="clear" w:color="auto" w:fill="auto"/>
            <w:vAlign w:val="center"/>
          </w:tcPr>
          <w:p w14:paraId="1C62D8CB" w14:textId="77777777" w:rsidR="006A29FD" w:rsidRPr="00381945" w:rsidRDefault="006A29FD" w:rsidP="006A29FD">
            <w:pPr>
              <w:pStyle w:val="MDPI31text"/>
              <w:autoSpaceDE w:val="0"/>
              <w:autoSpaceDN w:val="0"/>
              <w:spacing w:line="240" w:lineRule="auto"/>
              <w:ind w:left="0" w:firstLine="0"/>
              <w:jc w:val="center"/>
            </w:pPr>
            <w:r w:rsidRPr="00381945">
              <w:t>Primary degree</w:t>
            </w:r>
          </w:p>
        </w:tc>
        <w:tc>
          <w:tcPr>
            <w:tcW w:w="1638" w:type="dxa"/>
            <w:shd w:val="clear" w:color="auto" w:fill="auto"/>
            <w:vAlign w:val="center"/>
          </w:tcPr>
          <w:p w14:paraId="1723A563" w14:textId="77777777" w:rsidR="006A29FD" w:rsidRPr="00381945" w:rsidRDefault="006A29FD" w:rsidP="006A29FD">
            <w:pPr>
              <w:pStyle w:val="MDPI31text"/>
              <w:autoSpaceDE w:val="0"/>
              <w:autoSpaceDN w:val="0"/>
              <w:spacing w:line="240" w:lineRule="auto"/>
              <w:ind w:left="0" w:firstLine="0"/>
              <w:jc w:val="center"/>
            </w:pPr>
            <w:r w:rsidRPr="00381945">
              <w:t>247 (6.1%)</w:t>
            </w:r>
          </w:p>
        </w:tc>
        <w:tc>
          <w:tcPr>
            <w:tcW w:w="1639" w:type="dxa"/>
            <w:shd w:val="clear" w:color="auto" w:fill="auto"/>
            <w:vAlign w:val="center"/>
          </w:tcPr>
          <w:p w14:paraId="4D8C7EF0" w14:textId="77777777" w:rsidR="006A29FD" w:rsidRPr="00381945" w:rsidRDefault="006A29FD" w:rsidP="006A29FD">
            <w:pPr>
              <w:pStyle w:val="MDPI31text"/>
              <w:autoSpaceDE w:val="0"/>
              <w:autoSpaceDN w:val="0"/>
              <w:spacing w:line="240" w:lineRule="auto"/>
              <w:ind w:left="0" w:firstLine="0"/>
              <w:jc w:val="center"/>
            </w:pPr>
            <w:r w:rsidRPr="00381945">
              <w:t>74 (5.7%)</w:t>
            </w:r>
          </w:p>
        </w:tc>
        <w:tc>
          <w:tcPr>
            <w:tcW w:w="1638" w:type="dxa"/>
            <w:shd w:val="clear" w:color="auto" w:fill="auto"/>
            <w:vAlign w:val="center"/>
          </w:tcPr>
          <w:p w14:paraId="21EE8AF7" w14:textId="77777777" w:rsidR="006A29FD" w:rsidRPr="00381945" w:rsidRDefault="006A29FD" w:rsidP="006A29FD">
            <w:pPr>
              <w:pStyle w:val="MDPI31text"/>
              <w:autoSpaceDE w:val="0"/>
              <w:autoSpaceDN w:val="0"/>
              <w:spacing w:line="240" w:lineRule="auto"/>
              <w:ind w:left="0" w:firstLine="0"/>
              <w:jc w:val="center"/>
            </w:pPr>
            <w:r w:rsidRPr="00381945">
              <w:t>173 (6.3%)</w:t>
            </w:r>
          </w:p>
        </w:tc>
      </w:tr>
      <w:tr w:rsidR="006A29FD" w:rsidRPr="006A29FD" w14:paraId="796B9F0F" w14:textId="77777777" w:rsidTr="006A29FD">
        <w:tc>
          <w:tcPr>
            <w:tcW w:w="2942" w:type="dxa"/>
            <w:shd w:val="clear" w:color="auto" w:fill="auto"/>
            <w:vAlign w:val="center"/>
          </w:tcPr>
          <w:p w14:paraId="1699B3FA" w14:textId="77777777" w:rsidR="006A29FD" w:rsidRPr="00381945" w:rsidRDefault="006A29FD" w:rsidP="006A29FD">
            <w:pPr>
              <w:pStyle w:val="MDPI31text"/>
              <w:autoSpaceDE w:val="0"/>
              <w:autoSpaceDN w:val="0"/>
              <w:spacing w:line="240" w:lineRule="auto"/>
              <w:ind w:left="0" w:firstLine="0"/>
              <w:jc w:val="center"/>
            </w:pPr>
            <w:r w:rsidRPr="00381945">
              <w:t>Postgraduate/higher degree</w:t>
            </w:r>
          </w:p>
        </w:tc>
        <w:tc>
          <w:tcPr>
            <w:tcW w:w="1638" w:type="dxa"/>
            <w:shd w:val="clear" w:color="auto" w:fill="auto"/>
            <w:vAlign w:val="center"/>
          </w:tcPr>
          <w:p w14:paraId="219A3618" w14:textId="77777777" w:rsidR="006A29FD" w:rsidRPr="00381945" w:rsidRDefault="006A29FD" w:rsidP="006A29FD">
            <w:pPr>
              <w:pStyle w:val="MDPI31text"/>
              <w:autoSpaceDE w:val="0"/>
              <w:autoSpaceDN w:val="0"/>
              <w:spacing w:line="240" w:lineRule="auto"/>
              <w:ind w:left="0" w:firstLine="0"/>
              <w:jc w:val="center"/>
            </w:pPr>
            <w:r w:rsidRPr="00381945">
              <w:t>228 (5.6%)</w:t>
            </w:r>
          </w:p>
        </w:tc>
        <w:tc>
          <w:tcPr>
            <w:tcW w:w="1639" w:type="dxa"/>
            <w:shd w:val="clear" w:color="auto" w:fill="auto"/>
            <w:vAlign w:val="center"/>
          </w:tcPr>
          <w:p w14:paraId="3419FA01" w14:textId="77777777" w:rsidR="006A29FD" w:rsidRPr="00381945" w:rsidRDefault="006A29FD" w:rsidP="006A29FD">
            <w:pPr>
              <w:pStyle w:val="MDPI31text"/>
              <w:autoSpaceDE w:val="0"/>
              <w:autoSpaceDN w:val="0"/>
              <w:spacing w:line="240" w:lineRule="auto"/>
              <w:ind w:left="0" w:firstLine="0"/>
              <w:jc w:val="center"/>
            </w:pPr>
            <w:r w:rsidRPr="00381945">
              <w:t>55 (4.2%)</w:t>
            </w:r>
          </w:p>
        </w:tc>
        <w:tc>
          <w:tcPr>
            <w:tcW w:w="1638" w:type="dxa"/>
            <w:shd w:val="clear" w:color="auto" w:fill="auto"/>
            <w:vAlign w:val="center"/>
          </w:tcPr>
          <w:p w14:paraId="6398D68C" w14:textId="77777777" w:rsidR="006A29FD" w:rsidRPr="00381945" w:rsidRDefault="006A29FD" w:rsidP="006A29FD">
            <w:pPr>
              <w:pStyle w:val="MDPI31text"/>
              <w:autoSpaceDE w:val="0"/>
              <w:autoSpaceDN w:val="0"/>
              <w:spacing w:line="240" w:lineRule="auto"/>
              <w:ind w:left="0" w:firstLine="0"/>
              <w:jc w:val="center"/>
            </w:pPr>
            <w:r w:rsidRPr="00381945">
              <w:t>173 (6.3%)</w:t>
            </w:r>
          </w:p>
        </w:tc>
      </w:tr>
      <w:tr w:rsidR="006A29FD" w:rsidRPr="006A29FD" w14:paraId="1B8DA87D" w14:textId="77777777" w:rsidTr="006A29FD">
        <w:tc>
          <w:tcPr>
            <w:tcW w:w="2942" w:type="dxa"/>
            <w:tcBorders>
              <w:bottom w:val="single" w:sz="4" w:space="0" w:color="auto"/>
            </w:tcBorders>
            <w:shd w:val="clear" w:color="auto" w:fill="auto"/>
            <w:vAlign w:val="center"/>
          </w:tcPr>
          <w:p w14:paraId="30C1F95D" w14:textId="77777777" w:rsidR="006A29FD" w:rsidRPr="00381945" w:rsidRDefault="006A29FD" w:rsidP="006A29FD">
            <w:pPr>
              <w:pStyle w:val="MDPI31text"/>
              <w:autoSpaceDE w:val="0"/>
              <w:autoSpaceDN w:val="0"/>
              <w:spacing w:line="240" w:lineRule="auto"/>
              <w:ind w:left="0" w:firstLine="0"/>
              <w:jc w:val="center"/>
            </w:pPr>
            <w:r w:rsidRPr="00381945">
              <w:t>None or refused</w:t>
            </w:r>
          </w:p>
        </w:tc>
        <w:tc>
          <w:tcPr>
            <w:tcW w:w="1638" w:type="dxa"/>
            <w:tcBorders>
              <w:bottom w:val="single" w:sz="4" w:space="0" w:color="auto"/>
            </w:tcBorders>
            <w:shd w:val="clear" w:color="auto" w:fill="auto"/>
            <w:vAlign w:val="center"/>
          </w:tcPr>
          <w:p w14:paraId="1C882274" w14:textId="77777777" w:rsidR="006A29FD" w:rsidRPr="00381945" w:rsidRDefault="006A29FD" w:rsidP="006A29FD">
            <w:pPr>
              <w:pStyle w:val="MDPI31text"/>
              <w:autoSpaceDE w:val="0"/>
              <w:autoSpaceDN w:val="0"/>
              <w:spacing w:line="240" w:lineRule="auto"/>
              <w:ind w:left="0" w:firstLine="0"/>
              <w:jc w:val="center"/>
            </w:pPr>
            <w:r w:rsidRPr="00381945">
              <w:t>177 (4.4%)</w:t>
            </w:r>
          </w:p>
        </w:tc>
        <w:tc>
          <w:tcPr>
            <w:tcW w:w="1639" w:type="dxa"/>
            <w:tcBorders>
              <w:bottom w:val="single" w:sz="4" w:space="0" w:color="auto"/>
            </w:tcBorders>
            <w:shd w:val="clear" w:color="auto" w:fill="auto"/>
            <w:vAlign w:val="center"/>
          </w:tcPr>
          <w:p w14:paraId="2D9E826D" w14:textId="77777777" w:rsidR="006A29FD" w:rsidRPr="00381945" w:rsidRDefault="006A29FD" w:rsidP="006A29FD">
            <w:pPr>
              <w:pStyle w:val="MDPI31text"/>
              <w:autoSpaceDE w:val="0"/>
              <w:autoSpaceDN w:val="0"/>
              <w:spacing w:line="240" w:lineRule="auto"/>
              <w:ind w:left="0" w:firstLine="0"/>
              <w:jc w:val="center"/>
            </w:pPr>
            <w:r w:rsidRPr="00381945">
              <w:t>58 (4.5%)</w:t>
            </w:r>
          </w:p>
        </w:tc>
        <w:tc>
          <w:tcPr>
            <w:tcW w:w="1638" w:type="dxa"/>
            <w:tcBorders>
              <w:bottom w:val="single" w:sz="4" w:space="0" w:color="auto"/>
            </w:tcBorders>
            <w:shd w:val="clear" w:color="auto" w:fill="auto"/>
            <w:vAlign w:val="center"/>
          </w:tcPr>
          <w:p w14:paraId="34FE519C" w14:textId="77777777" w:rsidR="006A29FD" w:rsidRPr="00381945" w:rsidRDefault="006A29FD" w:rsidP="006A29FD">
            <w:pPr>
              <w:pStyle w:val="MDPI31text"/>
              <w:autoSpaceDE w:val="0"/>
              <w:autoSpaceDN w:val="0"/>
              <w:spacing w:line="240" w:lineRule="auto"/>
              <w:ind w:left="0" w:firstLine="0"/>
              <w:jc w:val="center"/>
            </w:pPr>
            <w:r w:rsidRPr="00381945">
              <w:t>119 (4.5%)</w:t>
            </w:r>
          </w:p>
        </w:tc>
      </w:tr>
      <w:tr w:rsidR="006A29FD" w:rsidRPr="006A29FD" w14:paraId="30092A4F" w14:textId="77777777" w:rsidTr="006A29FD">
        <w:tc>
          <w:tcPr>
            <w:tcW w:w="7857" w:type="dxa"/>
            <w:gridSpan w:val="4"/>
            <w:tcBorders>
              <w:top w:val="single" w:sz="4" w:space="0" w:color="auto"/>
            </w:tcBorders>
            <w:shd w:val="clear" w:color="auto" w:fill="auto"/>
            <w:vAlign w:val="center"/>
          </w:tcPr>
          <w:p w14:paraId="24857C95" w14:textId="77777777" w:rsidR="006A29FD" w:rsidRPr="00381945" w:rsidRDefault="006A29FD" w:rsidP="006A29FD">
            <w:pPr>
              <w:pStyle w:val="MDPI31text"/>
              <w:autoSpaceDE w:val="0"/>
              <w:autoSpaceDN w:val="0"/>
              <w:spacing w:line="240" w:lineRule="auto"/>
              <w:ind w:left="0" w:firstLine="0"/>
              <w:jc w:val="center"/>
            </w:pPr>
            <w:r w:rsidRPr="00381945">
              <w:rPr>
                <w:b/>
                <w:bCs/>
              </w:rPr>
              <w:t>Marital Status</w:t>
            </w:r>
          </w:p>
        </w:tc>
      </w:tr>
      <w:tr w:rsidR="006A29FD" w:rsidRPr="006A29FD" w14:paraId="5F8F0005" w14:textId="77777777" w:rsidTr="006A29FD">
        <w:tc>
          <w:tcPr>
            <w:tcW w:w="2942" w:type="dxa"/>
            <w:shd w:val="clear" w:color="auto" w:fill="auto"/>
            <w:vAlign w:val="center"/>
          </w:tcPr>
          <w:p w14:paraId="6AA8EBCB" w14:textId="77777777" w:rsidR="006A29FD" w:rsidRPr="00381945" w:rsidRDefault="006A29FD" w:rsidP="006A29FD">
            <w:pPr>
              <w:pStyle w:val="MDPI31text"/>
              <w:autoSpaceDE w:val="0"/>
              <w:autoSpaceDN w:val="0"/>
              <w:spacing w:line="240" w:lineRule="auto"/>
              <w:ind w:left="0" w:firstLine="0"/>
              <w:jc w:val="center"/>
            </w:pPr>
            <w:r w:rsidRPr="00381945">
              <w:t>Married or living as married</w:t>
            </w:r>
          </w:p>
        </w:tc>
        <w:tc>
          <w:tcPr>
            <w:tcW w:w="1638" w:type="dxa"/>
            <w:shd w:val="clear" w:color="auto" w:fill="auto"/>
            <w:vAlign w:val="center"/>
          </w:tcPr>
          <w:p w14:paraId="6D6AB571" w14:textId="77777777" w:rsidR="006A29FD" w:rsidRPr="00381945" w:rsidRDefault="006A29FD" w:rsidP="006A29FD">
            <w:pPr>
              <w:pStyle w:val="MDPI31text"/>
              <w:autoSpaceDE w:val="0"/>
              <w:autoSpaceDN w:val="0"/>
              <w:spacing w:line="240" w:lineRule="auto"/>
              <w:ind w:left="0" w:firstLine="0"/>
              <w:jc w:val="center"/>
            </w:pPr>
            <w:r w:rsidRPr="00381945">
              <w:t>2391 (59.2%)</w:t>
            </w:r>
          </w:p>
        </w:tc>
        <w:tc>
          <w:tcPr>
            <w:tcW w:w="1639" w:type="dxa"/>
            <w:shd w:val="clear" w:color="auto" w:fill="auto"/>
            <w:vAlign w:val="center"/>
          </w:tcPr>
          <w:p w14:paraId="31BFA311" w14:textId="77777777" w:rsidR="006A29FD" w:rsidRPr="00381945" w:rsidRDefault="006A29FD" w:rsidP="006A29FD">
            <w:pPr>
              <w:pStyle w:val="MDPI31text"/>
              <w:autoSpaceDE w:val="0"/>
              <w:autoSpaceDN w:val="0"/>
              <w:spacing w:line="240" w:lineRule="auto"/>
              <w:ind w:left="0" w:firstLine="0"/>
              <w:jc w:val="center"/>
            </w:pPr>
            <w:r w:rsidRPr="00381945">
              <w:t>861 (66.2%)</w:t>
            </w:r>
          </w:p>
        </w:tc>
        <w:tc>
          <w:tcPr>
            <w:tcW w:w="1638" w:type="dxa"/>
            <w:shd w:val="clear" w:color="auto" w:fill="auto"/>
            <w:vAlign w:val="center"/>
          </w:tcPr>
          <w:p w14:paraId="1FDF9620" w14:textId="77777777" w:rsidR="006A29FD" w:rsidRPr="00381945" w:rsidRDefault="006A29FD" w:rsidP="006A29FD">
            <w:pPr>
              <w:pStyle w:val="MDPI31text"/>
              <w:autoSpaceDE w:val="0"/>
              <w:autoSpaceDN w:val="0"/>
              <w:spacing w:line="240" w:lineRule="auto"/>
              <w:ind w:left="0" w:firstLine="0"/>
              <w:jc w:val="center"/>
            </w:pPr>
            <w:r w:rsidRPr="00381945">
              <w:t>1539 (55.9%)</w:t>
            </w:r>
          </w:p>
        </w:tc>
      </w:tr>
      <w:tr w:rsidR="006A29FD" w:rsidRPr="006A29FD" w14:paraId="7FDB8F6C" w14:textId="77777777" w:rsidTr="006A29FD">
        <w:tc>
          <w:tcPr>
            <w:tcW w:w="2942" w:type="dxa"/>
            <w:shd w:val="clear" w:color="auto" w:fill="auto"/>
            <w:vAlign w:val="center"/>
          </w:tcPr>
          <w:p w14:paraId="0C00BB14" w14:textId="77777777" w:rsidR="006A29FD" w:rsidRPr="00381945" w:rsidRDefault="006A29FD" w:rsidP="006A29FD">
            <w:pPr>
              <w:pStyle w:val="MDPI31text"/>
              <w:autoSpaceDE w:val="0"/>
              <w:autoSpaceDN w:val="0"/>
              <w:spacing w:line="240" w:lineRule="auto"/>
              <w:ind w:left="0" w:firstLine="0"/>
              <w:jc w:val="center"/>
            </w:pPr>
            <w:r w:rsidRPr="00381945">
              <w:t>Single</w:t>
            </w:r>
          </w:p>
        </w:tc>
        <w:tc>
          <w:tcPr>
            <w:tcW w:w="1638" w:type="dxa"/>
            <w:shd w:val="clear" w:color="auto" w:fill="auto"/>
            <w:vAlign w:val="center"/>
          </w:tcPr>
          <w:p w14:paraId="13159A07" w14:textId="77777777" w:rsidR="006A29FD" w:rsidRPr="00381945" w:rsidRDefault="006A29FD" w:rsidP="006A29FD">
            <w:pPr>
              <w:pStyle w:val="MDPI31text"/>
              <w:autoSpaceDE w:val="0"/>
              <w:autoSpaceDN w:val="0"/>
              <w:spacing w:line="240" w:lineRule="auto"/>
              <w:ind w:left="0" w:firstLine="0"/>
              <w:jc w:val="center"/>
            </w:pPr>
            <w:r w:rsidRPr="00381945">
              <w:t>382 (9.5%)</w:t>
            </w:r>
          </w:p>
        </w:tc>
        <w:tc>
          <w:tcPr>
            <w:tcW w:w="1639" w:type="dxa"/>
            <w:shd w:val="clear" w:color="auto" w:fill="auto"/>
            <w:vAlign w:val="center"/>
          </w:tcPr>
          <w:p w14:paraId="3EC2B504" w14:textId="77777777" w:rsidR="006A29FD" w:rsidRPr="00381945" w:rsidRDefault="006A29FD" w:rsidP="006A29FD">
            <w:pPr>
              <w:pStyle w:val="MDPI31text"/>
              <w:autoSpaceDE w:val="0"/>
              <w:autoSpaceDN w:val="0"/>
              <w:spacing w:line="240" w:lineRule="auto"/>
              <w:ind w:left="0" w:firstLine="0"/>
              <w:jc w:val="center"/>
            </w:pPr>
            <w:r w:rsidRPr="00381945">
              <w:t>108 (8.3%)</w:t>
            </w:r>
          </w:p>
        </w:tc>
        <w:tc>
          <w:tcPr>
            <w:tcW w:w="1638" w:type="dxa"/>
            <w:shd w:val="clear" w:color="auto" w:fill="auto"/>
            <w:vAlign w:val="center"/>
          </w:tcPr>
          <w:p w14:paraId="4EA73651" w14:textId="77777777" w:rsidR="006A29FD" w:rsidRPr="00381945" w:rsidRDefault="006A29FD" w:rsidP="006A29FD">
            <w:pPr>
              <w:pStyle w:val="MDPI31text"/>
              <w:autoSpaceDE w:val="0"/>
              <w:autoSpaceDN w:val="0"/>
              <w:spacing w:line="240" w:lineRule="auto"/>
              <w:ind w:left="0" w:firstLine="0"/>
              <w:jc w:val="center"/>
            </w:pPr>
            <w:r w:rsidRPr="00381945">
              <w:t>274 (10.0%)</w:t>
            </w:r>
          </w:p>
        </w:tc>
      </w:tr>
      <w:tr w:rsidR="006A29FD" w:rsidRPr="006A29FD" w14:paraId="1ED1177C" w14:textId="77777777" w:rsidTr="006A29FD">
        <w:tc>
          <w:tcPr>
            <w:tcW w:w="2942" w:type="dxa"/>
            <w:tcBorders>
              <w:bottom w:val="single" w:sz="4" w:space="0" w:color="auto"/>
            </w:tcBorders>
            <w:shd w:val="clear" w:color="auto" w:fill="auto"/>
            <w:vAlign w:val="center"/>
          </w:tcPr>
          <w:p w14:paraId="251A25CF" w14:textId="77777777" w:rsidR="006A29FD" w:rsidRPr="00381945" w:rsidRDefault="006A29FD" w:rsidP="006A29FD">
            <w:pPr>
              <w:pStyle w:val="MDPI31text"/>
              <w:autoSpaceDE w:val="0"/>
              <w:autoSpaceDN w:val="0"/>
              <w:spacing w:line="240" w:lineRule="auto"/>
              <w:ind w:left="0" w:firstLine="0"/>
              <w:jc w:val="center"/>
            </w:pPr>
            <w:r w:rsidRPr="00381945">
              <w:t xml:space="preserve">Separated, </w:t>
            </w:r>
            <w:proofErr w:type="gramStart"/>
            <w:r w:rsidRPr="00381945">
              <w:t>divorced</w:t>
            </w:r>
            <w:proofErr w:type="gramEnd"/>
            <w:r w:rsidRPr="00381945">
              <w:t xml:space="preserve"> or widowed</w:t>
            </w:r>
          </w:p>
        </w:tc>
        <w:tc>
          <w:tcPr>
            <w:tcW w:w="1638" w:type="dxa"/>
            <w:tcBorders>
              <w:bottom w:val="single" w:sz="4" w:space="0" w:color="auto"/>
            </w:tcBorders>
            <w:shd w:val="clear" w:color="auto" w:fill="auto"/>
            <w:vAlign w:val="center"/>
          </w:tcPr>
          <w:p w14:paraId="77294E89" w14:textId="77777777" w:rsidR="006A29FD" w:rsidRPr="00381945" w:rsidRDefault="006A29FD" w:rsidP="006A29FD">
            <w:pPr>
              <w:pStyle w:val="MDPI31text"/>
              <w:autoSpaceDE w:val="0"/>
              <w:autoSpaceDN w:val="0"/>
              <w:spacing w:line="240" w:lineRule="auto"/>
              <w:ind w:left="0" w:firstLine="0"/>
              <w:jc w:val="center"/>
            </w:pPr>
            <w:r w:rsidRPr="00381945">
              <w:t>1267 (31.4%)</w:t>
            </w:r>
          </w:p>
        </w:tc>
        <w:tc>
          <w:tcPr>
            <w:tcW w:w="1639" w:type="dxa"/>
            <w:tcBorders>
              <w:bottom w:val="single" w:sz="4" w:space="0" w:color="auto"/>
            </w:tcBorders>
            <w:shd w:val="clear" w:color="auto" w:fill="auto"/>
            <w:vAlign w:val="center"/>
          </w:tcPr>
          <w:p w14:paraId="06B6E3E5" w14:textId="77777777" w:rsidR="006A29FD" w:rsidRPr="00381945" w:rsidRDefault="006A29FD" w:rsidP="006A29FD">
            <w:pPr>
              <w:pStyle w:val="MDPI31text"/>
              <w:autoSpaceDE w:val="0"/>
              <w:autoSpaceDN w:val="0"/>
              <w:spacing w:line="240" w:lineRule="auto"/>
              <w:ind w:left="0" w:firstLine="0"/>
              <w:jc w:val="center"/>
            </w:pPr>
            <w:r w:rsidRPr="00381945">
              <w:t>332 (25.5%)</w:t>
            </w:r>
          </w:p>
        </w:tc>
        <w:tc>
          <w:tcPr>
            <w:tcW w:w="1638" w:type="dxa"/>
            <w:tcBorders>
              <w:bottom w:val="single" w:sz="4" w:space="0" w:color="auto"/>
            </w:tcBorders>
            <w:shd w:val="clear" w:color="auto" w:fill="auto"/>
            <w:vAlign w:val="center"/>
          </w:tcPr>
          <w:p w14:paraId="31518110" w14:textId="77777777" w:rsidR="006A29FD" w:rsidRPr="00381945" w:rsidRDefault="006A29FD" w:rsidP="006A29FD">
            <w:pPr>
              <w:pStyle w:val="MDPI31text"/>
              <w:autoSpaceDE w:val="0"/>
              <w:autoSpaceDN w:val="0"/>
              <w:spacing w:line="240" w:lineRule="auto"/>
              <w:ind w:left="0" w:firstLine="0"/>
              <w:jc w:val="center"/>
            </w:pPr>
            <w:r w:rsidRPr="00381945">
              <w:t>935 (34.1%)</w:t>
            </w:r>
          </w:p>
        </w:tc>
      </w:tr>
      <w:tr w:rsidR="006A29FD" w:rsidRPr="006A29FD" w14:paraId="54C9CC8A" w14:textId="77777777" w:rsidTr="006A29FD">
        <w:tc>
          <w:tcPr>
            <w:tcW w:w="7857" w:type="dxa"/>
            <w:gridSpan w:val="4"/>
            <w:tcBorders>
              <w:top w:val="single" w:sz="4" w:space="0" w:color="auto"/>
            </w:tcBorders>
            <w:shd w:val="clear" w:color="auto" w:fill="auto"/>
            <w:vAlign w:val="center"/>
          </w:tcPr>
          <w:p w14:paraId="567EAD43" w14:textId="77777777" w:rsidR="006A29FD" w:rsidRPr="00381945" w:rsidRDefault="006A29FD" w:rsidP="006A29FD">
            <w:pPr>
              <w:pStyle w:val="MDPI31text"/>
              <w:autoSpaceDE w:val="0"/>
              <w:autoSpaceDN w:val="0"/>
              <w:spacing w:line="240" w:lineRule="auto"/>
              <w:ind w:left="0" w:firstLine="0"/>
              <w:jc w:val="center"/>
            </w:pPr>
            <w:r w:rsidRPr="00381945">
              <w:rPr>
                <w:b/>
                <w:bCs/>
              </w:rPr>
              <w:t>Moderate PA (over last 7 days)</w:t>
            </w:r>
          </w:p>
        </w:tc>
      </w:tr>
      <w:tr w:rsidR="006A29FD" w:rsidRPr="006A29FD" w14:paraId="40357469" w14:textId="77777777" w:rsidTr="006A29FD">
        <w:tc>
          <w:tcPr>
            <w:tcW w:w="2942" w:type="dxa"/>
            <w:shd w:val="clear" w:color="auto" w:fill="auto"/>
            <w:vAlign w:val="center"/>
          </w:tcPr>
          <w:p w14:paraId="5CB8A4DF" w14:textId="77777777" w:rsidR="006A29FD" w:rsidRPr="00381945" w:rsidRDefault="006A29FD" w:rsidP="006A29FD">
            <w:pPr>
              <w:pStyle w:val="MDPI31text"/>
              <w:autoSpaceDE w:val="0"/>
              <w:autoSpaceDN w:val="0"/>
              <w:spacing w:line="240" w:lineRule="auto"/>
              <w:ind w:left="0" w:firstLine="0"/>
              <w:jc w:val="center"/>
            </w:pPr>
            <w:r w:rsidRPr="00381945">
              <w:t>None</w:t>
            </w:r>
          </w:p>
        </w:tc>
        <w:tc>
          <w:tcPr>
            <w:tcW w:w="1638" w:type="dxa"/>
            <w:shd w:val="clear" w:color="auto" w:fill="auto"/>
            <w:vAlign w:val="center"/>
          </w:tcPr>
          <w:p w14:paraId="3299D794" w14:textId="77777777" w:rsidR="006A29FD" w:rsidRPr="00381945" w:rsidRDefault="006A29FD" w:rsidP="006A29FD">
            <w:pPr>
              <w:pStyle w:val="MDPI31text"/>
              <w:autoSpaceDE w:val="0"/>
              <w:autoSpaceDN w:val="0"/>
              <w:spacing w:line="240" w:lineRule="auto"/>
              <w:ind w:left="0" w:firstLine="0"/>
              <w:jc w:val="center"/>
            </w:pPr>
            <w:r w:rsidRPr="00381945">
              <w:t>3479 (86.1%)</w:t>
            </w:r>
          </w:p>
        </w:tc>
        <w:tc>
          <w:tcPr>
            <w:tcW w:w="1639" w:type="dxa"/>
            <w:shd w:val="clear" w:color="auto" w:fill="auto"/>
            <w:vAlign w:val="center"/>
          </w:tcPr>
          <w:p w14:paraId="52F01711" w14:textId="77777777" w:rsidR="006A29FD" w:rsidRPr="00381945" w:rsidRDefault="006A29FD" w:rsidP="006A29FD">
            <w:pPr>
              <w:pStyle w:val="MDPI31text"/>
              <w:autoSpaceDE w:val="0"/>
              <w:autoSpaceDN w:val="0"/>
              <w:spacing w:line="240" w:lineRule="auto"/>
              <w:ind w:left="0" w:firstLine="0"/>
              <w:jc w:val="center"/>
            </w:pPr>
            <w:r w:rsidRPr="00381945">
              <w:t>890 (68.4%)</w:t>
            </w:r>
          </w:p>
        </w:tc>
        <w:tc>
          <w:tcPr>
            <w:tcW w:w="1638" w:type="dxa"/>
            <w:shd w:val="clear" w:color="auto" w:fill="auto"/>
            <w:vAlign w:val="center"/>
          </w:tcPr>
          <w:p w14:paraId="5FB1B9E5" w14:textId="77777777" w:rsidR="006A29FD" w:rsidRPr="00381945" w:rsidRDefault="006A29FD" w:rsidP="006A29FD">
            <w:pPr>
              <w:pStyle w:val="MDPI31text"/>
              <w:autoSpaceDE w:val="0"/>
              <w:autoSpaceDN w:val="0"/>
              <w:spacing w:line="240" w:lineRule="auto"/>
              <w:ind w:left="0" w:firstLine="0"/>
              <w:jc w:val="center"/>
            </w:pPr>
            <w:r w:rsidRPr="00381945">
              <w:t>1937 (70.7%)</w:t>
            </w:r>
          </w:p>
        </w:tc>
      </w:tr>
      <w:tr w:rsidR="006A29FD" w:rsidRPr="006A29FD" w14:paraId="3B62D2F7" w14:textId="77777777" w:rsidTr="006A29FD">
        <w:tc>
          <w:tcPr>
            <w:tcW w:w="2942" w:type="dxa"/>
            <w:shd w:val="clear" w:color="auto" w:fill="auto"/>
            <w:vAlign w:val="center"/>
          </w:tcPr>
          <w:p w14:paraId="5DBFC166" w14:textId="69B260D9" w:rsidR="006A29FD" w:rsidRPr="00381945" w:rsidRDefault="00273B11" w:rsidP="006A29FD">
            <w:pPr>
              <w:pStyle w:val="MDPI31text"/>
              <w:autoSpaceDE w:val="0"/>
              <w:autoSpaceDN w:val="0"/>
              <w:spacing w:line="240" w:lineRule="auto"/>
              <w:ind w:left="0" w:firstLine="0"/>
              <w:jc w:val="center"/>
            </w:pPr>
            <w:r w:rsidRPr="00381945">
              <w:t>1–2</w:t>
            </w:r>
            <w:r w:rsidR="006A29FD" w:rsidRPr="00381945">
              <w:t xml:space="preserve"> days</w:t>
            </w:r>
          </w:p>
        </w:tc>
        <w:tc>
          <w:tcPr>
            <w:tcW w:w="1638" w:type="dxa"/>
            <w:shd w:val="clear" w:color="auto" w:fill="auto"/>
            <w:vAlign w:val="center"/>
          </w:tcPr>
          <w:p w14:paraId="206B5D6B" w14:textId="77777777" w:rsidR="006A29FD" w:rsidRPr="00381945" w:rsidRDefault="006A29FD" w:rsidP="006A29FD">
            <w:pPr>
              <w:pStyle w:val="MDPI31text"/>
              <w:autoSpaceDE w:val="0"/>
              <w:autoSpaceDN w:val="0"/>
              <w:spacing w:line="240" w:lineRule="auto"/>
              <w:ind w:left="0" w:firstLine="0"/>
              <w:jc w:val="center"/>
            </w:pPr>
            <w:r w:rsidRPr="00381945">
              <w:t>283 (7.0%)</w:t>
            </w:r>
          </w:p>
        </w:tc>
        <w:tc>
          <w:tcPr>
            <w:tcW w:w="1639" w:type="dxa"/>
            <w:shd w:val="clear" w:color="auto" w:fill="auto"/>
            <w:vAlign w:val="center"/>
          </w:tcPr>
          <w:p w14:paraId="51EB92E8" w14:textId="77777777" w:rsidR="006A29FD" w:rsidRPr="00381945" w:rsidRDefault="006A29FD" w:rsidP="006A29FD">
            <w:pPr>
              <w:pStyle w:val="MDPI31text"/>
              <w:autoSpaceDE w:val="0"/>
              <w:autoSpaceDN w:val="0"/>
              <w:spacing w:line="240" w:lineRule="auto"/>
              <w:ind w:left="0" w:firstLine="0"/>
              <w:jc w:val="center"/>
            </w:pPr>
            <w:r w:rsidRPr="00381945">
              <w:t>151 (11.6%)</w:t>
            </w:r>
          </w:p>
        </w:tc>
        <w:tc>
          <w:tcPr>
            <w:tcW w:w="1638" w:type="dxa"/>
            <w:shd w:val="clear" w:color="auto" w:fill="auto"/>
            <w:vAlign w:val="center"/>
          </w:tcPr>
          <w:p w14:paraId="556FC198" w14:textId="77777777" w:rsidR="006A29FD" w:rsidRPr="00381945" w:rsidRDefault="006A29FD" w:rsidP="006A29FD">
            <w:pPr>
              <w:pStyle w:val="MDPI31text"/>
              <w:autoSpaceDE w:val="0"/>
              <w:autoSpaceDN w:val="0"/>
              <w:spacing w:line="240" w:lineRule="auto"/>
              <w:ind w:left="0" w:firstLine="0"/>
              <w:jc w:val="center"/>
            </w:pPr>
            <w:r w:rsidRPr="00381945">
              <w:t>375 (13.7%)</w:t>
            </w:r>
          </w:p>
        </w:tc>
      </w:tr>
      <w:tr w:rsidR="006A29FD" w:rsidRPr="006A29FD" w14:paraId="3FFDD7CA" w14:textId="77777777" w:rsidTr="006A29FD">
        <w:tc>
          <w:tcPr>
            <w:tcW w:w="2942" w:type="dxa"/>
            <w:shd w:val="clear" w:color="auto" w:fill="auto"/>
            <w:vAlign w:val="center"/>
          </w:tcPr>
          <w:p w14:paraId="5944130A" w14:textId="70B9B989" w:rsidR="006A29FD" w:rsidRPr="00381945" w:rsidRDefault="00273B11" w:rsidP="006A29FD">
            <w:pPr>
              <w:pStyle w:val="MDPI31text"/>
              <w:autoSpaceDE w:val="0"/>
              <w:autoSpaceDN w:val="0"/>
              <w:spacing w:line="240" w:lineRule="auto"/>
              <w:ind w:left="0" w:firstLine="0"/>
              <w:jc w:val="center"/>
            </w:pPr>
            <w:r w:rsidRPr="00381945">
              <w:t>3–4</w:t>
            </w:r>
            <w:r w:rsidR="006A29FD" w:rsidRPr="00381945">
              <w:t xml:space="preserve"> days</w:t>
            </w:r>
          </w:p>
        </w:tc>
        <w:tc>
          <w:tcPr>
            <w:tcW w:w="1638" w:type="dxa"/>
            <w:shd w:val="clear" w:color="auto" w:fill="auto"/>
            <w:vAlign w:val="center"/>
          </w:tcPr>
          <w:p w14:paraId="239B4126" w14:textId="77777777" w:rsidR="006A29FD" w:rsidRPr="00381945" w:rsidRDefault="006A29FD" w:rsidP="006A29FD">
            <w:pPr>
              <w:pStyle w:val="MDPI31text"/>
              <w:autoSpaceDE w:val="0"/>
              <w:autoSpaceDN w:val="0"/>
              <w:spacing w:line="240" w:lineRule="auto"/>
              <w:ind w:left="0" w:firstLine="0"/>
              <w:jc w:val="center"/>
            </w:pPr>
            <w:r w:rsidRPr="00381945">
              <w:t>135 (3.3%)</w:t>
            </w:r>
          </w:p>
        </w:tc>
        <w:tc>
          <w:tcPr>
            <w:tcW w:w="1639" w:type="dxa"/>
            <w:shd w:val="clear" w:color="auto" w:fill="auto"/>
            <w:vAlign w:val="center"/>
          </w:tcPr>
          <w:p w14:paraId="161F1278" w14:textId="77777777" w:rsidR="006A29FD" w:rsidRPr="00381945" w:rsidRDefault="006A29FD" w:rsidP="006A29FD">
            <w:pPr>
              <w:pStyle w:val="MDPI31text"/>
              <w:autoSpaceDE w:val="0"/>
              <w:autoSpaceDN w:val="0"/>
              <w:spacing w:line="240" w:lineRule="auto"/>
              <w:ind w:left="0" w:firstLine="0"/>
              <w:jc w:val="center"/>
            </w:pPr>
            <w:r w:rsidRPr="00381945">
              <w:t>93 (7.1%)</w:t>
            </w:r>
          </w:p>
        </w:tc>
        <w:tc>
          <w:tcPr>
            <w:tcW w:w="1638" w:type="dxa"/>
            <w:shd w:val="clear" w:color="auto" w:fill="auto"/>
            <w:vAlign w:val="center"/>
          </w:tcPr>
          <w:p w14:paraId="411439E5" w14:textId="77777777" w:rsidR="006A29FD" w:rsidRPr="00381945" w:rsidRDefault="006A29FD" w:rsidP="006A29FD">
            <w:pPr>
              <w:pStyle w:val="MDPI31text"/>
              <w:autoSpaceDE w:val="0"/>
              <w:autoSpaceDN w:val="0"/>
              <w:spacing w:line="240" w:lineRule="auto"/>
              <w:ind w:left="0" w:firstLine="0"/>
              <w:jc w:val="center"/>
            </w:pPr>
            <w:r w:rsidRPr="00381945">
              <w:t>189 (6.9%)</w:t>
            </w:r>
          </w:p>
        </w:tc>
      </w:tr>
      <w:tr w:rsidR="006A29FD" w:rsidRPr="006A29FD" w14:paraId="3D6F3C72" w14:textId="77777777" w:rsidTr="006A29FD">
        <w:tc>
          <w:tcPr>
            <w:tcW w:w="2942" w:type="dxa"/>
            <w:shd w:val="clear" w:color="auto" w:fill="auto"/>
            <w:vAlign w:val="center"/>
          </w:tcPr>
          <w:p w14:paraId="084C32CF" w14:textId="76D91B3D" w:rsidR="006A29FD" w:rsidRPr="00381945" w:rsidRDefault="00273B11" w:rsidP="006A29FD">
            <w:pPr>
              <w:pStyle w:val="MDPI31text"/>
              <w:autoSpaceDE w:val="0"/>
              <w:autoSpaceDN w:val="0"/>
              <w:spacing w:line="240" w:lineRule="auto"/>
              <w:ind w:left="0" w:firstLine="0"/>
              <w:jc w:val="center"/>
            </w:pPr>
            <w:r w:rsidRPr="00381945">
              <w:t>5–6</w:t>
            </w:r>
            <w:r w:rsidR="006A29FD" w:rsidRPr="00381945">
              <w:t xml:space="preserve"> days</w:t>
            </w:r>
          </w:p>
        </w:tc>
        <w:tc>
          <w:tcPr>
            <w:tcW w:w="1638" w:type="dxa"/>
            <w:shd w:val="clear" w:color="auto" w:fill="auto"/>
            <w:vAlign w:val="center"/>
          </w:tcPr>
          <w:p w14:paraId="6E45DB2E" w14:textId="77777777" w:rsidR="006A29FD" w:rsidRPr="00381945" w:rsidRDefault="006A29FD" w:rsidP="006A29FD">
            <w:pPr>
              <w:pStyle w:val="MDPI31text"/>
              <w:autoSpaceDE w:val="0"/>
              <w:autoSpaceDN w:val="0"/>
              <w:spacing w:line="240" w:lineRule="auto"/>
              <w:ind w:left="0" w:firstLine="0"/>
              <w:jc w:val="center"/>
            </w:pPr>
            <w:r w:rsidRPr="00381945">
              <w:t>56 (1.4%)</w:t>
            </w:r>
          </w:p>
        </w:tc>
        <w:tc>
          <w:tcPr>
            <w:tcW w:w="1639" w:type="dxa"/>
            <w:shd w:val="clear" w:color="auto" w:fill="auto"/>
            <w:vAlign w:val="center"/>
          </w:tcPr>
          <w:p w14:paraId="08F66575" w14:textId="77777777" w:rsidR="006A29FD" w:rsidRPr="00381945" w:rsidRDefault="006A29FD" w:rsidP="006A29FD">
            <w:pPr>
              <w:pStyle w:val="MDPI31text"/>
              <w:autoSpaceDE w:val="0"/>
              <w:autoSpaceDN w:val="0"/>
              <w:spacing w:line="240" w:lineRule="auto"/>
              <w:ind w:left="0" w:firstLine="0"/>
              <w:jc w:val="center"/>
            </w:pPr>
            <w:r w:rsidRPr="00381945">
              <w:t>46 (3.5%)</w:t>
            </w:r>
          </w:p>
        </w:tc>
        <w:tc>
          <w:tcPr>
            <w:tcW w:w="1638" w:type="dxa"/>
            <w:shd w:val="clear" w:color="auto" w:fill="auto"/>
            <w:vAlign w:val="center"/>
          </w:tcPr>
          <w:p w14:paraId="6F9EE2C9" w14:textId="77777777" w:rsidR="006A29FD" w:rsidRPr="00381945" w:rsidRDefault="006A29FD" w:rsidP="006A29FD">
            <w:pPr>
              <w:pStyle w:val="MDPI31text"/>
              <w:autoSpaceDE w:val="0"/>
              <w:autoSpaceDN w:val="0"/>
              <w:spacing w:line="240" w:lineRule="auto"/>
              <w:ind w:left="0" w:firstLine="0"/>
              <w:jc w:val="center"/>
            </w:pPr>
            <w:r w:rsidRPr="00381945">
              <w:t>98 (3.6%)</w:t>
            </w:r>
          </w:p>
        </w:tc>
      </w:tr>
      <w:tr w:rsidR="006A29FD" w:rsidRPr="006A29FD" w14:paraId="5C138A45" w14:textId="77777777" w:rsidTr="006A29FD">
        <w:tc>
          <w:tcPr>
            <w:tcW w:w="2942" w:type="dxa"/>
            <w:tcBorders>
              <w:bottom w:val="single" w:sz="4" w:space="0" w:color="auto"/>
            </w:tcBorders>
            <w:shd w:val="clear" w:color="auto" w:fill="auto"/>
            <w:vAlign w:val="center"/>
          </w:tcPr>
          <w:p w14:paraId="6F6EABF7" w14:textId="77777777" w:rsidR="006A29FD" w:rsidRPr="00381945" w:rsidRDefault="006A29FD" w:rsidP="006A29FD">
            <w:pPr>
              <w:pStyle w:val="MDPI31text"/>
              <w:autoSpaceDE w:val="0"/>
              <w:autoSpaceDN w:val="0"/>
              <w:spacing w:line="240" w:lineRule="auto"/>
              <w:ind w:left="0" w:firstLine="0"/>
              <w:jc w:val="center"/>
            </w:pPr>
            <w:r w:rsidRPr="00381945">
              <w:t>Everyday</w:t>
            </w:r>
          </w:p>
        </w:tc>
        <w:tc>
          <w:tcPr>
            <w:tcW w:w="1638" w:type="dxa"/>
            <w:tcBorders>
              <w:bottom w:val="single" w:sz="4" w:space="0" w:color="auto"/>
            </w:tcBorders>
            <w:shd w:val="clear" w:color="auto" w:fill="auto"/>
            <w:vAlign w:val="center"/>
          </w:tcPr>
          <w:p w14:paraId="03C818AC" w14:textId="77777777" w:rsidR="006A29FD" w:rsidRPr="00381945" w:rsidRDefault="006A29FD" w:rsidP="006A29FD">
            <w:pPr>
              <w:pStyle w:val="MDPI31text"/>
              <w:autoSpaceDE w:val="0"/>
              <w:autoSpaceDN w:val="0"/>
              <w:spacing w:line="240" w:lineRule="auto"/>
              <w:ind w:left="0" w:firstLine="0"/>
              <w:jc w:val="center"/>
            </w:pPr>
            <w:r w:rsidRPr="00381945">
              <w:t>87 (2.2%)</w:t>
            </w:r>
          </w:p>
        </w:tc>
        <w:tc>
          <w:tcPr>
            <w:tcW w:w="1639" w:type="dxa"/>
            <w:tcBorders>
              <w:bottom w:val="single" w:sz="4" w:space="0" w:color="auto"/>
            </w:tcBorders>
            <w:shd w:val="clear" w:color="auto" w:fill="auto"/>
            <w:vAlign w:val="center"/>
          </w:tcPr>
          <w:p w14:paraId="2E672E5D" w14:textId="77777777" w:rsidR="006A29FD" w:rsidRPr="00381945" w:rsidRDefault="006A29FD" w:rsidP="006A29FD">
            <w:pPr>
              <w:pStyle w:val="MDPI31text"/>
              <w:autoSpaceDE w:val="0"/>
              <w:autoSpaceDN w:val="0"/>
              <w:spacing w:line="240" w:lineRule="auto"/>
              <w:ind w:left="0" w:firstLine="0"/>
              <w:jc w:val="center"/>
            </w:pPr>
            <w:r w:rsidRPr="00381945">
              <w:t>121 (9.3%)</w:t>
            </w:r>
          </w:p>
        </w:tc>
        <w:tc>
          <w:tcPr>
            <w:tcW w:w="1638" w:type="dxa"/>
            <w:tcBorders>
              <w:bottom w:val="single" w:sz="4" w:space="0" w:color="auto"/>
            </w:tcBorders>
            <w:shd w:val="clear" w:color="auto" w:fill="auto"/>
            <w:vAlign w:val="center"/>
          </w:tcPr>
          <w:p w14:paraId="476A823F" w14:textId="77777777" w:rsidR="006A29FD" w:rsidRPr="00381945" w:rsidRDefault="006A29FD" w:rsidP="006A29FD">
            <w:pPr>
              <w:pStyle w:val="MDPI31text"/>
              <w:autoSpaceDE w:val="0"/>
              <w:autoSpaceDN w:val="0"/>
              <w:spacing w:line="240" w:lineRule="auto"/>
              <w:ind w:left="0" w:firstLine="0"/>
              <w:jc w:val="center"/>
            </w:pPr>
            <w:r w:rsidRPr="00381945">
              <w:t>140 (5.1%)</w:t>
            </w:r>
          </w:p>
        </w:tc>
      </w:tr>
      <w:tr w:rsidR="006A29FD" w:rsidRPr="006A29FD" w14:paraId="1345B0D3" w14:textId="77777777" w:rsidTr="006A29FD">
        <w:tc>
          <w:tcPr>
            <w:tcW w:w="7857" w:type="dxa"/>
            <w:gridSpan w:val="4"/>
            <w:tcBorders>
              <w:top w:val="single" w:sz="4" w:space="0" w:color="auto"/>
            </w:tcBorders>
            <w:shd w:val="clear" w:color="auto" w:fill="auto"/>
            <w:vAlign w:val="center"/>
          </w:tcPr>
          <w:p w14:paraId="74AC5BAB" w14:textId="77777777" w:rsidR="006A29FD" w:rsidRPr="00381945" w:rsidRDefault="006A29FD" w:rsidP="006A29FD">
            <w:pPr>
              <w:pStyle w:val="MDPI31text"/>
              <w:autoSpaceDE w:val="0"/>
              <w:autoSpaceDN w:val="0"/>
              <w:spacing w:line="240" w:lineRule="auto"/>
              <w:ind w:left="0" w:firstLine="0"/>
              <w:jc w:val="center"/>
            </w:pPr>
            <w:r w:rsidRPr="00381945">
              <w:rPr>
                <w:b/>
                <w:bCs/>
              </w:rPr>
              <w:t>Vigorous PA (over last 7 days)</w:t>
            </w:r>
          </w:p>
        </w:tc>
      </w:tr>
      <w:tr w:rsidR="006A29FD" w:rsidRPr="006A29FD" w14:paraId="2A37FDFF" w14:textId="77777777" w:rsidTr="006A29FD">
        <w:tc>
          <w:tcPr>
            <w:tcW w:w="2942" w:type="dxa"/>
            <w:shd w:val="clear" w:color="auto" w:fill="auto"/>
            <w:vAlign w:val="center"/>
          </w:tcPr>
          <w:p w14:paraId="739D524F" w14:textId="77777777" w:rsidR="006A29FD" w:rsidRPr="00381945" w:rsidRDefault="006A29FD" w:rsidP="006A29FD">
            <w:pPr>
              <w:pStyle w:val="MDPI31text"/>
              <w:autoSpaceDE w:val="0"/>
              <w:autoSpaceDN w:val="0"/>
              <w:spacing w:line="240" w:lineRule="auto"/>
              <w:ind w:left="0" w:firstLine="0"/>
              <w:jc w:val="center"/>
            </w:pPr>
            <w:r w:rsidRPr="00381945">
              <w:t>None</w:t>
            </w:r>
          </w:p>
        </w:tc>
        <w:tc>
          <w:tcPr>
            <w:tcW w:w="1638" w:type="dxa"/>
            <w:shd w:val="clear" w:color="auto" w:fill="auto"/>
            <w:vAlign w:val="center"/>
          </w:tcPr>
          <w:p w14:paraId="756BA1B9" w14:textId="77777777" w:rsidR="006A29FD" w:rsidRPr="00381945" w:rsidRDefault="006A29FD" w:rsidP="006A29FD">
            <w:pPr>
              <w:pStyle w:val="MDPI31text"/>
              <w:autoSpaceDE w:val="0"/>
              <w:autoSpaceDN w:val="0"/>
              <w:spacing w:line="240" w:lineRule="auto"/>
              <w:ind w:left="0" w:firstLine="0"/>
              <w:jc w:val="center"/>
            </w:pPr>
            <w:r w:rsidRPr="00381945">
              <w:t>2827 (70.0%)</w:t>
            </w:r>
          </w:p>
        </w:tc>
        <w:tc>
          <w:tcPr>
            <w:tcW w:w="1639" w:type="dxa"/>
            <w:shd w:val="clear" w:color="auto" w:fill="auto"/>
            <w:vAlign w:val="center"/>
          </w:tcPr>
          <w:p w14:paraId="3D282E51" w14:textId="77777777" w:rsidR="006A29FD" w:rsidRPr="00381945" w:rsidRDefault="006A29FD" w:rsidP="006A29FD">
            <w:pPr>
              <w:pStyle w:val="MDPI31text"/>
              <w:autoSpaceDE w:val="0"/>
              <w:autoSpaceDN w:val="0"/>
              <w:spacing w:line="240" w:lineRule="auto"/>
              <w:ind w:left="0" w:firstLine="0"/>
              <w:jc w:val="center"/>
            </w:pPr>
            <w:r w:rsidRPr="00381945">
              <w:t>1101 (84.6%)</w:t>
            </w:r>
          </w:p>
        </w:tc>
        <w:tc>
          <w:tcPr>
            <w:tcW w:w="1638" w:type="dxa"/>
            <w:shd w:val="clear" w:color="auto" w:fill="auto"/>
            <w:vAlign w:val="center"/>
          </w:tcPr>
          <w:p w14:paraId="4985B9DC" w14:textId="77777777" w:rsidR="006A29FD" w:rsidRPr="00381945" w:rsidRDefault="006A29FD" w:rsidP="006A29FD">
            <w:pPr>
              <w:pStyle w:val="MDPI31text"/>
              <w:autoSpaceDE w:val="0"/>
              <w:autoSpaceDN w:val="0"/>
              <w:spacing w:line="240" w:lineRule="auto"/>
              <w:ind w:left="0" w:firstLine="0"/>
              <w:jc w:val="center"/>
            </w:pPr>
            <w:r w:rsidRPr="00381945">
              <w:t>2378 (86.8%)</w:t>
            </w:r>
          </w:p>
        </w:tc>
      </w:tr>
      <w:tr w:rsidR="006A29FD" w:rsidRPr="006A29FD" w14:paraId="1CFED77B" w14:textId="77777777" w:rsidTr="006A29FD">
        <w:tc>
          <w:tcPr>
            <w:tcW w:w="2942" w:type="dxa"/>
            <w:shd w:val="clear" w:color="auto" w:fill="auto"/>
            <w:vAlign w:val="center"/>
          </w:tcPr>
          <w:p w14:paraId="4117E7A5" w14:textId="6B0A6E79" w:rsidR="006A29FD" w:rsidRPr="00381945" w:rsidRDefault="00273B11" w:rsidP="006A29FD">
            <w:pPr>
              <w:pStyle w:val="MDPI31text"/>
              <w:autoSpaceDE w:val="0"/>
              <w:autoSpaceDN w:val="0"/>
              <w:spacing w:line="240" w:lineRule="auto"/>
              <w:ind w:left="0" w:firstLine="0"/>
              <w:jc w:val="center"/>
            </w:pPr>
            <w:r w:rsidRPr="00381945">
              <w:t>1–2</w:t>
            </w:r>
            <w:r w:rsidR="006A29FD" w:rsidRPr="00381945">
              <w:t xml:space="preserve"> days</w:t>
            </w:r>
          </w:p>
        </w:tc>
        <w:tc>
          <w:tcPr>
            <w:tcW w:w="1638" w:type="dxa"/>
            <w:shd w:val="clear" w:color="auto" w:fill="auto"/>
            <w:vAlign w:val="center"/>
          </w:tcPr>
          <w:p w14:paraId="4D1E6DC5" w14:textId="77777777" w:rsidR="006A29FD" w:rsidRPr="00381945" w:rsidRDefault="006A29FD" w:rsidP="006A29FD">
            <w:pPr>
              <w:pStyle w:val="MDPI31text"/>
              <w:autoSpaceDE w:val="0"/>
              <w:autoSpaceDN w:val="0"/>
              <w:spacing w:line="240" w:lineRule="auto"/>
              <w:ind w:left="0" w:firstLine="0"/>
              <w:jc w:val="center"/>
            </w:pPr>
            <w:r w:rsidRPr="00381945">
              <w:t>526 (13.0%)</w:t>
            </w:r>
          </w:p>
        </w:tc>
        <w:tc>
          <w:tcPr>
            <w:tcW w:w="1639" w:type="dxa"/>
            <w:shd w:val="clear" w:color="auto" w:fill="auto"/>
            <w:vAlign w:val="center"/>
          </w:tcPr>
          <w:p w14:paraId="23660DB0" w14:textId="77777777" w:rsidR="006A29FD" w:rsidRPr="00381945" w:rsidRDefault="006A29FD" w:rsidP="006A29FD">
            <w:pPr>
              <w:pStyle w:val="MDPI31text"/>
              <w:autoSpaceDE w:val="0"/>
              <w:autoSpaceDN w:val="0"/>
              <w:spacing w:line="240" w:lineRule="auto"/>
              <w:ind w:left="0" w:firstLine="0"/>
              <w:jc w:val="center"/>
            </w:pPr>
            <w:r w:rsidRPr="00381945">
              <w:t>98 (7.5%)</w:t>
            </w:r>
          </w:p>
        </w:tc>
        <w:tc>
          <w:tcPr>
            <w:tcW w:w="1638" w:type="dxa"/>
            <w:shd w:val="clear" w:color="auto" w:fill="auto"/>
            <w:vAlign w:val="center"/>
          </w:tcPr>
          <w:p w14:paraId="1D27DABA" w14:textId="77777777" w:rsidR="006A29FD" w:rsidRPr="00381945" w:rsidRDefault="006A29FD" w:rsidP="006A29FD">
            <w:pPr>
              <w:pStyle w:val="MDPI31text"/>
              <w:autoSpaceDE w:val="0"/>
              <w:autoSpaceDN w:val="0"/>
              <w:spacing w:line="240" w:lineRule="auto"/>
              <w:ind w:left="0" w:firstLine="0"/>
              <w:jc w:val="center"/>
            </w:pPr>
            <w:r w:rsidRPr="00381945">
              <w:t>185 (6.8%)</w:t>
            </w:r>
          </w:p>
        </w:tc>
      </w:tr>
      <w:tr w:rsidR="006A29FD" w:rsidRPr="006A29FD" w14:paraId="489FE5FD" w14:textId="77777777" w:rsidTr="006A29FD">
        <w:tc>
          <w:tcPr>
            <w:tcW w:w="2942" w:type="dxa"/>
            <w:shd w:val="clear" w:color="auto" w:fill="auto"/>
            <w:vAlign w:val="center"/>
          </w:tcPr>
          <w:p w14:paraId="779D4F37" w14:textId="3328073D" w:rsidR="006A29FD" w:rsidRPr="00381945" w:rsidRDefault="00273B11" w:rsidP="006A29FD">
            <w:pPr>
              <w:pStyle w:val="MDPI31text"/>
              <w:autoSpaceDE w:val="0"/>
              <w:autoSpaceDN w:val="0"/>
              <w:spacing w:line="240" w:lineRule="auto"/>
              <w:ind w:left="0" w:firstLine="0"/>
              <w:jc w:val="center"/>
            </w:pPr>
            <w:r w:rsidRPr="00381945">
              <w:t>3–4</w:t>
            </w:r>
            <w:r w:rsidR="006A29FD" w:rsidRPr="00381945">
              <w:t xml:space="preserve"> days</w:t>
            </w:r>
          </w:p>
        </w:tc>
        <w:tc>
          <w:tcPr>
            <w:tcW w:w="1638" w:type="dxa"/>
            <w:shd w:val="clear" w:color="auto" w:fill="auto"/>
            <w:vAlign w:val="center"/>
          </w:tcPr>
          <w:p w14:paraId="68F4E066" w14:textId="77777777" w:rsidR="006A29FD" w:rsidRPr="00381945" w:rsidRDefault="006A29FD" w:rsidP="006A29FD">
            <w:pPr>
              <w:pStyle w:val="MDPI31text"/>
              <w:autoSpaceDE w:val="0"/>
              <w:autoSpaceDN w:val="0"/>
              <w:spacing w:line="240" w:lineRule="auto"/>
              <w:ind w:left="0" w:firstLine="0"/>
              <w:jc w:val="center"/>
            </w:pPr>
            <w:r w:rsidRPr="00381945">
              <w:t>282 (7.0%)</w:t>
            </w:r>
          </w:p>
        </w:tc>
        <w:tc>
          <w:tcPr>
            <w:tcW w:w="1639" w:type="dxa"/>
            <w:shd w:val="clear" w:color="auto" w:fill="auto"/>
            <w:vAlign w:val="center"/>
          </w:tcPr>
          <w:p w14:paraId="155186CB" w14:textId="77777777" w:rsidR="006A29FD" w:rsidRPr="00381945" w:rsidRDefault="006A29FD" w:rsidP="006A29FD">
            <w:pPr>
              <w:pStyle w:val="MDPI31text"/>
              <w:autoSpaceDE w:val="0"/>
              <w:autoSpaceDN w:val="0"/>
              <w:spacing w:line="240" w:lineRule="auto"/>
              <w:ind w:left="0" w:firstLine="0"/>
              <w:jc w:val="center"/>
            </w:pPr>
            <w:r w:rsidRPr="00381945">
              <w:t>41 (3.2%)</w:t>
            </w:r>
          </w:p>
        </w:tc>
        <w:tc>
          <w:tcPr>
            <w:tcW w:w="1638" w:type="dxa"/>
            <w:shd w:val="clear" w:color="auto" w:fill="auto"/>
            <w:vAlign w:val="center"/>
          </w:tcPr>
          <w:p w14:paraId="73ACD623" w14:textId="77777777" w:rsidR="006A29FD" w:rsidRPr="00381945" w:rsidRDefault="006A29FD" w:rsidP="006A29FD">
            <w:pPr>
              <w:pStyle w:val="MDPI31text"/>
              <w:autoSpaceDE w:val="0"/>
              <w:autoSpaceDN w:val="0"/>
              <w:spacing w:line="240" w:lineRule="auto"/>
              <w:ind w:left="0" w:firstLine="0"/>
              <w:jc w:val="center"/>
            </w:pPr>
            <w:r w:rsidRPr="00381945">
              <w:t>94 (3.4%)</w:t>
            </w:r>
          </w:p>
        </w:tc>
      </w:tr>
      <w:tr w:rsidR="006A29FD" w:rsidRPr="006A29FD" w14:paraId="26576C6F" w14:textId="77777777" w:rsidTr="006A29FD">
        <w:tc>
          <w:tcPr>
            <w:tcW w:w="2942" w:type="dxa"/>
            <w:shd w:val="clear" w:color="auto" w:fill="auto"/>
            <w:vAlign w:val="center"/>
          </w:tcPr>
          <w:p w14:paraId="3946FCB1" w14:textId="5CE8BBC3" w:rsidR="006A29FD" w:rsidRPr="00381945" w:rsidRDefault="00273B11" w:rsidP="006A29FD">
            <w:pPr>
              <w:pStyle w:val="MDPI31text"/>
              <w:autoSpaceDE w:val="0"/>
              <w:autoSpaceDN w:val="0"/>
              <w:spacing w:line="240" w:lineRule="auto"/>
              <w:ind w:left="0" w:firstLine="0"/>
              <w:jc w:val="center"/>
            </w:pPr>
            <w:r w:rsidRPr="00381945">
              <w:t>5–6</w:t>
            </w:r>
            <w:r w:rsidR="006A29FD" w:rsidRPr="00381945">
              <w:t xml:space="preserve"> days</w:t>
            </w:r>
          </w:p>
        </w:tc>
        <w:tc>
          <w:tcPr>
            <w:tcW w:w="1638" w:type="dxa"/>
            <w:shd w:val="clear" w:color="auto" w:fill="auto"/>
            <w:vAlign w:val="center"/>
          </w:tcPr>
          <w:p w14:paraId="7358EDB6" w14:textId="77777777" w:rsidR="006A29FD" w:rsidRPr="00381945" w:rsidRDefault="006A29FD" w:rsidP="006A29FD">
            <w:pPr>
              <w:pStyle w:val="MDPI31text"/>
              <w:autoSpaceDE w:val="0"/>
              <w:autoSpaceDN w:val="0"/>
              <w:spacing w:line="240" w:lineRule="auto"/>
              <w:ind w:left="0" w:firstLine="0"/>
              <w:jc w:val="center"/>
            </w:pPr>
            <w:r w:rsidRPr="00381945">
              <w:t>144 (3.6%)</w:t>
            </w:r>
          </w:p>
        </w:tc>
        <w:tc>
          <w:tcPr>
            <w:tcW w:w="1639" w:type="dxa"/>
            <w:shd w:val="clear" w:color="auto" w:fill="auto"/>
            <w:vAlign w:val="center"/>
          </w:tcPr>
          <w:p w14:paraId="35A45009" w14:textId="77777777" w:rsidR="006A29FD" w:rsidRPr="00381945" w:rsidRDefault="006A29FD" w:rsidP="006A29FD">
            <w:pPr>
              <w:pStyle w:val="MDPI31text"/>
              <w:autoSpaceDE w:val="0"/>
              <w:autoSpaceDN w:val="0"/>
              <w:spacing w:line="240" w:lineRule="auto"/>
              <w:ind w:left="0" w:firstLine="0"/>
              <w:jc w:val="center"/>
            </w:pPr>
            <w:r w:rsidRPr="00381945">
              <w:t>16 (1.2%)</w:t>
            </w:r>
          </w:p>
        </w:tc>
        <w:tc>
          <w:tcPr>
            <w:tcW w:w="1638" w:type="dxa"/>
            <w:shd w:val="clear" w:color="auto" w:fill="auto"/>
            <w:vAlign w:val="center"/>
          </w:tcPr>
          <w:p w14:paraId="7B9F38EA" w14:textId="77777777" w:rsidR="006A29FD" w:rsidRPr="00381945" w:rsidRDefault="006A29FD" w:rsidP="006A29FD">
            <w:pPr>
              <w:pStyle w:val="MDPI31text"/>
              <w:autoSpaceDE w:val="0"/>
              <w:autoSpaceDN w:val="0"/>
              <w:spacing w:line="240" w:lineRule="auto"/>
              <w:ind w:left="0" w:firstLine="0"/>
              <w:jc w:val="center"/>
            </w:pPr>
            <w:r w:rsidRPr="00381945">
              <w:t>40 (1.5%)</w:t>
            </w:r>
          </w:p>
        </w:tc>
      </w:tr>
      <w:tr w:rsidR="006A29FD" w:rsidRPr="006A29FD" w14:paraId="00210C07" w14:textId="77777777" w:rsidTr="006A29FD">
        <w:tc>
          <w:tcPr>
            <w:tcW w:w="2942" w:type="dxa"/>
            <w:tcBorders>
              <w:bottom w:val="single" w:sz="8" w:space="0" w:color="auto"/>
            </w:tcBorders>
            <w:shd w:val="clear" w:color="auto" w:fill="auto"/>
            <w:vAlign w:val="center"/>
          </w:tcPr>
          <w:p w14:paraId="02E7A8E2" w14:textId="77777777" w:rsidR="006A29FD" w:rsidRPr="00381945" w:rsidRDefault="006A29FD" w:rsidP="006A29FD">
            <w:pPr>
              <w:pStyle w:val="MDPI31text"/>
              <w:autoSpaceDE w:val="0"/>
              <w:autoSpaceDN w:val="0"/>
              <w:spacing w:line="240" w:lineRule="auto"/>
              <w:ind w:left="0" w:firstLine="0"/>
              <w:jc w:val="center"/>
            </w:pPr>
            <w:r w:rsidRPr="00381945">
              <w:t>Everyday</w:t>
            </w:r>
          </w:p>
        </w:tc>
        <w:tc>
          <w:tcPr>
            <w:tcW w:w="1638" w:type="dxa"/>
            <w:tcBorders>
              <w:bottom w:val="single" w:sz="8" w:space="0" w:color="auto"/>
            </w:tcBorders>
            <w:shd w:val="clear" w:color="auto" w:fill="auto"/>
            <w:vAlign w:val="center"/>
          </w:tcPr>
          <w:p w14:paraId="0C468F51" w14:textId="77777777" w:rsidR="006A29FD" w:rsidRPr="00381945" w:rsidRDefault="006A29FD" w:rsidP="006A29FD">
            <w:pPr>
              <w:pStyle w:val="MDPI31text"/>
              <w:autoSpaceDE w:val="0"/>
              <w:autoSpaceDN w:val="0"/>
              <w:spacing w:line="240" w:lineRule="auto"/>
              <w:ind w:left="0" w:firstLine="0"/>
              <w:jc w:val="center"/>
            </w:pPr>
            <w:r w:rsidRPr="00381945">
              <w:t>260 (6.4%)</w:t>
            </w:r>
          </w:p>
        </w:tc>
        <w:tc>
          <w:tcPr>
            <w:tcW w:w="1639" w:type="dxa"/>
            <w:tcBorders>
              <w:bottom w:val="single" w:sz="8" w:space="0" w:color="auto"/>
            </w:tcBorders>
            <w:shd w:val="clear" w:color="auto" w:fill="auto"/>
            <w:vAlign w:val="center"/>
          </w:tcPr>
          <w:p w14:paraId="09F4C629" w14:textId="77777777" w:rsidR="006A29FD" w:rsidRPr="00381945" w:rsidRDefault="006A29FD" w:rsidP="006A29FD">
            <w:pPr>
              <w:pStyle w:val="MDPI31text"/>
              <w:autoSpaceDE w:val="0"/>
              <w:autoSpaceDN w:val="0"/>
              <w:spacing w:line="240" w:lineRule="auto"/>
              <w:ind w:left="0" w:firstLine="0"/>
              <w:jc w:val="center"/>
            </w:pPr>
            <w:r w:rsidRPr="00381945">
              <w:t>45 (3.5%)</w:t>
            </w:r>
          </w:p>
        </w:tc>
        <w:tc>
          <w:tcPr>
            <w:tcW w:w="1638" w:type="dxa"/>
            <w:tcBorders>
              <w:bottom w:val="single" w:sz="8" w:space="0" w:color="auto"/>
            </w:tcBorders>
            <w:shd w:val="clear" w:color="auto" w:fill="auto"/>
            <w:vAlign w:val="center"/>
          </w:tcPr>
          <w:p w14:paraId="0E62D20E" w14:textId="77777777" w:rsidR="006A29FD" w:rsidRPr="00381945" w:rsidRDefault="006A29FD" w:rsidP="006A29FD">
            <w:pPr>
              <w:pStyle w:val="MDPI31text"/>
              <w:autoSpaceDE w:val="0"/>
              <w:autoSpaceDN w:val="0"/>
              <w:spacing w:line="240" w:lineRule="auto"/>
              <w:ind w:left="0" w:firstLine="0"/>
              <w:jc w:val="center"/>
            </w:pPr>
            <w:r w:rsidRPr="00381945">
              <w:t>42 (1.5%)</w:t>
            </w:r>
          </w:p>
        </w:tc>
      </w:tr>
    </w:tbl>
    <w:p w14:paraId="0081851D" w14:textId="415FEC8C" w:rsidR="00310F2C" w:rsidRPr="00F40209" w:rsidRDefault="00310F2C" w:rsidP="00A67CF3">
      <w:pPr>
        <w:pStyle w:val="MDPI31text"/>
        <w:spacing w:before="240"/>
      </w:pPr>
      <w:r w:rsidRPr="00930DFA">
        <w:t>For the overall sample, only 10.0% of respondents (n</w:t>
      </w:r>
      <w:r w:rsidR="00D6557C">
        <w:t xml:space="preserve"> </w:t>
      </w:r>
      <w:r w:rsidRPr="00930DFA">
        <w:t>=</w:t>
      </w:r>
      <w:r w:rsidR="00D6557C">
        <w:t xml:space="preserve"> </w:t>
      </w:r>
      <w:r w:rsidRPr="00930DFA">
        <w:t xml:space="preserve">405) were moderately active on </w:t>
      </w:r>
      <w:r>
        <w:t xml:space="preserve">five </w:t>
      </w:r>
      <w:r w:rsidRPr="00930DFA">
        <w:t>days or more per week, whereas only 3.5% (n</w:t>
      </w:r>
      <w:r w:rsidR="00D6557C">
        <w:t xml:space="preserve"> </w:t>
      </w:r>
      <w:r w:rsidRPr="00930DFA">
        <w:t>=</w:t>
      </w:r>
      <w:r w:rsidR="00D6557C">
        <w:t xml:space="preserve"> </w:t>
      </w:r>
      <w:r w:rsidRPr="00930DFA">
        <w:t>143) met the guidelines for being sufficiently vigorously active</w:t>
      </w:r>
      <w:r>
        <w:t xml:space="preserve"> per week</w:t>
      </w:r>
      <w:r w:rsidRPr="00930DFA">
        <w:t>. As shown in Table 1</w:t>
      </w:r>
      <w:r>
        <w:t>,</w:t>
      </w:r>
      <w:r w:rsidRPr="00930DFA">
        <w:t xml:space="preserve"> over 70% of the overall sample </w:t>
      </w:r>
      <w:r>
        <w:t>did not partake in regular</w:t>
      </w:r>
      <w:r w:rsidRPr="00930DFA">
        <w:t xml:space="preserve"> vigorous activity while 86.1% stated they did </w:t>
      </w:r>
      <w:proofErr w:type="gramStart"/>
      <w:r>
        <w:t>had</w:t>
      </w:r>
      <w:proofErr w:type="gramEnd"/>
      <w:r>
        <w:t xml:space="preserve"> </w:t>
      </w:r>
      <w:r>
        <w:lastRenderedPageBreak/>
        <w:t>participated in no</w:t>
      </w:r>
      <w:r w:rsidRPr="00930DFA">
        <w:t xml:space="preserve"> moderate physical activity over the last seven days. There was a higher percentage of pet owners who met the guidelines for moderate physical activity weekly (12.8%) in comparison to non-pet owners (8.7%) as shown in Figure 1.</w:t>
      </w:r>
      <w:r w:rsidR="00630CAE">
        <w:t xml:space="preserve"> </w:t>
      </w:r>
      <w:r w:rsidRPr="00930DFA">
        <w:t>This was similar for weekly vigorous physical activity, in which pet owners had a higher percentage (4.7%) than those who were non pet owners (3.0%) as shown in Figure 2.</w:t>
      </w:r>
    </w:p>
    <w:p w14:paraId="03DC6D33" w14:textId="052CE1CF" w:rsidR="00310F2C" w:rsidRPr="00AC4273" w:rsidRDefault="006A29FD" w:rsidP="00F911D8">
      <w:pPr>
        <w:pStyle w:val="MDPI52figure"/>
        <w:ind w:left="2608"/>
        <w:jc w:val="left"/>
      </w:pPr>
      <w:r>
        <w:rPr>
          <w:noProof/>
        </w:rPr>
        <w:drawing>
          <wp:inline distT="0" distB="0" distL="0" distR="0" wp14:anchorId="25DF6963" wp14:editId="592E9016">
            <wp:extent cx="4038600" cy="2465375"/>
            <wp:effectExtent l="0" t="0" r="0" b="0"/>
            <wp:docPr id="8" name="Picture 8"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bar chart&#10;&#10;Description automatically generated"/>
                    <pic:cNvPicPr/>
                  </pic:nvPicPr>
                  <pic:blipFill>
                    <a:blip r:embed="rId8"/>
                    <a:stretch>
                      <a:fillRect/>
                    </a:stretch>
                  </pic:blipFill>
                  <pic:spPr>
                    <a:xfrm>
                      <a:off x="0" y="0"/>
                      <a:ext cx="4051089" cy="2472999"/>
                    </a:xfrm>
                    <a:prstGeom prst="rect">
                      <a:avLst/>
                    </a:prstGeom>
                  </pic:spPr>
                </pic:pic>
              </a:graphicData>
            </a:graphic>
          </wp:inline>
        </w:drawing>
      </w:r>
    </w:p>
    <w:p w14:paraId="0E2B2F1D" w14:textId="199F0BAA" w:rsidR="00310F2C" w:rsidRPr="00F911D8" w:rsidRDefault="00F911D8" w:rsidP="00F911D8">
      <w:pPr>
        <w:pStyle w:val="MDPI51figurecaption"/>
      </w:pPr>
      <w:r w:rsidRPr="00F911D8">
        <w:rPr>
          <w:b/>
        </w:rPr>
        <w:t xml:space="preserve">Figure 1. </w:t>
      </w:r>
      <w:r w:rsidR="00310F2C" w:rsidRPr="00930DFA">
        <w:t>Pet ownership and whether respondents were sufficiently moderately active.</w:t>
      </w:r>
    </w:p>
    <w:p w14:paraId="29BB1EA3" w14:textId="14AB71C9" w:rsidR="00310F2C" w:rsidRPr="00AC4273" w:rsidRDefault="00A67CF3" w:rsidP="00F911D8">
      <w:pPr>
        <w:pStyle w:val="MDPI52figure"/>
        <w:ind w:left="2608"/>
        <w:jc w:val="left"/>
      </w:pPr>
      <w:r>
        <w:rPr>
          <w:noProof/>
        </w:rPr>
        <w:drawing>
          <wp:inline distT="0" distB="0" distL="0" distR="0" wp14:anchorId="1038FA2C" wp14:editId="4AA49583">
            <wp:extent cx="4033157" cy="2455501"/>
            <wp:effectExtent l="0" t="0" r="5715" b="2540"/>
            <wp:docPr id="9" name="Picture 9"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bar chart&#10;&#10;Description automatically generated"/>
                    <pic:cNvPicPr/>
                  </pic:nvPicPr>
                  <pic:blipFill>
                    <a:blip r:embed="rId9"/>
                    <a:stretch>
                      <a:fillRect/>
                    </a:stretch>
                  </pic:blipFill>
                  <pic:spPr>
                    <a:xfrm>
                      <a:off x="0" y="0"/>
                      <a:ext cx="4052699" cy="2467399"/>
                    </a:xfrm>
                    <a:prstGeom prst="rect">
                      <a:avLst/>
                    </a:prstGeom>
                  </pic:spPr>
                </pic:pic>
              </a:graphicData>
            </a:graphic>
          </wp:inline>
        </w:drawing>
      </w:r>
    </w:p>
    <w:p w14:paraId="4A820BC7" w14:textId="36F45D5F" w:rsidR="00310F2C" w:rsidRPr="00F911D8" w:rsidRDefault="00F911D8" w:rsidP="00F911D8">
      <w:pPr>
        <w:pStyle w:val="MDPI51figurecaption"/>
      </w:pPr>
      <w:r w:rsidRPr="00F911D8">
        <w:rPr>
          <w:b/>
        </w:rPr>
        <w:t xml:space="preserve">Figure 2. </w:t>
      </w:r>
      <w:r w:rsidR="00310F2C" w:rsidRPr="00930DFA">
        <w:t>Pet ownership and whether respondents were sufficiently vigorously active.</w:t>
      </w:r>
    </w:p>
    <w:p w14:paraId="7A0A9DA4" w14:textId="6BC89D47" w:rsidR="00310F2C" w:rsidRPr="00F50047" w:rsidRDefault="00310F2C" w:rsidP="00F911D8">
      <w:pPr>
        <w:pStyle w:val="MDPI31text"/>
      </w:pPr>
      <w:r w:rsidRPr="00BB6656">
        <w:t xml:space="preserve">Data were not normally distributed and </w:t>
      </w:r>
      <w:r w:rsidRPr="00F50047">
        <w:t>therefore chi-squared tests were used to examine differences in physically activity by pet ownership.</w:t>
      </w:r>
      <w:r w:rsidR="00630CAE" w:rsidRPr="00F50047">
        <w:t xml:space="preserve"> </w:t>
      </w:r>
      <w:r w:rsidRPr="00F50047">
        <w:t xml:space="preserve">The association between pet ownership and days moderately physically active was </w:t>
      </w:r>
      <w:r w:rsidRPr="00381945">
        <w:t xml:space="preserve">significant, </w:t>
      </w:r>
      <w:r w:rsidRPr="00381945">
        <w:rPr>
          <w:rStyle w:val="Emphasis"/>
        </w:rPr>
        <w:t>X</w:t>
      </w:r>
      <w:r w:rsidRPr="00381945">
        <w:rPr>
          <w:vertAlign w:val="superscript"/>
        </w:rPr>
        <w:t>2</w:t>
      </w:r>
      <w:r w:rsidR="00630CAE" w:rsidRPr="00381945">
        <w:rPr>
          <w:vertAlign w:val="superscript"/>
        </w:rPr>
        <w:t xml:space="preserve"> </w:t>
      </w:r>
      <w:r w:rsidRPr="00381945">
        <w:t>(4, N</w:t>
      </w:r>
      <w:r w:rsidR="00D6557C" w:rsidRPr="00381945">
        <w:t xml:space="preserve"> </w:t>
      </w:r>
      <w:r w:rsidRPr="00381945">
        <w:t>=</w:t>
      </w:r>
      <w:r w:rsidR="00D6557C" w:rsidRPr="00381945">
        <w:t xml:space="preserve"> </w:t>
      </w:r>
      <w:r w:rsidRPr="00381945">
        <w:t>4040)</w:t>
      </w:r>
      <w:r w:rsidR="00D6557C" w:rsidRPr="00381945">
        <w:t xml:space="preserve"> </w:t>
      </w:r>
      <w:r w:rsidRPr="00381945">
        <w:t>=</w:t>
      </w:r>
      <w:r w:rsidR="00D6557C" w:rsidRPr="00381945">
        <w:t xml:space="preserve"> </w:t>
      </w:r>
      <w:r w:rsidRPr="00381945">
        <w:t>27.</w:t>
      </w:r>
      <w:r w:rsidRPr="00F50047">
        <w:t>66,</w:t>
      </w:r>
      <w:r w:rsidR="00B216BC" w:rsidRPr="00F50047">
        <w:rPr>
          <w:i/>
        </w:rPr>
        <w:t xml:space="preserve"> p </w:t>
      </w:r>
      <w:r w:rsidR="00B216BC" w:rsidRPr="00F50047">
        <w:t>&lt; 0.</w:t>
      </w:r>
      <w:r w:rsidRPr="00F50047">
        <w:t>001, Cramer’s V =</w:t>
      </w:r>
      <w:r w:rsidR="00B216BC" w:rsidRPr="00F50047">
        <w:t xml:space="preserve"> 0.0</w:t>
      </w:r>
      <w:r w:rsidRPr="00F50047">
        <w:t>83.</w:t>
      </w:r>
      <w:r w:rsidR="00630CAE" w:rsidRPr="00F50047">
        <w:t xml:space="preserve"> </w:t>
      </w:r>
      <w:r w:rsidRPr="00F50047">
        <w:t>This suggests that those who had a pet were more likely to have a higher number of days moderately physically active than those who did not own a pet.</w:t>
      </w:r>
      <w:r w:rsidR="00630CAE" w:rsidRPr="00F50047">
        <w:t xml:space="preserve"> </w:t>
      </w:r>
      <w:r w:rsidRPr="00F50047">
        <w:t xml:space="preserve">Similarly, days when taking part in vigorous physical activity and owning a pet was shown to be significant, </w:t>
      </w:r>
      <w:r w:rsidRPr="00F50047">
        <w:rPr>
          <w:rStyle w:val="Emphasis"/>
        </w:rPr>
        <w:t>X</w:t>
      </w:r>
      <w:r w:rsidRPr="00F50047">
        <w:rPr>
          <w:vertAlign w:val="superscript"/>
        </w:rPr>
        <w:t>2</w:t>
      </w:r>
      <w:r w:rsidR="00630CAE" w:rsidRPr="00F50047">
        <w:rPr>
          <w:vertAlign w:val="superscript"/>
        </w:rPr>
        <w:t xml:space="preserve"> </w:t>
      </w:r>
      <w:r w:rsidRPr="00F50047">
        <w:t>(4, N</w:t>
      </w:r>
      <w:r w:rsidR="00F50047" w:rsidRPr="00F50047">
        <w:t xml:space="preserve"> </w:t>
      </w:r>
      <w:r w:rsidRPr="00F50047">
        <w:t>=</w:t>
      </w:r>
      <w:r w:rsidR="00F50047" w:rsidRPr="00F50047">
        <w:t xml:space="preserve"> </w:t>
      </w:r>
      <w:r w:rsidRPr="00F50047">
        <w:t>4040)</w:t>
      </w:r>
      <w:r w:rsidR="00F50047" w:rsidRPr="00F50047">
        <w:t xml:space="preserve"> </w:t>
      </w:r>
      <w:r w:rsidRPr="00F50047">
        <w:t>=</w:t>
      </w:r>
      <w:r w:rsidR="00F50047" w:rsidRPr="00F50047">
        <w:t xml:space="preserve"> </w:t>
      </w:r>
      <w:r w:rsidRPr="00F50047">
        <w:t xml:space="preserve">16.99, </w:t>
      </w:r>
      <w:r w:rsidRPr="00F50047">
        <w:rPr>
          <w:i/>
          <w:iCs/>
        </w:rPr>
        <w:t>p</w:t>
      </w:r>
      <w:r w:rsidR="00F50047" w:rsidRPr="00F50047">
        <w:t xml:space="preserve"> </w:t>
      </w:r>
      <w:r w:rsidRPr="00F50047">
        <w:t>=</w:t>
      </w:r>
      <w:r w:rsidR="00F50047" w:rsidRPr="00F50047">
        <w:t xml:space="preserve"> 0</w:t>
      </w:r>
      <w:r w:rsidRPr="00F50047">
        <w:t>.002, Cramer’s V =</w:t>
      </w:r>
      <w:r w:rsidR="00B216BC" w:rsidRPr="00F50047">
        <w:t xml:space="preserve"> 0.0</w:t>
      </w:r>
      <w:r w:rsidRPr="00F50047">
        <w:t>65.</w:t>
      </w:r>
      <w:r w:rsidR="00630CAE" w:rsidRPr="00F50047">
        <w:t xml:space="preserve"> </w:t>
      </w:r>
      <w:r w:rsidRPr="00F50047">
        <w:t>This suggests that those who had a pet were more likely to have a higher number</w:t>
      </w:r>
      <w:r w:rsidRPr="00BB6656">
        <w:t xml:space="preserve"> of days completing vigorous physical </w:t>
      </w:r>
      <w:r w:rsidRPr="00F50047">
        <w:t>activity than those who did not own a pet.</w:t>
      </w:r>
    </w:p>
    <w:p w14:paraId="044EA04E" w14:textId="5705A3F8" w:rsidR="00310F2C" w:rsidRPr="007B18F6" w:rsidRDefault="00310F2C" w:rsidP="00F911D8">
      <w:pPr>
        <w:pStyle w:val="MDPI31text"/>
      </w:pPr>
      <w:r w:rsidRPr="00F50047">
        <w:t>A subgroup analysis examining gender and age were conducted to examine differences in pet ownership and physical activity levels.</w:t>
      </w:r>
      <w:r w:rsidR="00630CAE" w:rsidRPr="00F50047">
        <w:t xml:space="preserve"> </w:t>
      </w:r>
      <w:r w:rsidRPr="00F50047">
        <w:t xml:space="preserve">In terms of physical activity levels, the association between gender and days moderately physically active was significant, </w:t>
      </w:r>
      <w:r w:rsidRPr="00F50047">
        <w:rPr>
          <w:rStyle w:val="Emphasis"/>
        </w:rPr>
        <w:t>X</w:t>
      </w:r>
      <w:r w:rsidRPr="00F50047">
        <w:rPr>
          <w:vertAlign w:val="superscript"/>
        </w:rPr>
        <w:t>2</w:t>
      </w:r>
      <w:r w:rsidR="00630CAE" w:rsidRPr="00F50047">
        <w:rPr>
          <w:vertAlign w:val="superscript"/>
        </w:rPr>
        <w:t xml:space="preserve"> </w:t>
      </w:r>
      <w:r w:rsidRPr="00F50047">
        <w:t>(4, N</w:t>
      </w:r>
      <w:r w:rsidR="00F50047">
        <w:t xml:space="preserve"> </w:t>
      </w:r>
      <w:r w:rsidRPr="00F50047">
        <w:t>=</w:t>
      </w:r>
      <w:r w:rsidR="00F50047">
        <w:t xml:space="preserve"> </w:t>
      </w:r>
      <w:r w:rsidRPr="00F50047">
        <w:t>4040)</w:t>
      </w:r>
      <w:r w:rsidR="00F50047">
        <w:t xml:space="preserve"> </w:t>
      </w:r>
      <w:r w:rsidRPr="00F50047">
        <w:t>=</w:t>
      </w:r>
      <w:r w:rsidR="00F50047">
        <w:t xml:space="preserve"> </w:t>
      </w:r>
      <w:r w:rsidRPr="00F50047">
        <w:t>25.53,</w:t>
      </w:r>
      <w:r w:rsidR="00B216BC" w:rsidRPr="00F50047">
        <w:rPr>
          <w:i/>
        </w:rPr>
        <w:t xml:space="preserve"> p </w:t>
      </w:r>
      <w:r w:rsidR="00B216BC" w:rsidRPr="00F50047">
        <w:t>&lt; 0.</w:t>
      </w:r>
      <w:r w:rsidRPr="00F50047">
        <w:t>001, Cramer’s V =</w:t>
      </w:r>
      <w:r w:rsidR="00B216BC" w:rsidRPr="00F50047">
        <w:t xml:space="preserve"> 0.0</w:t>
      </w:r>
      <w:r w:rsidRPr="00F50047">
        <w:t>79.</w:t>
      </w:r>
      <w:r w:rsidR="00630CAE">
        <w:t xml:space="preserve"> </w:t>
      </w:r>
      <w:r w:rsidRPr="00930DFA">
        <w:t xml:space="preserve">The </w:t>
      </w:r>
      <w:r>
        <w:t>association</w:t>
      </w:r>
      <w:r w:rsidRPr="00930DFA">
        <w:t xml:space="preserve"> between gender and days </w:t>
      </w:r>
      <w:r w:rsidRPr="00930DFA">
        <w:lastRenderedPageBreak/>
        <w:t xml:space="preserve">vigorously physically </w:t>
      </w:r>
      <w:r w:rsidRPr="007B18F6">
        <w:t>active was significant,</w:t>
      </w:r>
      <w:r w:rsidRPr="007B18F6">
        <w:rPr>
          <w:rStyle w:val="Emphasis"/>
        </w:rPr>
        <w:t xml:space="preserve"> X</w:t>
      </w:r>
      <w:r w:rsidRPr="007B18F6">
        <w:rPr>
          <w:vertAlign w:val="superscript"/>
        </w:rPr>
        <w:t>2</w:t>
      </w:r>
      <w:r w:rsidR="00630CAE" w:rsidRPr="007B18F6">
        <w:rPr>
          <w:vertAlign w:val="superscript"/>
        </w:rPr>
        <w:t xml:space="preserve"> </w:t>
      </w:r>
      <w:r w:rsidRPr="007B18F6">
        <w:t>(4, N</w:t>
      </w:r>
      <w:r w:rsidR="007F2133" w:rsidRPr="007B18F6">
        <w:t xml:space="preserve"> = </w:t>
      </w:r>
      <w:r w:rsidRPr="007B18F6">
        <w:t>4040)</w:t>
      </w:r>
      <w:r w:rsidR="007F2133" w:rsidRPr="007B18F6">
        <w:t xml:space="preserve"> = </w:t>
      </w:r>
      <w:r w:rsidRPr="007B18F6">
        <w:t>44.19,</w:t>
      </w:r>
      <w:r w:rsidR="00B216BC" w:rsidRPr="007B18F6">
        <w:rPr>
          <w:i/>
        </w:rPr>
        <w:t xml:space="preserve"> p </w:t>
      </w:r>
      <w:r w:rsidR="00B216BC" w:rsidRPr="007B18F6">
        <w:t>&lt; 0.</w:t>
      </w:r>
      <w:r w:rsidRPr="007B18F6">
        <w:t>001, Cramer’s V</w:t>
      </w:r>
      <w:r w:rsidR="007F2133" w:rsidRPr="007B18F6">
        <w:t xml:space="preserve"> = </w:t>
      </w:r>
      <w:r w:rsidR="00B216BC" w:rsidRPr="007B18F6">
        <w:t>0.1</w:t>
      </w:r>
      <w:r w:rsidRPr="007B18F6">
        <w:t>05.</w:t>
      </w:r>
      <w:r w:rsidR="00630CAE" w:rsidRPr="007B18F6">
        <w:t xml:space="preserve"> </w:t>
      </w:r>
      <w:r w:rsidRPr="007B18F6">
        <w:t>With males being significantly more active than females.</w:t>
      </w:r>
      <w:r w:rsidR="00630CAE" w:rsidRPr="007B18F6">
        <w:t xml:space="preserve"> </w:t>
      </w:r>
      <w:r w:rsidRPr="007B18F6">
        <w:t>In addition, on further analysis with males (</w:t>
      </w:r>
      <w:r w:rsidR="007F2133" w:rsidRPr="007B18F6">
        <w:rPr>
          <w:i/>
        </w:rPr>
        <w:t>p &lt;</w:t>
      </w:r>
      <w:r w:rsidR="00B216BC" w:rsidRPr="007B18F6">
        <w:t xml:space="preserve"> 0.</w:t>
      </w:r>
      <w:r w:rsidRPr="007B18F6">
        <w:t>001) and females (</w:t>
      </w:r>
      <w:r w:rsidRPr="007B18F6">
        <w:rPr>
          <w:i/>
          <w:iCs/>
        </w:rPr>
        <w:t>p</w:t>
      </w:r>
      <w:r w:rsidR="007F2133" w:rsidRPr="007B18F6">
        <w:t xml:space="preserve"> = 0</w:t>
      </w:r>
      <w:r w:rsidRPr="007B18F6">
        <w:t>.026) with a pet were significantly more likely to be sufficiently moderately physically active.</w:t>
      </w:r>
      <w:r w:rsidR="00630CAE" w:rsidRPr="007B18F6">
        <w:t xml:space="preserve"> </w:t>
      </w:r>
      <w:r w:rsidRPr="007B18F6">
        <w:t>However, in terms of vigorous physical activity and pet ownership there was no significant difference between females (</w:t>
      </w:r>
      <w:r w:rsidR="007F2133" w:rsidRPr="007B18F6">
        <w:rPr>
          <w:i/>
        </w:rPr>
        <w:t>p =</w:t>
      </w:r>
      <w:r w:rsidR="007F2133" w:rsidRPr="007B18F6">
        <w:t xml:space="preserve"> </w:t>
      </w:r>
      <w:r w:rsidRPr="007B18F6">
        <w:t>.451).</w:t>
      </w:r>
    </w:p>
    <w:p w14:paraId="57689066" w14:textId="47F75C19" w:rsidR="00310F2C" w:rsidRPr="007B18F6" w:rsidRDefault="00310F2C" w:rsidP="00F911D8">
      <w:pPr>
        <w:pStyle w:val="MDPI31text"/>
      </w:pPr>
      <w:r w:rsidRPr="007B18F6">
        <w:t>In terms of age, there was a significant difference in days moderately vigorously active</w:t>
      </w:r>
      <w:r w:rsidR="00630CAE" w:rsidRPr="007B18F6">
        <w:t xml:space="preserve"> </w:t>
      </w:r>
      <w:r w:rsidRPr="007B18F6">
        <w:t>(</w:t>
      </w:r>
      <w:r w:rsidRPr="007B18F6">
        <w:rPr>
          <w:rStyle w:val="Emphasis"/>
        </w:rPr>
        <w:t>X</w:t>
      </w:r>
      <w:r w:rsidRPr="007B18F6">
        <w:rPr>
          <w:vertAlign w:val="superscript"/>
        </w:rPr>
        <w:t>2</w:t>
      </w:r>
      <w:r w:rsidR="00630CAE" w:rsidRPr="007B18F6">
        <w:rPr>
          <w:vertAlign w:val="superscript"/>
        </w:rPr>
        <w:t xml:space="preserve"> </w:t>
      </w:r>
      <w:r w:rsidRPr="007B18F6">
        <w:t>(4, N</w:t>
      </w:r>
      <w:r w:rsidR="007F2133" w:rsidRPr="007B18F6">
        <w:t xml:space="preserve"> = </w:t>
      </w:r>
      <w:r w:rsidRPr="007B18F6">
        <w:t>4040)</w:t>
      </w:r>
      <w:r w:rsidR="007F2133" w:rsidRPr="007B18F6">
        <w:t xml:space="preserve"> = </w:t>
      </w:r>
      <w:r w:rsidRPr="007B18F6">
        <w:t>13.07,</w:t>
      </w:r>
      <w:r w:rsidR="00B216BC" w:rsidRPr="007B18F6">
        <w:rPr>
          <w:i/>
        </w:rPr>
        <w:t xml:space="preserve"> </w:t>
      </w:r>
      <w:r w:rsidR="007F2133" w:rsidRPr="007B18F6">
        <w:rPr>
          <w:i/>
        </w:rPr>
        <w:t>p &lt;</w:t>
      </w:r>
      <w:r w:rsidR="00B216BC" w:rsidRPr="007B18F6">
        <w:t xml:space="preserve"> 0.</w:t>
      </w:r>
      <w:r w:rsidRPr="007B18F6">
        <w:t>001, Cramer’s V</w:t>
      </w:r>
      <w:r w:rsidR="007F2133" w:rsidRPr="007B18F6">
        <w:t xml:space="preserve"> = </w:t>
      </w:r>
      <w:r w:rsidR="00B216BC" w:rsidRPr="007B18F6">
        <w:t>0.0</w:t>
      </w:r>
      <w:r w:rsidRPr="007B18F6">
        <w:t>57) and vigorously active (</w:t>
      </w:r>
      <w:r w:rsidRPr="007B18F6">
        <w:rPr>
          <w:rStyle w:val="Emphasis"/>
        </w:rPr>
        <w:t>X</w:t>
      </w:r>
      <w:r w:rsidRPr="007B18F6">
        <w:rPr>
          <w:vertAlign w:val="superscript"/>
        </w:rPr>
        <w:t>2</w:t>
      </w:r>
      <w:r w:rsidR="00630CAE" w:rsidRPr="007B18F6">
        <w:rPr>
          <w:vertAlign w:val="superscript"/>
        </w:rPr>
        <w:t xml:space="preserve"> </w:t>
      </w:r>
      <w:r w:rsidRPr="007B18F6">
        <w:t>(4, N</w:t>
      </w:r>
      <w:r w:rsidR="007F2133" w:rsidRPr="007B18F6">
        <w:t xml:space="preserve"> = </w:t>
      </w:r>
      <w:r w:rsidRPr="007B18F6">
        <w:t>4040)</w:t>
      </w:r>
      <w:r w:rsidR="007F2133" w:rsidRPr="007B18F6">
        <w:t xml:space="preserve"> = </w:t>
      </w:r>
      <w:r w:rsidRPr="007B18F6">
        <w:t>9.51,</w:t>
      </w:r>
      <w:r w:rsidR="00B216BC" w:rsidRPr="007B18F6">
        <w:rPr>
          <w:i/>
        </w:rPr>
        <w:t xml:space="preserve"> </w:t>
      </w:r>
      <w:r w:rsidR="007F2133" w:rsidRPr="007B18F6">
        <w:rPr>
          <w:i/>
        </w:rPr>
        <w:t>p &lt;</w:t>
      </w:r>
      <w:r w:rsidR="00B216BC" w:rsidRPr="007B18F6">
        <w:t xml:space="preserve"> 0.</w:t>
      </w:r>
      <w:r w:rsidRPr="007B18F6">
        <w:t>001, Cramer’s V</w:t>
      </w:r>
      <w:r w:rsidR="007F2133" w:rsidRPr="007B18F6">
        <w:t xml:space="preserve"> = </w:t>
      </w:r>
      <w:r w:rsidR="00B216BC" w:rsidRPr="007B18F6">
        <w:t>0.0</w:t>
      </w:r>
      <w:r w:rsidRPr="007B18F6">
        <w:t>79), with those in the 65 to less than 85 age group more active than those in the 85 years and older age group.</w:t>
      </w:r>
      <w:r w:rsidR="00630CAE" w:rsidRPr="007B18F6">
        <w:t xml:space="preserve"> </w:t>
      </w:r>
      <w:r w:rsidRPr="007B18F6">
        <w:t>In addition, on further analysis in the subgroups 65 to 85 (</w:t>
      </w:r>
      <w:r w:rsidR="007F2133" w:rsidRPr="007B18F6">
        <w:rPr>
          <w:i/>
        </w:rPr>
        <w:t>p &lt;</w:t>
      </w:r>
      <w:r w:rsidR="00B216BC" w:rsidRPr="007B18F6">
        <w:t xml:space="preserve"> 0.</w:t>
      </w:r>
      <w:r w:rsidRPr="007B18F6">
        <w:t>001) and 85 year and older (</w:t>
      </w:r>
      <w:r w:rsidR="007F2133" w:rsidRPr="007B18F6">
        <w:rPr>
          <w:i/>
        </w:rPr>
        <w:t>p &lt;</w:t>
      </w:r>
      <w:r w:rsidR="00B216BC" w:rsidRPr="007B18F6">
        <w:t xml:space="preserve"> 0.</w:t>
      </w:r>
      <w:r w:rsidRPr="007B18F6">
        <w:t>001) with a pet were significantly more likely to be sufficiently moderately physically active.</w:t>
      </w:r>
      <w:r w:rsidR="00630CAE" w:rsidRPr="007B18F6">
        <w:t xml:space="preserve"> </w:t>
      </w:r>
      <w:r w:rsidRPr="007B18F6">
        <w:t>However, in terms of vigorous physical activity and pet ownership there was no significant difference between those in the 85 years age and older age group (</w:t>
      </w:r>
      <w:r w:rsidR="007F2133" w:rsidRPr="007B18F6">
        <w:rPr>
          <w:i/>
        </w:rPr>
        <w:t>p =</w:t>
      </w:r>
      <w:r w:rsidR="007F2133" w:rsidRPr="007B18F6">
        <w:t xml:space="preserve"> </w:t>
      </w:r>
      <w:r w:rsidR="003776C2" w:rsidRPr="007B18F6">
        <w:t>0</w:t>
      </w:r>
      <w:r w:rsidRPr="007B18F6">
        <w:t>.694).</w:t>
      </w:r>
    </w:p>
    <w:p w14:paraId="669A18D1" w14:textId="5F808BBE" w:rsidR="00310F2C" w:rsidRPr="00AC4273" w:rsidRDefault="00310F2C" w:rsidP="00F911D8">
      <w:pPr>
        <w:pStyle w:val="MDPI31text"/>
        <w:rPr>
          <w:rFonts w:eastAsia="ArialMT"/>
        </w:rPr>
      </w:pPr>
      <w:r w:rsidRPr="007B18F6">
        <w:rPr>
          <w:rFonts w:eastAsia="ArialMT"/>
        </w:rPr>
        <w:t>An ordinal logistic regression revealed that an increase in moderate activity days was associated with pet ownership with an odds ratio of</w:t>
      </w:r>
      <w:r w:rsidR="00B216BC" w:rsidRPr="007B18F6">
        <w:rPr>
          <w:rFonts w:eastAsia="ArialMT"/>
        </w:rPr>
        <w:t xml:space="preserve"> 0.1</w:t>
      </w:r>
      <w:r w:rsidRPr="007B18F6">
        <w:rPr>
          <w:rFonts w:eastAsia="ArialMT"/>
        </w:rPr>
        <w:t xml:space="preserve">11 (95% CI, </w:t>
      </w:r>
      <w:r w:rsidR="007B18F6" w:rsidRPr="007B18F6">
        <w:rPr>
          <w:rFonts w:eastAsia="ArialMT"/>
        </w:rPr>
        <w:t>−0</w:t>
      </w:r>
      <w:r w:rsidRPr="007B18F6">
        <w:rPr>
          <w:rFonts w:eastAsia="ArialMT"/>
        </w:rPr>
        <w:t>.036 to</w:t>
      </w:r>
      <w:r w:rsidR="00B216BC" w:rsidRPr="007B18F6">
        <w:rPr>
          <w:rFonts w:eastAsia="ArialMT"/>
        </w:rPr>
        <w:t xml:space="preserve"> 0.3</w:t>
      </w:r>
      <w:r w:rsidRPr="007B18F6">
        <w:rPr>
          <w:rFonts w:eastAsia="ArialMT"/>
        </w:rPr>
        <w:t xml:space="preserve">37), Wald </w:t>
      </w:r>
      <w:r w:rsidRPr="007B18F6">
        <w:rPr>
          <w:rFonts w:ascii="Times New Roman" w:eastAsia="ArialMT" w:hAnsi="Times New Roman"/>
        </w:rPr>
        <w:t>ꭓ</w:t>
      </w:r>
      <w:r w:rsidRPr="007B18F6">
        <w:rPr>
          <w:rFonts w:eastAsia="ArialMT"/>
          <w:vertAlign w:val="superscript"/>
        </w:rPr>
        <w:t xml:space="preserve">2 </w:t>
      </w:r>
      <w:r w:rsidRPr="007B18F6">
        <w:rPr>
          <w:rFonts w:eastAsia="ArialMT"/>
        </w:rPr>
        <w:t>(1) 15.013,</w:t>
      </w:r>
      <w:r w:rsidR="00B216BC" w:rsidRPr="007B18F6">
        <w:rPr>
          <w:rFonts w:eastAsia="ArialMT"/>
          <w:i/>
        </w:rPr>
        <w:t xml:space="preserve"> </w:t>
      </w:r>
      <w:r w:rsidR="007F2133" w:rsidRPr="007B18F6">
        <w:rPr>
          <w:rFonts w:eastAsia="ArialMT"/>
          <w:i/>
        </w:rPr>
        <w:t>p &lt;</w:t>
      </w:r>
      <w:r w:rsidR="00B216BC" w:rsidRPr="007B18F6">
        <w:rPr>
          <w:rFonts w:eastAsia="ArialMT"/>
        </w:rPr>
        <w:t xml:space="preserve"> 0.</w:t>
      </w:r>
      <w:r w:rsidRPr="007B18F6">
        <w:rPr>
          <w:rFonts w:eastAsia="ArialMT"/>
        </w:rPr>
        <w:t>001.</w:t>
      </w:r>
      <w:r w:rsidR="00630CAE" w:rsidRPr="007B18F6">
        <w:rPr>
          <w:rFonts w:eastAsia="ArialMT"/>
        </w:rPr>
        <w:t xml:space="preserve"> </w:t>
      </w:r>
      <w:r w:rsidRPr="007B18F6">
        <w:rPr>
          <w:rFonts w:eastAsia="ArialMT"/>
        </w:rPr>
        <w:t>An increase in vigorous activity days was associated with pet ownership with an odds ratio of</w:t>
      </w:r>
      <w:r w:rsidR="00B216BC" w:rsidRPr="007B18F6">
        <w:rPr>
          <w:rFonts w:eastAsia="ArialMT"/>
        </w:rPr>
        <w:t xml:space="preserve"> 0.0</w:t>
      </w:r>
      <w:r w:rsidRPr="007B18F6">
        <w:rPr>
          <w:rFonts w:eastAsia="ArialMT"/>
        </w:rPr>
        <w:t>39 (95% CI,</w:t>
      </w:r>
      <w:r w:rsidR="00B216BC" w:rsidRPr="007B18F6">
        <w:rPr>
          <w:rFonts w:eastAsia="ArialMT"/>
        </w:rPr>
        <w:t xml:space="preserve"> 0.0</w:t>
      </w:r>
      <w:r w:rsidRPr="007B18F6">
        <w:rPr>
          <w:rFonts w:eastAsia="ArialMT"/>
        </w:rPr>
        <w:t>04 to</w:t>
      </w:r>
      <w:r w:rsidR="00B216BC" w:rsidRPr="007B18F6">
        <w:rPr>
          <w:rFonts w:eastAsia="ArialMT"/>
        </w:rPr>
        <w:t xml:space="preserve"> 0.3</w:t>
      </w:r>
      <w:r w:rsidRPr="007B18F6">
        <w:rPr>
          <w:rFonts w:eastAsia="ArialMT"/>
        </w:rPr>
        <w:t xml:space="preserve">42), Wald </w:t>
      </w:r>
      <w:r w:rsidRPr="007B18F6">
        <w:rPr>
          <w:rFonts w:ascii="Times New Roman" w:eastAsia="ArialMT" w:hAnsi="Times New Roman"/>
        </w:rPr>
        <w:t>ꭓ</w:t>
      </w:r>
      <w:r w:rsidRPr="007B18F6">
        <w:rPr>
          <w:rFonts w:eastAsia="ArialMT"/>
          <w:vertAlign w:val="superscript"/>
        </w:rPr>
        <w:t xml:space="preserve">2 </w:t>
      </w:r>
      <w:r w:rsidRPr="007B18F6">
        <w:rPr>
          <w:rFonts w:eastAsia="ArialMT"/>
        </w:rPr>
        <w:t xml:space="preserve">(1) 8.952, </w:t>
      </w:r>
      <w:r w:rsidR="007F2133" w:rsidRPr="007B18F6">
        <w:rPr>
          <w:rFonts w:eastAsia="ArialMT"/>
          <w:i/>
        </w:rPr>
        <w:t>p =</w:t>
      </w:r>
      <w:r w:rsidR="007F2133" w:rsidRPr="007B18F6">
        <w:rPr>
          <w:rFonts w:eastAsia="ArialMT"/>
        </w:rPr>
        <w:t xml:space="preserve"> </w:t>
      </w:r>
      <w:r w:rsidR="007B18F6" w:rsidRPr="007B18F6">
        <w:rPr>
          <w:rFonts w:eastAsia="ArialMT"/>
        </w:rPr>
        <w:t>0</w:t>
      </w:r>
      <w:r w:rsidRPr="007B18F6">
        <w:rPr>
          <w:rFonts w:eastAsia="ArialMT"/>
        </w:rPr>
        <w:t>.003</w:t>
      </w:r>
      <w:r w:rsidRPr="00930DFA">
        <w:rPr>
          <w:rFonts w:eastAsia="ArialMT"/>
        </w:rPr>
        <w:t>).</w:t>
      </w:r>
    </w:p>
    <w:p w14:paraId="453DF180" w14:textId="275396F8" w:rsidR="00310F2C" w:rsidRDefault="00F911D8" w:rsidP="00F911D8">
      <w:pPr>
        <w:pStyle w:val="MDPI21heading1"/>
      </w:pPr>
      <w:r>
        <w:t xml:space="preserve">4. </w:t>
      </w:r>
      <w:r w:rsidR="00310F2C" w:rsidRPr="00AC4273">
        <w:t>Discussion</w:t>
      </w:r>
    </w:p>
    <w:p w14:paraId="7466A4D9" w14:textId="6602F326" w:rsidR="00310F2C" w:rsidRPr="00AC4273" w:rsidRDefault="00310F2C" w:rsidP="00F911D8">
      <w:pPr>
        <w:pStyle w:val="MDPI31text"/>
      </w:pPr>
      <w:r>
        <w:t>The NICOLA study is a longitudinal study of aging in Northern Ireland.</w:t>
      </w:r>
      <w:r w:rsidR="00630CAE">
        <w:t xml:space="preserve"> </w:t>
      </w:r>
      <w:r w:rsidRPr="00AC4273">
        <w:t>The aim of the present study was to</w:t>
      </w:r>
      <w:r>
        <w:t xml:space="preserve"> conduct a secondary data analysis to</w:t>
      </w:r>
      <w:r w:rsidRPr="00AC4273">
        <w:t xml:space="preserve"> compare the association of pet ownership and days of moderate and vigorous physical activity levels</w:t>
      </w:r>
      <w:r>
        <w:t xml:space="preserve"> of older adults (65 years and older) in Northern Ireland</w:t>
      </w:r>
      <w:r w:rsidRPr="00AC4273">
        <w:t xml:space="preserve"> </w:t>
      </w:r>
      <w:r>
        <w:t>Previous studies have considered pet ownership and mental health variables such as depression which is why this study chose to focus on physical activity variables.</w:t>
      </w:r>
      <w:r w:rsidR="00630CAE">
        <w:t xml:space="preserve"> </w:t>
      </w:r>
      <w:r w:rsidRPr="00AC4273">
        <w:t xml:space="preserve">Our results show that pet ownership has a positive </w:t>
      </w:r>
      <w:r w:rsidRPr="00930DFA">
        <w:t>influence on the physical activity levels of older adults (</w:t>
      </w:r>
      <w:r w:rsidR="007F2133" w:rsidRPr="007F2133">
        <w:rPr>
          <w:i/>
        </w:rPr>
        <w:t xml:space="preserve">p </w:t>
      </w:r>
      <w:r w:rsidR="007F2133" w:rsidRPr="007D7EFC">
        <w:rPr>
          <w:i/>
        </w:rPr>
        <w:t>&lt;</w:t>
      </w:r>
      <w:r w:rsidR="00B216BC" w:rsidRPr="007D7EFC">
        <w:t xml:space="preserve"> 0.</w:t>
      </w:r>
      <w:r w:rsidRPr="007D7EFC">
        <w:t>005</w:t>
      </w:r>
      <w:r w:rsidRPr="00930DFA">
        <w:t>).</w:t>
      </w:r>
      <w:r w:rsidR="00630CAE">
        <w:t xml:space="preserve"> </w:t>
      </w:r>
      <w:r w:rsidRPr="00930DFA">
        <w:t>However, even those who have pets were not often considerably physically active.</w:t>
      </w:r>
      <w:r w:rsidR="00630CAE">
        <w:t xml:space="preserve"> </w:t>
      </w:r>
      <w:r w:rsidRPr="00930DFA">
        <w:t>Overall while the findings showed a significant difference between pet ownership and level of moderate/vigorous physical activity, the findings for meeting sufficient levels of physical activity are very low. For the overall sample only 10.0% of respondents met the five days or more a week that they were sufficiently moderately active, whereas only3.5% met the guidelines for being sufficiently vigorously active a week.</w:t>
      </w:r>
      <w:r w:rsidR="00630CAE">
        <w:t xml:space="preserve"> </w:t>
      </w:r>
      <w:r w:rsidRPr="00930DFA">
        <w:t>There was a higher percentage of pet owners who met the guidelines for moderate physical activity weekly (12.8%) in comparison to non-pet owners (8.7%). This was similar for weekly vigorous physical activity, in which pet owners had a higher percentage (4.7%) than those who were non pet owners (3.0%)</w:t>
      </w:r>
      <w:r w:rsidR="00630CAE">
        <w:t xml:space="preserve"> </w:t>
      </w:r>
      <w:r w:rsidRPr="00930DFA">
        <w:t>On comparison with previous Northern Ireland data for older adults of 41% [35]</w:t>
      </w:r>
      <w:r w:rsidR="00630CAE">
        <w:t xml:space="preserve"> </w:t>
      </w:r>
      <w:r w:rsidRPr="00930DFA">
        <w:t>this figure is alarmingly low</w:t>
      </w:r>
      <w:r>
        <w:t>.</w:t>
      </w:r>
    </w:p>
    <w:p w14:paraId="20CF0182" w14:textId="673358DD" w:rsidR="00310F2C" w:rsidRPr="00AC4273" w:rsidRDefault="00310F2C" w:rsidP="00F911D8">
      <w:pPr>
        <w:pStyle w:val="MDPI31text"/>
      </w:pPr>
      <w:r w:rsidRPr="00AC4273">
        <w:t>Similarly, a study by Park et al. [</w:t>
      </w:r>
      <w:r>
        <w:t>46</w:t>
      </w:r>
      <w:r w:rsidRPr="00AC4273">
        <w:t xml:space="preserve">] found that dog walkers had significantly higher physical activity levels than non-dog-walkers though this study included Korean </w:t>
      </w:r>
      <w:r>
        <w:t>older</w:t>
      </w:r>
      <w:r w:rsidRPr="00AC4273">
        <w:t xml:space="preserve"> adults with a mean age of 4</w:t>
      </w:r>
      <w:r w:rsidR="00273B11" w:rsidRPr="00AC4273">
        <w:t>2</w:t>
      </w:r>
      <w:r w:rsidR="00273B11">
        <w:t>–</w:t>
      </w:r>
      <w:r w:rsidR="00273B11" w:rsidRPr="00AC4273">
        <w:t>45</w:t>
      </w:r>
      <w:r w:rsidRPr="00AC4273">
        <w:t xml:space="preserve"> years old, therefore </w:t>
      </w:r>
      <w:proofErr w:type="spellStart"/>
      <w:r w:rsidRPr="00AC4273">
        <w:t>generalisations</w:t>
      </w:r>
      <w:proofErr w:type="spellEnd"/>
      <w:r w:rsidRPr="00AC4273">
        <w:t xml:space="preserve"> cannot be made with this study.</w:t>
      </w:r>
      <w:r w:rsidR="00630CAE">
        <w:t xml:space="preserve"> </w:t>
      </w:r>
      <w:proofErr w:type="spellStart"/>
      <w:r w:rsidRPr="00AC4273">
        <w:t>Machova</w:t>
      </w:r>
      <w:proofErr w:type="spellEnd"/>
      <w:r w:rsidRPr="00AC4273">
        <w:t xml:space="preserve"> et al. [</w:t>
      </w:r>
      <w:r>
        <w:t>43</w:t>
      </w:r>
      <w:r w:rsidRPr="00AC4273">
        <w:t>] also reported a significant difference in dog owners’ levels of physical activity compared to non-pet owners.</w:t>
      </w:r>
      <w:r w:rsidR="00630CAE">
        <w:t xml:space="preserve"> </w:t>
      </w:r>
      <w:r w:rsidRPr="00AC4273">
        <w:t xml:space="preserve">While our current study does not specify the type of pet, similarities can be made between these findings as both show significant differences in physical activity levels, with higher activity levels being shown in those with pets and lower activity levels in those without pets. While not in older adults the study by </w:t>
      </w:r>
      <w:proofErr w:type="spellStart"/>
      <w:r w:rsidRPr="00AC4273">
        <w:t>Machova</w:t>
      </w:r>
      <w:proofErr w:type="spellEnd"/>
      <w:r w:rsidRPr="00AC4273">
        <w:t xml:space="preserve"> et al. [</w:t>
      </w:r>
      <w:r>
        <w:t>43</w:t>
      </w:r>
      <w:r w:rsidRPr="00AC4273">
        <w:t>] found that people who owned a pet had higher levels of moderate to vigorous physical activity than those who did not own a pet.</w:t>
      </w:r>
      <w:r w:rsidR="00630CAE">
        <w:t xml:space="preserve"> </w:t>
      </w:r>
      <w:r w:rsidRPr="00AC4273">
        <w:t>However, this cannot be generalized across the older adult population, but it does highlight the impact pet ownership may have on physical activity levels.</w:t>
      </w:r>
      <w:r w:rsidR="00630CAE">
        <w:t xml:space="preserve"> </w:t>
      </w:r>
      <w:r>
        <w:t>Peacock et al. [47] explored the association between pet ownership and incidental and purposeful physical activity.</w:t>
      </w:r>
      <w:r w:rsidR="00630CAE">
        <w:t xml:space="preserve"> </w:t>
      </w:r>
      <w:r>
        <w:t>The authors noted that physical activity occurred as a result of the pet-owners looking after their pets.</w:t>
      </w:r>
      <w:r w:rsidR="00630CAE">
        <w:t xml:space="preserve"> </w:t>
      </w:r>
      <w:r>
        <w:t>These findings could link with why those pet owners in this study had a slightly higher level of physical activity than non-pet owners.</w:t>
      </w:r>
    </w:p>
    <w:p w14:paraId="4079A8A0" w14:textId="2BC0C874" w:rsidR="00310F2C" w:rsidRDefault="00310F2C" w:rsidP="00F911D8">
      <w:pPr>
        <w:pStyle w:val="MDPI31text"/>
      </w:pPr>
      <w:r w:rsidRPr="00AC4273">
        <w:lastRenderedPageBreak/>
        <w:t>Interestingly an early study in 2006, by Thorpe et al. [</w:t>
      </w:r>
      <w:r>
        <w:t>39</w:t>
      </w:r>
      <w:r w:rsidRPr="00AC4273">
        <w:t>] found that dog owners differed in terms of physical activity compared to those non-pet owners, however those pet owners that were not dog walkers did not differ from non-pet owners.</w:t>
      </w:r>
      <w:r w:rsidR="00630CAE">
        <w:t xml:space="preserve"> </w:t>
      </w:r>
      <w:r w:rsidRPr="00AC4273">
        <w:t>Furthermore, a study by Albright, Cui and Allen [</w:t>
      </w:r>
      <w:r>
        <w:t>9</w:t>
      </w:r>
      <w:r w:rsidRPr="00AC4273">
        <w:t>] found that dog owners had better subjective health and were more like to take part in exercises such as walking than their non-pet owner counterparts.</w:t>
      </w:r>
      <w:r w:rsidR="00630CAE">
        <w:t xml:space="preserve"> </w:t>
      </w:r>
      <w:r w:rsidRPr="00AC4273">
        <w:t>Shibata et al</w:t>
      </w:r>
      <w:r w:rsidR="00630CAE">
        <w:t>.</w:t>
      </w:r>
      <w:r w:rsidRPr="00AC4273">
        <w:t xml:space="preserve"> [</w:t>
      </w:r>
      <w:r>
        <w:t>31</w:t>
      </w:r>
      <w:r w:rsidRPr="00AC4273">
        <w:t>] reported how important physical activity was in older adults and that those pet owners who had dogs were more likely to be sufficiently active than non-pet owners.</w:t>
      </w:r>
      <w:r w:rsidR="00630CAE">
        <w:t xml:space="preserve"> </w:t>
      </w:r>
      <w:r w:rsidRPr="00AC4273">
        <w:t>For example, a survey in 2019 in Northern Ireland highlighted that a majority of pet owners were dog owners at 31% higher than any other type of pet [</w:t>
      </w:r>
      <w:r>
        <w:t>48</w:t>
      </w:r>
      <w:r w:rsidRPr="00AC4273">
        <w:t>].</w:t>
      </w:r>
      <w:r w:rsidR="00630CAE">
        <w:t xml:space="preserve"> </w:t>
      </w:r>
      <w:r w:rsidRPr="00AC4273">
        <w:t>This indicates that the type of pet may have an influence on the levels of physical activity which should be examined in any further longitudinal studies.</w:t>
      </w:r>
      <w:r w:rsidR="00630CAE">
        <w:t xml:space="preserve"> </w:t>
      </w:r>
      <w:r w:rsidRPr="00AC4273">
        <w:t>However, a similarity with this study is that pet owners were more likely to be sufficiently active.</w:t>
      </w:r>
      <w:r w:rsidR="00630CAE">
        <w:t xml:space="preserve"> </w:t>
      </w:r>
      <w:r w:rsidRPr="00AC4273">
        <w:t>Overall while significant differences may be evident in this study, both groups had relatively low moderate to vigorous physical activity levels, therefore pet ownership may not necessarily explain higher levels of physical activity.</w:t>
      </w:r>
      <w:r>
        <w:t xml:space="preserve"> While the secondary analysis showed significant differences similar to the studies discussed above, there were slight differences in results between our study and these previous studies.</w:t>
      </w:r>
      <w:r w:rsidR="00630CAE">
        <w:t xml:space="preserve"> </w:t>
      </w:r>
      <w:r>
        <w:t>For example, different styles of questions were asked in regards of pet ownership and type of pet and differences were evident in the age range allowed for age study as each country had slightly different ages for their older adult sample.</w:t>
      </w:r>
    </w:p>
    <w:p w14:paraId="1646D825" w14:textId="699F5060" w:rsidR="00310F2C" w:rsidRPr="00AC4273" w:rsidRDefault="00310F2C" w:rsidP="00F911D8">
      <w:pPr>
        <w:pStyle w:val="MDPI31text"/>
      </w:pPr>
      <w:r>
        <w:t>There are several possible avenues for future research.</w:t>
      </w:r>
      <w:r w:rsidR="00630CAE">
        <w:t xml:space="preserve"> </w:t>
      </w:r>
      <w:r>
        <w:t>Firstly, an investigation into the effect of pet ownership on wellbeing and mental health could be important to explore and would help further explain why physical activity levels in this age group are currently alarmingly low.</w:t>
      </w:r>
      <w:r w:rsidR="00630CAE">
        <w:t xml:space="preserve"> </w:t>
      </w:r>
      <w:r>
        <w:t xml:space="preserve">Secondly, exploring the association between pet ownership and physical activity measured longitudinally with </w:t>
      </w:r>
      <w:proofErr w:type="spellStart"/>
      <w:r>
        <w:t>Actigraph</w:t>
      </w:r>
      <w:proofErr w:type="spellEnd"/>
      <w:r>
        <w:t>.</w:t>
      </w:r>
      <w:r w:rsidR="00630CAE">
        <w:t xml:space="preserve"> </w:t>
      </w:r>
      <w:r>
        <w:t>Thirdly, assessment of pet ownership with types of sporting activity and whether the participants attend the gym, fitness classes or are a part of a sporting group or activity.</w:t>
      </w:r>
    </w:p>
    <w:p w14:paraId="36DECB00" w14:textId="6195B232" w:rsidR="00310F2C" w:rsidRPr="00381945" w:rsidRDefault="00310F2C" w:rsidP="00C41B6D">
      <w:pPr>
        <w:pStyle w:val="MDPI22heading2"/>
        <w:spacing w:before="240"/>
      </w:pPr>
      <w:r w:rsidRPr="00381945">
        <w:t>Limitations</w:t>
      </w:r>
    </w:p>
    <w:p w14:paraId="1C1E8463" w14:textId="3C03AFAD" w:rsidR="00310F2C" w:rsidRDefault="00310F2C" w:rsidP="00F911D8">
      <w:pPr>
        <w:pStyle w:val="MDPI31text"/>
      </w:pPr>
      <w:r w:rsidRPr="00381945">
        <w:t>This is the first secondary analysis study in Northern Ireland, to our knowledge, which explores the association between pet ownership and levels of moderate or vigorous activity levels in older adults</w:t>
      </w:r>
      <w:r>
        <w:t xml:space="preserve"> aged 65 years and older.</w:t>
      </w:r>
      <w:r w:rsidR="00630CAE">
        <w:t xml:space="preserve"> </w:t>
      </w:r>
      <w:r>
        <w:t xml:space="preserve">Strengths of the study include findings on the older adult population who can be a </w:t>
      </w:r>
      <w:proofErr w:type="gramStart"/>
      <w:r>
        <w:t>hard to reach</w:t>
      </w:r>
      <w:proofErr w:type="gramEnd"/>
      <w:r>
        <w:t xml:space="preserve"> population, the sample size was large, and the gender split of the sample was very similar. A secondary data analysis helped understand the nature of working with older adults and enabled the researchers to answer certain research questions.</w:t>
      </w:r>
      <w:r w:rsidR="00630CAE">
        <w:t xml:space="preserve"> </w:t>
      </w:r>
      <w:proofErr w:type="gramStart"/>
      <w:r>
        <w:t>However</w:t>
      </w:r>
      <w:proofErr w:type="gramEnd"/>
      <w:r>
        <w:t xml:space="preserve"> while these analysis benefited from the use of a nationally representative dataset for older adults, there are several limitations that must be acknowledged.</w:t>
      </w:r>
    </w:p>
    <w:p w14:paraId="59C98515" w14:textId="235F139A" w:rsidR="00310F2C" w:rsidRPr="00AC4273" w:rsidRDefault="00310F2C" w:rsidP="00F911D8">
      <w:pPr>
        <w:pStyle w:val="MDPI31text"/>
      </w:pPr>
      <w:r>
        <w:t>Conducting a secondary data analysis can be beneficial due to leading to the ability to access data on larger samples that individuals would not normally be able to reach.</w:t>
      </w:r>
      <w:r w:rsidR="00630CAE">
        <w:t xml:space="preserve"> </w:t>
      </w:r>
      <w:r>
        <w:t>However secondary data analysis has its challenges as the researchers in this study did not collect the data and therefore have no control over what is contained in the dataset.</w:t>
      </w:r>
      <w:r w:rsidR="00630CAE">
        <w:t xml:space="preserve"> </w:t>
      </w:r>
      <w:r>
        <w:t xml:space="preserve">Within the dataset, specific variables were collected in categories rather than a continuous variable which is differently than we may have chosen. </w:t>
      </w:r>
      <w:r w:rsidRPr="00AC4273">
        <w:t xml:space="preserve">In this study we used cross-sectional data </w:t>
      </w:r>
      <w:r>
        <w:t xml:space="preserve">as the longitudinal data was not yet available </w:t>
      </w:r>
      <w:r w:rsidRPr="00AC4273">
        <w:t>and thus the direction of the association cannot be established [</w:t>
      </w:r>
      <w:r>
        <w:t>49</w:t>
      </w:r>
      <w:r w:rsidRPr="00AC4273">
        <w:t>]. The findings of this study are not representative of the general population and the overall older adult population across the United Kingdom; however, it does provide insight into this topic and therefore may spark further insights for future research.</w:t>
      </w:r>
      <w:r>
        <w:t xml:space="preserve"> </w:t>
      </w:r>
      <w:r w:rsidRPr="00AC4273">
        <w:t>The self-reported nature of the data is subjective therefore we cannot exclude over or under reporting of physical activity. Additionally, accelerometer data which is objectively measured would be beneficial in calculating physical activity levels. Future studies should also include a comparison between the types of pets owned and levels of physical activity.</w:t>
      </w:r>
    </w:p>
    <w:p w14:paraId="23035C89" w14:textId="3D505805" w:rsidR="00310F2C" w:rsidRPr="00AC4273" w:rsidRDefault="00F911D8" w:rsidP="00F911D8">
      <w:pPr>
        <w:pStyle w:val="MDPI21heading1"/>
      </w:pPr>
      <w:r>
        <w:lastRenderedPageBreak/>
        <w:t xml:space="preserve">5. </w:t>
      </w:r>
      <w:r w:rsidR="00310F2C" w:rsidRPr="00AC4273">
        <w:t>Conclusions</w:t>
      </w:r>
    </w:p>
    <w:p w14:paraId="5301A871" w14:textId="5E709C8D" w:rsidR="00310F2C" w:rsidRPr="00AC4273" w:rsidRDefault="00310F2C" w:rsidP="00F911D8">
      <w:pPr>
        <w:pStyle w:val="MDPI31text"/>
      </w:pPr>
      <w:r>
        <w:t>An active lifestyle involving physical activity is essential as adults age to allow them to live healthy lives and reduce/prevent poor physical and mental health conditions. However</w:t>
      </w:r>
      <w:r w:rsidRPr="00AC4273">
        <w:t>, as shown in the study only a small percentage of older adults were reaching sufficient weekly activity levels.</w:t>
      </w:r>
      <w:r w:rsidR="00630CAE">
        <w:t xml:space="preserve"> </w:t>
      </w:r>
      <w:r>
        <w:t>Those o</w:t>
      </w:r>
      <w:r w:rsidRPr="00AC4273">
        <w:t>lder adults who own a pet showed significantly higher physical activity at both moderate and vigorous intensity levels</w:t>
      </w:r>
      <w:r>
        <w:t xml:space="preserve"> which suggests that pet ownership could be important in the ageing population</w:t>
      </w:r>
      <w:r w:rsidRPr="00AC4273">
        <w:t xml:space="preserve">. </w:t>
      </w:r>
      <w:r>
        <w:t>Furthermore, there were differences in pet ownership and physical activity (moderate levels) across gender and age categories.</w:t>
      </w:r>
      <w:r w:rsidRPr="00AC4273">
        <w:t xml:space="preserve"> However, the type of pet owned could influence this and therefore this is something that should be examined further.</w:t>
      </w:r>
      <w:r w:rsidR="00630CAE">
        <w:t xml:space="preserve"> </w:t>
      </w:r>
      <w:r>
        <w:t>Pet ownership has many different factors impacting it such as type of pet as some pets such as dogs can be taken for walks thereby possibly increasing activity levels. Therefore, future research is warranted to establish the true extent of the relationship between these variables with a qualitative study to further explore how owning a pet could increase physical activity levels by also examining the type of pet ownership.</w:t>
      </w:r>
    </w:p>
    <w:p w14:paraId="01A7EB7E" w14:textId="20827B17" w:rsidR="00310F2C" w:rsidRPr="00AC4273" w:rsidRDefault="00F911D8" w:rsidP="00F911D8">
      <w:pPr>
        <w:pStyle w:val="MDPI62BackMatter"/>
        <w:spacing w:before="240"/>
      </w:pPr>
      <w:r w:rsidRPr="00F911D8">
        <w:rPr>
          <w:b/>
          <w:bCs/>
        </w:rPr>
        <w:t>Author Contribution</w:t>
      </w:r>
      <w:r w:rsidR="00310F2C" w:rsidRPr="00F911D8">
        <w:rPr>
          <w:b/>
          <w:bCs/>
        </w:rPr>
        <w:t>s:</w:t>
      </w:r>
      <w:r w:rsidR="00310F2C" w:rsidRPr="00F911D8">
        <w:rPr>
          <w:b/>
        </w:rPr>
        <w:t xml:space="preserve"> </w:t>
      </w:r>
      <w:r w:rsidR="00310F2C" w:rsidRPr="00AC4273">
        <w:t>Conceptualization, M.A.T. and R.D.N.; methodology, R.D.N.; formal analysis, R.D.N.; investigation, M.A.T.</w:t>
      </w:r>
      <w:r w:rsidR="00606906">
        <w:t xml:space="preserve"> and</w:t>
      </w:r>
      <w:r w:rsidR="00310F2C" w:rsidRPr="00AC4273">
        <w:t xml:space="preserve"> R.D.N.; writing—original draft preparation, M.A.T., R.D.N. L.S., M.O. </w:t>
      </w:r>
      <w:r w:rsidR="00606906">
        <w:t>and</w:t>
      </w:r>
      <w:r w:rsidR="00606906" w:rsidRPr="00AC4273">
        <w:t xml:space="preserve"> </w:t>
      </w:r>
      <w:r w:rsidR="00310F2C" w:rsidRPr="00AC4273">
        <w:t>C.C.; writing—review and editing, M.A.T., R.D.N. L.S., M</w:t>
      </w:r>
      <w:r w:rsidR="00310F2C" w:rsidRPr="00606906">
        <w:t>.O.</w:t>
      </w:r>
      <w:r w:rsidR="00606906" w:rsidRPr="00606906">
        <w:t xml:space="preserve"> and</w:t>
      </w:r>
      <w:r w:rsidR="00310F2C" w:rsidRPr="00AC4273">
        <w:t xml:space="preserve"> C.C. All authors have read and agreed to the published version of the manuscript.</w:t>
      </w:r>
    </w:p>
    <w:p w14:paraId="2201FE97" w14:textId="521ADD31" w:rsidR="00310F2C" w:rsidRPr="00AC4273" w:rsidRDefault="00310F2C" w:rsidP="00F911D8">
      <w:pPr>
        <w:pStyle w:val="MDPI62BackMatter"/>
        <w:rPr>
          <w:rFonts w:eastAsia="AdvOT1ef757c0"/>
        </w:rPr>
      </w:pPr>
      <w:r w:rsidRPr="00F911D8">
        <w:rPr>
          <w:b/>
          <w:bCs/>
        </w:rPr>
        <w:t>Funding:</w:t>
      </w:r>
      <w:r w:rsidRPr="00AC4273">
        <w:t xml:space="preserve"> R.D.N</w:t>
      </w:r>
      <w:r w:rsidR="007D7EFC">
        <w:t>.,</w:t>
      </w:r>
      <w:r w:rsidRPr="00AC4273">
        <w:t xml:space="preserve"> C</w:t>
      </w:r>
      <w:r w:rsidR="007D7EFC">
        <w:t>.</w:t>
      </w:r>
      <w:r w:rsidRPr="00AC4273">
        <w:t>C</w:t>
      </w:r>
      <w:r w:rsidR="007D7EFC">
        <w:t>.,</w:t>
      </w:r>
      <w:r w:rsidRPr="00AC4273">
        <w:t xml:space="preserve"> M</w:t>
      </w:r>
      <w:r w:rsidR="007D7EFC">
        <w:t>.</w:t>
      </w:r>
      <w:r w:rsidRPr="00AC4273">
        <w:t>O</w:t>
      </w:r>
      <w:r w:rsidR="007D7EFC">
        <w:t>.</w:t>
      </w:r>
      <w:r w:rsidRPr="00AC4273">
        <w:t xml:space="preserve"> and M</w:t>
      </w:r>
      <w:r w:rsidR="007D7EFC">
        <w:t>.</w:t>
      </w:r>
      <w:r w:rsidRPr="00AC4273">
        <w:t>A</w:t>
      </w:r>
      <w:r w:rsidR="007D7EFC">
        <w:t>.</w:t>
      </w:r>
      <w:r w:rsidRPr="00AC4273">
        <w:t>T</w:t>
      </w:r>
      <w:r w:rsidR="007D7EFC">
        <w:t>.</w:t>
      </w:r>
      <w:r w:rsidRPr="00AC4273">
        <w:t xml:space="preserve"> are funded by the NIHR [Public Health Research (NIHR131550)]. The views expressed are those of the au</w:t>
      </w:r>
      <w:r w:rsidRPr="007D7EFC">
        <w:t>thor(s) and</w:t>
      </w:r>
      <w:r w:rsidRPr="00AC4273">
        <w:t xml:space="preserve"> not necessarily those of the NIHR or the Department of Health and Social Care. For the NICOLA study financial support was provided by </w:t>
      </w:r>
      <w:r w:rsidRPr="00AC4273">
        <w:rPr>
          <w:rFonts w:eastAsia="AdvOT1ef757c0"/>
        </w:rPr>
        <w:t xml:space="preserve">Queen’s University Belfast, </w:t>
      </w:r>
      <w:proofErr w:type="spellStart"/>
      <w:r w:rsidRPr="00AC4273">
        <w:rPr>
          <w:rFonts w:eastAsia="AdvOT1ef757c0"/>
        </w:rPr>
        <w:t>Wellcome</w:t>
      </w:r>
      <w:proofErr w:type="spellEnd"/>
      <w:r w:rsidRPr="00AC4273">
        <w:rPr>
          <w:rFonts w:eastAsia="AdvOT1ef757c0"/>
        </w:rPr>
        <w:t xml:space="preserve"> Trust/Wolfson Foundation, The Atlantic Philanthropies, Health and Social Care Research and Development Division of the Public Health Agency, UKCRC Centre of Excellence for Public Health Northern Ireland, Centre for Ageing Research and Development in Ireland, Economic and Social Research Council, and the Office of the First Minister and Deputy First </w:t>
      </w:r>
      <w:r w:rsidRPr="00064E9A">
        <w:rPr>
          <w:rFonts w:eastAsia="AdvOT1ef757c0"/>
        </w:rPr>
        <w:t xml:space="preserve">Minister. </w:t>
      </w:r>
      <w:r w:rsidRPr="00064E9A">
        <w:t>No financial support was used</w:t>
      </w:r>
      <w:r w:rsidRPr="00AC4273">
        <w:t xml:space="preserve"> within this study analysis.</w:t>
      </w:r>
    </w:p>
    <w:p w14:paraId="4190BB14" w14:textId="115BF878" w:rsidR="00310F2C" w:rsidRPr="00AC4273" w:rsidRDefault="00310F2C" w:rsidP="00F911D8">
      <w:pPr>
        <w:pStyle w:val="MDPI62BackMatter"/>
      </w:pPr>
      <w:bookmarkStart w:id="1" w:name="_Hlk89945590"/>
      <w:bookmarkStart w:id="2" w:name="_Hlk60054323"/>
      <w:r w:rsidRPr="00F911D8">
        <w:rPr>
          <w:b/>
          <w:bCs/>
        </w:rPr>
        <w:t>Institutional Review Board Statement:</w:t>
      </w:r>
      <w:r w:rsidRPr="00F911D8">
        <w:rPr>
          <w:b/>
        </w:rPr>
        <w:t xml:space="preserve"> </w:t>
      </w:r>
      <w:r w:rsidRPr="00AC4273">
        <w:t xml:space="preserve">Ethical approval was obtained by the School of </w:t>
      </w:r>
      <w:r w:rsidRPr="00AC4273">
        <w:rPr>
          <w:rFonts w:eastAsia="STIX-Regular"/>
        </w:rPr>
        <w:t>Medicine, Dentistry and Biomedical Sciences Ethics Committee, Queen’s university Belfast (SREC 12/23).</w:t>
      </w:r>
    </w:p>
    <w:bookmarkEnd w:id="1"/>
    <w:p w14:paraId="6865B389" w14:textId="77777777" w:rsidR="00310F2C" w:rsidRPr="00AC4273" w:rsidRDefault="00310F2C" w:rsidP="00F911D8">
      <w:pPr>
        <w:pStyle w:val="MDPI62BackMatter"/>
      </w:pPr>
      <w:r w:rsidRPr="00F911D8">
        <w:rPr>
          <w:b/>
          <w:bCs/>
        </w:rPr>
        <w:t xml:space="preserve">Informed Consent Statement: </w:t>
      </w:r>
      <w:r w:rsidRPr="00AC4273">
        <w:t>Consent for the study was obtained from all study participants before the commencement of the research. All participants in the original study (NICOLA project) agreed to data to be used for publications.</w:t>
      </w:r>
    </w:p>
    <w:bookmarkEnd w:id="2"/>
    <w:p w14:paraId="20A57905" w14:textId="76F7893A" w:rsidR="00310F2C" w:rsidRPr="00AC4273" w:rsidRDefault="00310F2C" w:rsidP="00F911D8">
      <w:pPr>
        <w:pStyle w:val="MDPI62BackMatter"/>
      </w:pPr>
      <w:r w:rsidRPr="00F911D8">
        <w:rPr>
          <w:b/>
          <w:bCs/>
        </w:rPr>
        <w:t xml:space="preserve">Data Availability Statement: </w:t>
      </w:r>
      <w:r w:rsidRPr="00AC4273">
        <w:rPr>
          <w:rFonts w:eastAsia="STIX-Regular"/>
        </w:rPr>
        <w:t xml:space="preserve">The data from the Northern Ireland Cohort for Longitudinal Ageing (NICOLA) are available but restrictions apply </w:t>
      </w:r>
      <w:r w:rsidRPr="00381945">
        <w:rPr>
          <w:rFonts w:eastAsia="STIX-Regular"/>
        </w:rPr>
        <w:t>to the dataset, Data access is available through the UK Data Archive (</w:t>
      </w:r>
      <w:r w:rsidR="007D7EFC" w:rsidRPr="00381945">
        <w:rPr>
          <w:rFonts w:eastAsia="STIX-Regular"/>
        </w:rPr>
        <w:t>https://www.data-archive.ac.uk/ (accessed on)</w:t>
      </w:r>
      <w:r w:rsidRPr="00381945">
        <w:rPr>
          <w:rFonts w:eastAsia="STIX-Regular"/>
        </w:rPr>
        <w:t>).</w:t>
      </w:r>
    </w:p>
    <w:p w14:paraId="07207E06" w14:textId="6A377CAE" w:rsidR="00310F2C" w:rsidRPr="00AC4273" w:rsidRDefault="00310F2C" w:rsidP="00F911D8">
      <w:pPr>
        <w:pStyle w:val="MDPI62BackMatter"/>
      </w:pPr>
      <w:r w:rsidRPr="00F911D8">
        <w:rPr>
          <w:b/>
          <w:bCs/>
        </w:rPr>
        <w:t>Acknowledgments:</w:t>
      </w:r>
      <w:r w:rsidRPr="00AC4273">
        <w:t xml:space="preserve"> The authors would like to thank the NICOLA study team and participants and Jillian Nicholl for her administrative support.</w:t>
      </w:r>
      <w:r w:rsidR="00630CAE">
        <w:t xml:space="preserve"> </w:t>
      </w:r>
      <w:r w:rsidRPr="00AC4273">
        <w:t>Thank you to Ethan Tully for suggesting the idea for the paper.</w:t>
      </w:r>
    </w:p>
    <w:p w14:paraId="4AFFA815" w14:textId="53B33448" w:rsidR="00606906" w:rsidRDefault="00310F2C" w:rsidP="00F911D8">
      <w:pPr>
        <w:pStyle w:val="MDPI62BackMatter"/>
      </w:pPr>
      <w:r w:rsidRPr="00F911D8">
        <w:rPr>
          <w:b/>
          <w:bCs/>
        </w:rPr>
        <w:t>Conflicts of Interest:</w:t>
      </w:r>
      <w:r w:rsidRPr="00F911D8">
        <w:rPr>
          <w:b/>
        </w:rPr>
        <w:t xml:space="preserve"> </w:t>
      </w:r>
      <w:r w:rsidR="00606906" w:rsidRPr="00606906">
        <w:t>The authors declare no conflict of interest.</w:t>
      </w:r>
    </w:p>
    <w:p w14:paraId="018DB7DF" w14:textId="35DD11A6" w:rsidR="00310F2C" w:rsidRPr="00F911D8" w:rsidRDefault="00310F2C" w:rsidP="00F911D8">
      <w:pPr>
        <w:pStyle w:val="MDPI21heading1"/>
        <w:ind w:left="0"/>
      </w:pPr>
      <w:r w:rsidRPr="00AC4273">
        <w:t>References</w:t>
      </w:r>
    </w:p>
    <w:p w14:paraId="34D399F0" w14:textId="52A51761" w:rsidR="00310F2C" w:rsidRPr="00482FA7" w:rsidRDefault="00310F2C" w:rsidP="00F911D8">
      <w:pPr>
        <w:pStyle w:val="MDPI71References"/>
        <w:rPr>
          <w:szCs w:val="18"/>
          <w:lang w:val="en-GB"/>
        </w:rPr>
      </w:pPr>
      <w:r w:rsidRPr="00482FA7">
        <w:rPr>
          <w:szCs w:val="18"/>
        </w:rPr>
        <w:t>Health for Animals.</w:t>
      </w:r>
      <w:r w:rsidR="00630CAE" w:rsidRPr="00482FA7">
        <w:rPr>
          <w:szCs w:val="18"/>
        </w:rPr>
        <w:t xml:space="preserve"> </w:t>
      </w:r>
      <w:r w:rsidRPr="00482FA7">
        <w:rPr>
          <w:szCs w:val="18"/>
          <w:lang w:val="en-GB"/>
        </w:rPr>
        <w:t>Available on</w:t>
      </w:r>
      <w:r w:rsidR="00630CAE" w:rsidRPr="00482FA7">
        <w:rPr>
          <w:szCs w:val="18"/>
          <w:lang w:val="en-GB"/>
        </w:rPr>
        <w:t xml:space="preserve"> </w:t>
      </w:r>
      <w:r w:rsidRPr="00482FA7">
        <w:rPr>
          <w:szCs w:val="18"/>
          <w:lang w:val="en-GB"/>
        </w:rPr>
        <w:t xml:space="preserve">: </w:t>
      </w:r>
      <w:hyperlink r:id="rId10" w:anchor="ownership" w:history="1">
        <w:r w:rsidRPr="00482FA7">
          <w:rPr>
            <w:rStyle w:val="Hyperlink"/>
            <w:szCs w:val="18"/>
            <w:lang w:val="en-GB"/>
          </w:rPr>
          <w:t>https://www.healthforanimals.org/reports/pet-care-report/global-trends-in-the-pet-population/#ownership</w:t>
        </w:r>
      </w:hyperlink>
      <w:r w:rsidR="00630CAE" w:rsidRPr="00482FA7">
        <w:rPr>
          <w:szCs w:val="18"/>
          <w:lang w:val="en-GB"/>
        </w:rPr>
        <w:t xml:space="preserve"> </w:t>
      </w:r>
      <w:r w:rsidRPr="00482FA7">
        <w:rPr>
          <w:szCs w:val="18"/>
        </w:rPr>
        <w:t>(accessed 24</w:t>
      </w:r>
      <w:r w:rsidRPr="00482FA7">
        <w:rPr>
          <w:szCs w:val="18"/>
          <w:vertAlign w:val="superscript"/>
        </w:rPr>
        <w:t>th</w:t>
      </w:r>
      <w:r w:rsidRPr="00482FA7">
        <w:rPr>
          <w:szCs w:val="18"/>
        </w:rPr>
        <w:t xml:space="preserve"> February 2023).</w:t>
      </w:r>
    </w:p>
    <w:p w14:paraId="34C5614F" w14:textId="227EC32D" w:rsidR="00310F2C" w:rsidRPr="00482FA7" w:rsidRDefault="00310F2C" w:rsidP="00F911D8">
      <w:pPr>
        <w:pStyle w:val="MDPI71References"/>
        <w:rPr>
          <w:szCs w:val="18"/>
        </w:rPr>
      </w:pPr>
      <w:r w:rsidRPr="00482FA7">
        <w:rPr>
          <w:szCs w:val="18"/>
          <w:shd w:val="clear" w:color="auto" w:fill="FFFFFF"/>
        </w:rPr>
        <w:t xml:space="preserve">Batty, G.D., </w:t>
      </w:r>
      <w:proofErr w:type="spellStart"/>
      <w:r w:rsidRPr="00482FA7">
        <w:rPr>
          <w:szCs w:val="18"/>
          <w:shd w:val="clear" w:color="auto" w:fill="FFFFFF"/>
        </w:rPr>
        <w:t>Zaninotto</w:t>
      </w:r>
      <w:proofErr w:type="spellEnd"/>
      <w:r w:rsidRPr="00482FA7">
        <w:rPr>
          <w:szCs w:val="18"/>
          <w:shd w:val="clear" w:color="auto" w:fill="FFFFFF"/>
        </w:rPr>
        <w:t xml:space="preserve">, P, Watt, R.G., Bell, S. Associations of pet ownership with biomarkers of ageing: </w:t>
      </w:r>
      <w:proofErr w:type="gramStart"/>
      <w:r w:rsidRPr="00482FA7">
        <w:rPr>
          <w:szCs w:val="18"/>
          <w:shd w:val="clear" w:color="auto" w:fill="FFFFFF"/>
        </w:rPr>
        <w:t>population based</w:t>
      </w:r>
      <w:proofErr w:type="gramEnd"/>
      <w:r w:rsidRPr="00482FA7">
        <w:rPr>
          <w:szCs w:val="18"/>
          <w:shd w:val="clear" w:color="auto" w:fill="FFFFFF"/>
        </w:rPr>
        <w:t xml:space="preserve"> cohort study. </w:t>
      </w:r>
      <w:proofErr w:type="spellStart"/>
      <w:r w:rsidRPr="00482FA7">
        <w:rPr>
          <w:i/>
          <w:iCs/>
          <w:szCs w:val="18"/>
          <w:shd w:val="clear" w:color="auto" w:fill="FFFFFF"/>
        </w:rPr>
        <w:t>bmj</w:t>
      </w:r>
      <w:proofErr w:type="spellEnd"/>
      <w:r w:rsidRPr="00482FA7">
        <w:rPr>
          <w:i/>
          <w:iCs/>
          <w:szCs w:val="18"/>
          <w:shd w:val="clear" w:color="auto" w:fill="FFFFFF"/>
        </w:rPr>
        <w:t>.</w:t>
      </w:r>
      <w:r w:rsidRPr="00482FA7">
        <w:rPr>
          <w:szCs w:val="18"/>
          <w:shd w:val="clear" w:color="auto" w:fill="FFFFFF"/>
        </w:rPr>
        <w:t xml:space="preserve"> </w:t>
      </w:r>
      <w:r w:rsidRPr="00482FA7">
        <w:rPr>
          <w:b/>
          <w:bCs/>
          <w:szCs w:val="18"/>
          <w:shd w:val="clear" w:color="auto" w:fill="FFFFFF"/>
        </w:rPr>
        <w:t>2017</w:t>
      </w:r>
      <w:r w:rsidRPr="00482FA7">
        <w:rPr>
          <w:szCs w:val="18"/>
          <w:shd w:val="clear" w:color="auto" w:fill="FFFFFF"/>
        </w:rPr>
        <w:t xml:space="preserve"> Dec 13;359. </w:t>
      </w:r>
      <w:proofErr w:type="spellStart"/>
      <w:r w:rsidRPr="00482FA7">
        <w:rPr>
          <w:color w:val="333333"/>
          <w:szCs w:val="18"/>
          <w:shd w:val="clear" w:color="auto" w:fill="FFFFFF"/>
        </w:rPr>
        <w:t>doi</w:t>
      </w:r>
      <w:proofErr w:type="spellEnd"/>
      <w:r w:rsidRPr="00482FA7">
        <w:rPr>
          <w:color w:val="333333"/>
          <w:szCs w:val="18"/>
          <w:shd w:val="clear" w:color="auto" w:fill="FFFFFF"/>
        </w:rPr>
        <w:t>:</w:t>
      </w:r>
      <w:r w:rsidR="00630CAE" w:rsidRPr="00482FA7">
        <w:rPr>
          <w:color w:val="333333"/>
          <w:szCs w:val="18"/>
          <w:shd w:val="clear" w:color="auto" w:fill="FFFFFF"/>
        </w:rPr>
        <w:t xml:space="preserve"> </w:t>
      </w:r>
      <w:hyperlink r:id="rId11" w:history="1">
        <w:r w:rsidRPr="00482FA7">
          <w:rPr>
            <w:rStyle w:val="Hyperlink"/>
            <w:color w:val="2A6EBB"/>
            <w:szCs w:val="18"/>
            <w:bdr w:val="none" w:sz="0" w:space="0" w:color="auto" w:frame="1"/>
            <w:shd w:val="clear" w:color="auto" w:fill="FFFFFF"/>
          </w:rPr>
          <w:t>https://doi.org/10.1136/bmj.j5558</w:t>
        </w:r>
      </w:hyperlink>
    </w:p>
    <w:p w14:paraId="1332DFDE" w14:textId="74124E24" w:rsidR="00310F2C" w:rsidRPr="00482FA7" w:rsidRDefault="00310F2C" w:rsidP="00F911D8">
      <w:pPr>
        <w:pStyle w:val="MDPI71References"/>
        <w:rPr>
          <w:szCs w:val="18"/>
        </w:rPr>
      </w:pPr>
      <w:proofErr w:type="spellStart"/>
      <w:r w:rsidRPr="00482FA7">
        <w:rPr>
          <w:szCs w:val="18"/>
        </w:rPr>
        <w:t>Statistica</w:t>
      </w:r>
      <w:proofErr w:type="spellEnd"/>
      <w:r w:rsidRPr="00482FA7">
        <w:rPr>
          <w:szCs w:val="18"/>
        </w:rPr>
        <w:t>.</w:t>
      </w:r>
      <w:r w:rsidR="00630CAE" w:rsidRPr="00482FA7">
        <w:rPr>
          <w:szCs w:val="18"/>
        </w:rPr>
        <w:t xml:space="preserve"> </w:t>
      </w:r>
      <w:r w:rsidRPr="00482FA7">
        <w:rPr>
          <w:szCs w:val="18"/>
        </w:rPr>
        <w:t xml:space="preserve">Available on: </w:t>
      </w:r>
      <w:hyperlink r:id="rId12" w:history="1">
        <w:r w:rsidRPr="00482FA7">
          <w:rPr>
            <w:rStyle w:val="Hyperlink"/>
            <w:szCs w:val="18"/>
          </w:rPr>
          <w:t>https://www.statista.com/statistics/308218/leading-ten-pets-ranked-by-household-ownership-in-the-united-kingdom-uk/</w:t>
        </w:r>
      </w:hyperlink>
      <w:r w:rsidRPr="00482FA7">
        <w:rPr>
          <w:szCs w:val="18"/>
        </w:rPr>
        <w:t xml:space="preserve"> (accessed 24</w:t>
      </w:r>
      <w:r w:rsidRPr="00482FA7">
        <w:rPr>
          <w:szCs w:val="18"/>
          <w:vertAlign w:val="superscript"/>
        </w:rPr>
        <w:t>th</w:t>
      </w:r>
      <w:r w:rsidRPr="00482FA7">
        <w:rPr>
          <w:szCs w:val="18"/>
        </w:rPr>
        <w:t xml:space="preserve"> February 2023).</w:t>
      </w:r>
    </w:p>
    <w:p w14:paraId="21C30069" w14:textId="77777777" w:rsidR="00310F2C" w:rsidRPr="00482FA7" w:rsidRDefault="00310F2C" w:rsidP="00F911D8">
      <w:pPr>
        <w:pStyle w:val="MDPI71References"/>
        <w:rPr>
          <w:szCs w:val="18"/>
        </w:rPr>
      </w:pPr>
      <w:r w:rsidRPr="00482FA7">
        <w:rPr>
          <w:szCs w:val="18"/>
        </w:rPr>
        <w:t xml:space="preserve">PDSA. Available on: </w:t>
      </w:r>
      <w:hyperlink r:id="rId13" w:history="1">
        <w:r w:rsidRPr="00482FA7">
          <w:rPr>
            <w:rStyle w:val="Hyperlink"/>
            <w:szCs w:val="18"/>
          </w:rPr>
          <w:t>https://www.pdsa.org.uk/what-we-do/pdsa-animal-wellbeing-report/uk-pet-populations-of-dogs-cats-and-rabbits</w:t>
        </w:r>
      </w:hyperlink>
      <w:r w:rsidRPr="00482FA7">
        <w:rPr>
          <w:szCs w:val="18"/>
        </w:rPr>
        <w:t xml:space="preserve"> (accessed 24</w:t>
      </w:r>
      <w:r w:rsidRPr="00482FA7">
        <w:rPr>
          <w:szCs w:val="18"/>
          <w:vertAlign w:val="superscript"/>
        </w:rPr>
        <w:t>th</w:t>
      </w:r>
      <w:r w:rsidRPr="00482FA7">
        <w:rPr>
          <w:szCs w:val="18"/>
        </w:rPr>
        <w:t xml:space="preserve"> February 2023).</w:t>
      </w:r>
    </w:p>
    <w:p w14:paraId="50F3732E" w14:textId="77777777" w:rsidR="00310F2C" w:rsidRPr="00482FA7" w:rsidRDefault="00310F2C" w:rsidP="00F911D8">
      <w:pPr>
        <w:pStyle w:val="MDPI71References"/>
        <w:rPr>
          <w:szCs w:val="18"/>
        </w:rPr>
      </w:pPr>
      <w:r w:rsidRPr="00482FA7">
        <w:rPr>
          <w:szCs w:val="18"/>
        </w:rPr>
        <w:t xml:space="preserve">Scoresby, K.J.; Strand, E.B.; Ng, Z.; Brown, K.C.; </w:t>
      </w:r>
      <w:proofErr w:type="spellStart"/>
      <w:r w:rsidRPr="00482FA7">
        <w:rPr>
          <w:szCs w:val="18"/>
        </w:rPr>
        <w:t>Stilz</w:t>
      </w:r>
      <w:proofErr w:type="spellEnd"/>
      <w:r w:rsidRPr="00482FA7">
        <w:rPr>
          <w:szCs w:val="18"/>
        </w:rPr>
        <w:t xml:space="preserve">, C.R.; Strobel, K.; Souza, M. Pet Ownership and Quality of Life: A Systematic Review of the Literature. </w:t>
      </w:r>
      <w:r w:rsidRPr="00482FA7">
        <w:rPr>
          <w:i/>
          <w:iCs/>
          <w:szCs w:val="18"/>
        </w:rPr>
        <w:t xml:space="preserve">Veterinary Sciences, </w:t>
      </w:r>
      <w:r w:rsidRPr="00482FA7">
        <w:rPr>
          <w:b/>
          <w:bCs/>
          <w:szCs w:val="18"/>
        </w:rPr>
        <w:t>2021</w:t>
      </w:r>
      <w:r w:rsidRPr="00482FA7">
        <w:rPr>
          <w:i/>
          <w:iCs/>
          <w:szCs w:val="18"/>
        </w:rPr>
        <w:t>. 8(12),</w:t>
      </w:r>
      <w:r w:rsidRPr="00482FA7">
        <w:rPr>
          <w:szCs w:val="18"/>
        </w:rPr>
        <w:t xml:space="preserve"> 332.</w:t>
      </w:r>
    </w:p>
    <w:p w14:paraId="2696824B" w14:textId="77777777" w:rsidR="00310F2C" w:rsidRPr="00482FA7" w:rsidRDefault="00310F2C" w:rsidP="00F911D8">
      <w:pPr>
        <w:pStyle w:val="MDPI71References"/>
        <w:rPr>
          <w:szCs w:val="18"/>
        </w:rPr>
      </w:pPr>
      <w:proofErr w:type="spellStart"/>
      <w:r w:rsidRPr="00482FA7">
        <w:rPr>
          <w:szCs w:val="18"/>
          <w:shd w:val="clear" w:color="auto" w:fill="FFFFFF"/>
        </w:rPr>
        <w:t>Bussolari</w:t>
      </w:r>
      <w:proofErr w:type="spellEnd"/>
      <w:r w:rsidRPr="00482FA7">
        <w:rPr>
          <w:szCs w:val="18"/>
          <w:shd w:val="clear" w:color="auto" w:fill="FFFFFF"/>
        </w:rPr>
        <w:t xml:space="preserve">, C.; </w:t>
      </w:r>
      <w:proofErr w:type="spellStart"/>
      <w:r w:rsidRPr="00482FA7">
        <w:rPr>
          <w:szCs w:val="18"/>
          <w:shd w:val="clear" w:color="auto" w:fill="FFFFFF"/>
        </w:rPr>
        <w:t>Currin</w:t>
      </w:r>
      <w:proofErr w:type="spellEnd"/>
      <w:r w:rsidRPr="00482FA7">
        <w:rPr>
          <w:szCs w:val="18"/>
          <w:shd w:val="clear" w:color="auto" w:fill="FFFFFF"/>
        </w:rPr>
        <w:t xml:space="preserve">-McCulloch, J.; Packman, W.; Kogan, L.; Erdman, P. “I couldn’t have asked for a better quarantine partner!”: Experiences with companion dogs during Covid-19. </w:t>
      </w:r>
      <w:r w:rsidRPr="00482FA7">
        <w:rPr>
          <w:i/>
          <w:iCs/>
          <w:szCs w:val="18"/>
          <w:shd w:val="clear" w:color="auto" w:fill="FFFFFF"/>
        </w:rPr>
        <w:t>Animals.</w:t>
      </w:r>
      <w:r w:rsidRPr="00482FA7">
        <w:rPr>
          <w:szCs w:val="18"/>
          <w:shd w:val="clear" w:color="auto" w:fill="FFFFFF"/>
        </w:rPr>
        <w:t xml:space="preserve"> </w:t>
      </w:r>
      <w:r w:rsidRPr="00482FA7">
        <w:rPr>
          <w:b/>
          <w:bCs/>
          <w:szCs w:val="18"/>
          <w:shd w:val="clear" w:color="auto" w:fill="FFFFFF"/>
        </w:rPr>
        <w:t xml:space="preserve">2021 </w:t>
      </w:r>
      <w:r w:rsidRPr="00482FA7">
        <w:rPr>
          <w:szCs w:val="18"/>
          <w:shd w:val="clear" w:color="auto" w:fill="FFFFFF"/>
        </w:rPr>
        <w:t>Jan 28;11(2):330.</w:t>
      </w:r>
    </w:p>
    <w:p w14:paraId="7711397B" w14:textId="77777777" w:rsidR="00310F2C" w:rsidRPr="00482FA7" w:rsidRDefault="00310F2C" w:rsidP="00F911D8">
      <w:pPr>
        <w:pStyle w:val="MDPI71References"/>
        <w:rPr>
          <w:szCs w:val="18"/>
        </w:rPr>
      </w:pPr>
      <w:r w:rsidRPr="00482FA7">
        <w:rPr>
          <w:rFonts w:cs="Arial"/>
          <w:color w:val="222222"/>
          <w:szCs w:val="18"/>
          <w:shd w:val="clear" w:color="auto" w:fill="FFFFFF"/>
        </w:rPr>
        <w:lastRenderedPageBreak/>
        <w:t xml:space="preserve">McConnell, A.R.; Brown, C.M.; </w:t>
      </w:r>
      <w:proofErr w:type="spellStart"/>
      <w:r w:rsidRPr="00482FA7">
        <w:rPr>
          <w:rFonts w:cs="Arial"/>
          <w:color w:val="222222"/>
          <w:szCs w:val="18"/>
          <w:shd w:val="clear" w:color="auto" w:fill="FFFFFF"/>
        </w:rPr>
        <w:t>Shoda</w:t>
      </w:r>
      <w:proofErr w:type="spellEnd"/>
      <w:r w:rsidRPr="00482FA7">
        <w:rPr>
          <w:rFonts w:cs="Arial"/>
          <w:color w:val="222222"/>
          <w:szCs w:val="18"/>
          <w:shd w:val="clear" w:color="auto" w:fill="FFFFFF"/>
        </w:rPr>
        <w:t xml:space="preserve">, T.M.; Stayton, LE.; Martin, C.E. Friends with benefits: on the positive consequences of pet ownership. </w:t>
      </w:r>
      <w:r w:rsidRPr="00482FA7">
        <w:rPr>
          <w:rFonts w:cs="Arial"/>
          <w:i/>
          <w:iCs/>
          <w:color w:val="222222"/>
          <w:szCs w:val="18"/>
          <w:shd w:val="clear" w:color="auto" w:fill="FFFFFF"/>
        </w:rPr>
        <w:t>Journal of personality and social psychology.</w:t>
      </w:r>
      <w:r w:rsidRPr="00482FA7">
        <w:rPr>
          <w:rFonts w:cs="Arial"/>
          <w:color w:val="222222"/>
          <w:szCs w:val="18"/>
          <w:shd w:val="clear" w:color="auto" w:fill="FFFFFF"/>
        </w:rPr>
        <w:t xml:space="preserve"> </w:t>
      </w:r>
      <w:r w:rsidRPr="00482FA7">
        <w:rPr>
          <w:rFonts w:cs="Arial"/>
          <w:b/>
          <w:bCs/>
          <w:color w:val="222222"/>
          <w:szCs w:val="18"/>
          <w:shd w:val="clear" w:color="auto" w:fill="FFFFFF"/>
        </w:rPr>
        <w:t>2011</w:t>
      </w:r>
      <w:r w:rsidRPr="00482FA7">
        <w:rPr>
          <w:rFonts w:cs="Arial"/>
          <w:color w:val="222222"/>
          <w:szCs w:val="18"/>
          <w:shd w:val="clear" w:color="auto" w:fill="FFFFFF"/>
        </w:rPr>
        <w:t xml:space="preserve"> Dec;101(6):1239.</w:t>
      </w:r>
    </w:p>
    <w:p w14:paraId="6AD71366" w14:textId="77777777" w:rsidR="00310F2C" w:rsidRPr="00482FA7" w:rsidRDefault="00310F2C" w:rsidP="00F911D8">
      <w:pPr>
        <w:pStyle w:val="MDPI71References"/>
        <w:rPr>
          <w:szCs w:val="18"/>
        </w:rPr>
      </w:pPr>
      <w:r w:rsidRPr="00482FA7">
        <w:rPr>
          <w:rFonts w:cs="Arial"/>
          <w:color w:val="222222"/>
          <w:szCs w:val="18"/>
          <w:shd w:val="clear" w:color="auto" w:fill="FFFFFF"/>
        </w:rPr>
        <w:t xml:space="preserve">Applebaum, J.W.; Ellison, C.; </w:t>
      </w:r>
      <w:proofErr w:type="spellStart"/>
      <w:r w:rsidRPr="00482FA7">
        <w:rPr>
          <w:rFonts w:cs="Arial"/>
          <w:color w:val="222222"/>
          <w:szCs w:val="18"/>
          <w:shd w:val="clear" w:color="auto" w:fill="FFFFFF"/>
        </w:rPr>
        <w:t>Struckmeyer</w:t>
      </w:r>
      <w:proofErr w:type="spellEnd"/>
      <w:r w:rsidRPr="00482FA7">
        <w:rPr>
          <w:rFonts w:cs="Arial"/>
          <w:color w:val="222222"/>
          <w:szCs w:val="18"/>
          <w:shd w:val="clear" w:color="auto" w:fill="FFFFFF"/>
        </w:rPr>
        <w:t xml:space="preserve">, L.; </w:t>
      </w:r>
      <w:proofErr w:type="spellStart"/>
      <w:r w:rsidRPr="00482FA7">
        <w:rPr>
          <w:rFonts w:cs="Arial"/>
          <w:color w:val="222222"/>
          <w:szCs w:val="18"/>
          <w:shd w:val="clear" w:color="auto" w:fill="FFFFFF"/>
        </w:rPr>
        <w:t>Zsembik</w:t>
      </w:r>
      <w:proofErr w:type="spellEnd"/>
      <w:r w:rsidRPr="00482FA7">
        <w:rPr>
          <w:rFonts w:cs="Arial"/>
          <w:color w:val="222222"/>
          <w:szCs w:val="18"/>
          <w:shd w:val="clear" w:color="auto" w:fill="FFFFFF"/>
        </w:rPr>
        <w:t xml:space="preserve">, B.A.; McDonald, S.E. The impact of pets on everyday life for older adults during the COVID-19 pandemic. </w:t>
      </w:r>
      <w:r w:rsidRPr="00482FA7">
        <w:rPr>
          <w:rFonts w:cs="Arial"/>
          <w:i/>
          <w:iCs/>
          <w:color w:val="222222"/>
          <w:szCs w:val="18"/>
          <w:shd w:val="clear" w:color="auto" w:fill="FFFFFF"/>
        </w:rPr>
        <w:t>Frontiers in public health.</w:t>
      </w:r>
      <w:r w:rsidRPr="00482FA7">
        <w:rPr>
          <w:rFonts w:cs="Arial"/>
          <w:color w:val="222222"/>
          <w:szCs w:val="18"/>
          <w:shd w:val="clear" w:color="auto" w:fill="FFFFFF"/>
        </w:rPr>
        <w:t xml:space="preserve"> </w:t>
      </w:r>
      <w:r w:rsidRPr="00482FA7">
        <w:rPr>
          <w:rFonts w:cs="Arial"/>
          <w:b/>
          <w:bCs/>
          <w:color w:val="222222"/>
          <w:szCs w:val="18"/>
          <w:shd w:val="clear" w:color="auto" w:fill="FFFFFF"/>
        </w:rPr>
        <w:t xml:space="preserve">2021 </w:t>
      </w:r>
      <w:r w:rsidRPr="00482FA7">
        <w:rPr>
          <w:rFonts w:cs="Arial"/>
          <w:color w:val="222222"/>
          <w:szCs w:val="18"/>
          <w:shd w:val="clear" w:color="auto" w:fill="FFFFFF"/>
        </w:rPr>
        <w:t xml:space="preserve">Apr </w:t>
      </w:r>
      <w:proofErr w:type="gramStart"/>
      <w:r w:rsidRPr="00482FA7">
        <w:rPr>
          <w:rFonts w:cs="Arial"/>
          <w:color w:val="222222"/>
          <w:szCs w:val="18"/>
          <w:shd w:val="clear" w:color="auto" w:fill="FFFFFF"/>
        </w:rPr>
        <w:t>9;9:652610</w:t>
      </w:r>
      <w:proofErr w:type="gramEnd"/>
      <w:r w:rsidRPr="00482FA7">
        <w:rPr>
          <w:rFonts w:cs="Arial"/>
          <w:color w:val="222222"/>
          <w:szCs w:val="18"/>
          <w:shd w:val="clear" w:color="auto" w:fill="FFFFFF"/>
        </w:rPr>
        <w:t>.</w:t>
      </w:r>
    </w:p>
    <w:p w14:paraId="581029AA" w14:textId="77777777" w:rsidR="00310F2C" w:rsidRPr="00482FA7" w:rsidRDefault="00310F2C" w:rsidP="00F911D8">
      <w:pPr>
        <w:pStyle w:val="MDPI71References"/>
        <w:rPr>
          <w:szCs w:val="18"/>
        </w:rPr>
      </w:pPr>
      <w:r w:rsidRPr="00482FA7">
        <w:rPr>
          <w:szCs w:val="18"/>
        </w:rPr>
        <w:t xml:space="preserve">Albright, A. E.; Cui, R.; Allen, R.S. Pet ownership and mental and physical health in older White and Black males and females. </w:t>
      </w:r>
      <w:r w:rsidRPr="00482FA7">
        <w:rPr>
          <w:i/>
          <w:iCs/>
          <w:szCs w:val="18"/>
        </w:rPr>
        <w:t xml:space="preserve">International journal of environmental research and public health, </w:t>
      </w:r>
      <w:r w:rsidRPr="00482FA7">
        <w:rPr>
          <w:b/>
          <w:bCs/>
          <w:szCs w:val="18"/>
        </w:rPr>
        <w:t>2022</w:t>
      </w:r>
      <w:r w:rsidRPr="00482FA7">
        <w:rPr>
          <w:i/>
          <w:iCs/>
          <w:szCs w:val="18"/>
        </w:rPr>
        <w:t xml:space="preserve"> 19(9), </w:t>
      </w:r>
      <w:r w:rsidRPr="00482FA7">
        <w:rPr>
          <w:szCs w:val="18"/>
        </w:rPr>
        <w:t>5655.</w:t>
      </w:r>
    </w:p>
    <w:p w14:paraId="7F1B311A" w14:textId="77777777" w:rsidR="00310F2C" w:rsidRPr="00482FA7" w:rsidRDefault="00310F2C" w:rsidP="00F911D8">
      <w:pPr>
        <w:pStyle w:val="MDPI71References"/>
        <w:rPr>
          <w:szCs w:val="18"/>
        </w:rPr>
      </w:pPr>
      <w:proofErr w:type="spellStart"/>
      <w:r w:rsidRPr="00482FA7">
        <w:rPr>
          <w:szCs w:val="18"/>
        </w:rPr>
        <w:t>Obradović</w:t>
      </w:r>
      <w:proofErr w:type="spellEnd"/>
      <w:r w:rsidRPr="00482FA7">
        <w:rPr>
          <w:szCs w:val="18"/>
        </w:rPr>
        <w:t xml:space="preserve">, N.; </w:t>
      </w:r>
      <w:proofErr w:type="spellStart"/>
      <w:r w:rsidRPr="00482FA7">
        <w:rPr>
          <w:szCs w:val="18"/>
        </w:rPr>
        <w:t>Lagueux</w:t>
      </w:r>
      <w:proofErr w:type="spellEnd"/>
      <w:r w:rsidRPr="00482FA7">
        <w:rPr>
          <w:szCs w:val="18"/>
        </w:rPr>
        <w:t xml:space="preserve">, É.; </w:t>
      </w:r>
      <w:proofErr w:type="spellStart"/>
      <w:r w:rsidRPr="00482FA7">
        <w:rPr>
          <w:szCs w:val="18"/>
        </w:rPr>
        <w:t>Latulippe</w:t>
      </w:r>
      <w:proofErr w:type="spellEnd"/>
      <w:r w:rsidRPr="00482FA7">
        <w:rPr>
          <w:szCs w:val="18"/>
        </w:rPr>
        <w:t xml:space="preserve">, K.; Provencher, V. Understanding the Benefits, Challenges, and the Role of Pet Ownership in the Daily Lives of Community-Dwelling Older Adults: A Case Study. </w:t>
      </w:r>
      <w:r w:rsidRPr="00482FA7">
        <w:rPr>
          <w:i/>
          <w:iCs/>
          <w:szCs w:val="18"/>
        </w:rPr>
        <w:t xml:space="preserve">Animals, </w:t>
      </w:r>
      <w:r w:rsidRPr="00482FA7">
        <w:rPr>
          <w:b/>
          <w:bCs/>
          <w:szCs w:val="18"/>
        </w:rPr>
        <w:t xml:space="preserve">2021. </w:t>
      </w:r>
      <w:r w:rsidRPr="00482FA7">
        <w:rPr>
          <w:i/>
          <w:iCs/>
          <w:szCs w:val="18"/>
        </w:rPr>
        <w:t>11(9),</w:t>
      </w:r>
      <w:r w:rsidRPr="00482FA7">
        <w:rPr>
          <w:szCs w:val="18"/>
        </w:rPr>
        <w:t xml:space="preserve"> 2628.</w:t>
      </w:r>
    </w:p>
    <w:p w14:paraId="5137A430" w14:textId="77777777" w:rsidR="00310F2C" w:rsidRPr="00482FA7" w:rsidRDefault="00310F2C" w:rsidP="00F911D8">
      <w:pPr>
        <w:pStyle w:val="MDPI71References"/>
        <w:rPr>
          <w:szCs w:val="18"/>
        </w:rPr>
      </w:pPr>
      <w:r w:rsidRPr="00482FA7">
        <w:rPr>
          <w:rFonts w:cs="Arial"/>
          <w:color w:val="222222"/>
          <w:szCs w:val="18"/>
          <w:shd w:val="clear" w:color="auto" w:fill="FFFFFF"/>
        </w:rPr>
        <w:t xml:space="preserve">Friedmann, E.; Gee, N.R.; </w:t>
      </w:r>
      <w:proofErr w:type="spellStart"/>
      <w:r w:rsidRPr="00482FA7">
        <w:rPr>
          <w:rFonts w:cs="Arial"/>
          <w:color w:val="222222"/>
          <w:szCs w:val="18"/>
          <w:shd w:val="clear" w:color="auto" w:fill="FFFFFF"/>
        </w:rPr>
        <w:t>Simonsick</w:t>
      </w:r>
      <w:proofErr w:type="spellEnd"/>
      <w:r w:rsidRPr="00482FA7">
        <w:rPr>
          <w:rFonts w:cs="Arial"/>
          <w:color w:val="222222"/>
          <w:szCs w:val="18"/>
          <w:shd w:val="clear" w:color="auto" w:fill="FFFFFF"/>
        </w:rPr>
        <w:t xml:space="preserve">, E.M.; </w:t>
      </w:r>
      <w:proofErr w:type="spellStart"/>
      <w:r w:rsidRPr="00482FA7">
        <w:rPr>
          <w:rFonts w:cs="Arial"/>
          <w:color w:val="222222"/>
          <w:szCs w:val="18"/>
          <w:shd w:val="clear" w:color="auto" w:fill="FFFFFF"/>
        </w:rPr>
        <w:t>Studenski</w:t>
      </w:r>
      <w:proofErr w:type="spellEnd"/>
      <w:r w:rsidRPr="00482FA7">
        <w:rPr>
          <w:rFonts w:cs="Arial"/>
          <w:color w:val="222222"/>
          <w:szCs w:val="18"/>
          <w:shd w:val="clear" w:color="auto" w:fill="FFFFFF"/>
        </w:rPr>
        <w:t xml:space="preserve">, S.; Resnick, B.; Barr, E.; </w:t>
      </w:r>
      <w:proofErr w:type="spellStart"/>
      <w:r w:rsidRPr="00482FA7">
        <w:rPr>
          <w:rFonts w:cs="Arial"/>
          <w:color w:val="222222"/>
          <w:szCs w:val="18"/>
          <w:shd w:val="clear" w:color="auto" w:fill="FFFFFF"/>
        </w:rPr>
        <w:t>Kitner-Triolo</w:t>
      </w:r>
      <w:proofErr w:type="spellEnd"/>
      <w:r w:rsidRPr="00482FA7">
        <w:rPr>
          <w:rFonts w:cs="Arial"/>
          <w:color w:val="222222"/>
          <w:szCs w:val="18"/>
          <w:shd w:val="clear" w:color="auto" w:fill="FFFFFF"/>
        </w:rPr>
        <w:t xml:space="preserve">, M.; Hackney, A. Pet ownership patterns and successful aging outcomes in community dwelling older adults. </w:t>
      </w:r>
      <w:r w:rsidRPr="00482FA7">
        <w:rPr>
          <w:rFonts w:cs="Arial"/>
          <w:i/>
          <w:iCs/>
          <w:color w:val="222222"/>
          <w:szCs w:val="18"/>
          <w:shd w:val="clear" w:color="auto" w:fill="FFFFFF"/>
        </w:rPr>
        <w:t>Frontiers in Veterinary Science.</w:t>
      </w:r>
      <w:r w:rsidRPr="00482FA7">
        <w:rPr>
          <w:rFonts w:cs="Arial"/>
          <w:b/>
          <w:bCs/>
          <w:color w:val="222222"/>
          <w:szCs w:val="18"/>
          <w:shd w:val="clear" w:color="auto" w:fill="FFFFFF"/>
        </w:rPr>
        <w:t xml:space="preserve"> 2020</w:t>
      </w:r>
      <w:r w:rsidRPr="00482FA7">
        <w:rPr>
          <w:rFonts w:cs="Arial"/>
          <w:color w:val="222222"/>
          <w:szCs w:val="18"/>
          <w:shd w:val="clear" w:color="auto" w:fill="FFFFFF"/>
        </w:rPr>
        <w:t xml:space="preserve"> Jun </w:t>
      </w:r>
      <w:proofErr w:type="gramStart"/>
      <w:r w:rsidRPr="00482FA7">
        <w:rPr>
          <w:rFonts w:cs="Arial"/>
          <w:color w:val="222222"/>
          <w:szCs w:val="18"/>
          <w:shd w:val="clear" w:color="auto" w:fill="FFFFFF"/>
        </w:rPr>
        <w:t>25;7:293</w:t>
      </w:r>
      <w:proofErr w:type="gramEnd"/>
      <w:r w:rsidRPr="00482FA7">
        <w:rPr>
          <w:rFonts w:cs="Arial"/>
          <w:color w:val="222222"/>
          <w:szCs w:val="18"/>
          <w:shd w:val="clear" w:color="auto" w:fill="FFFFFF"/>
        </w:rPr>
        <w:t>.</w:t>
      </w:r>
    </w:p>
    <w:p w14:paraId="5EA29516" w14:textId="6AB04AD2" w:rsidR="00310F2C" w:rsidRPr="00482FA7" w:rsidRDefault="00310F2C" w:rsidP="00F911D8">
      <w:pPr>
        <w:pStyle w:val="MDPI71References"/>
        <w:rPr>
          <w:szCs w:val="18"/>
        </w:rPr>
      </w:pPr>
      <w:r w:rsidRPr="00482FA7">
        <w:rPr>
          <w:rFonts w:cs="Arial"/>
          <w:color w:val="222222"/>
          <w:szCs w:val="18"/>
          <w:shd w:val="clear" w:color="auto" w:fill="FFFFFF"/>
        </w:rPr>
        <w:t>Enders-</w:t>
      </w:r>
      <w:proofErr w:type="spellStart"/>
      <w:r w:rsidRPr="00482FA7">
        <w:rPr>
          <w:rFonts w:cs="Arial"/>
          <w:color w:val="222222"/>
          <w:szCs w:val="18"/>
          <w:shd w:val="clear" w:color="auto" w:fill="FFFFFF"/>
        </w:rPr>
        <w:t>Slegers</w:t>
      </w:r>
      <w:proofErr w:type="spellEnd"/>
      <w:r w:rsidRPr="00482FA7">
        <w:rPr>
          <w:rFonts w:cs="Arial"/>
          <w:color w:val="222222"/>
          <w:szCs w:val="18"/>
          <w:shd w:val="clear" w:color="auto" w:fill="FFFFFF"/>
        </w:rPr>
        <w:t xml:space="preserve"> M.J.; </w:t>
      </w:r>
      <w:proofErr w:type="spellStart"/>
      <w:r w:rsidRPr="00482FA7">
        <w:rPr>
          <w:rFonts w:cs="Arial"/>
          <w:color w:val="222222"/>
          <w:szCs w:val="18"/>
          <w:shd w:val="clear" w:color="auto" w:fill="FFFFFF"/>
        </w:rPr>
        <w:t>Hediger</w:t>
      </w:r>
      <w:proofErr w:type="spellEnd"/>
      <w:r w:rsidRPr="00482FA7">
        <w:rPr>
          <w:rFonts w:cs="Arial"/>
          <w:color w:val="222222"/>
          <w:szCs w:val="18"/>
          <w:shd w:val="clear" w:color="auto" w:fill="FFFFFF"/>
        </w:rPr>
        <w:t xml:space="preserve">, K. Pet ownership and human–animal interaction in an aging population: Rewards and challenges. </w:t>
      </w:r>
      <w:proofErr w:type="spellStart"/>
      <w:r w:rsidRPr="00482FA7">
        <w:rPr>
          <w:rFonts w:cs="Arial"/>
          <w:i/>
          <w:iCs/>
          <w:color w:val="222222"/>
          <w:szCs w:val="18"/>
          <w:shd w:val="clear" w:color="auto" w:fill="FFFFFF"/>
        </w:rPr>
        <w:t>Anthrozoös</w:t>
      </w:r>
      <w:proofErr w:type="spellEnd"/>
      <w:r w:rsidRPr="00482FA7">
        <w:rPr>
          <w:rFonts w:cs="Arial"/>
          <w:i/>
          <w:iCs/>
          <w:color w:val="222222"/>
          <w:szCs w:val="18"/>
          <w:shd w:val="clear" w:color="auto" w:fill="FFFFFF"/>
        </w:rPr>
        <w:t>.</w:t>
      </w:r>
      <w:r w:rsidRPr="00482FA7">
        <w:rPr>
          <w:rFonts w:cs="Arial"/>
          <w:color w:val="222222"/>
          <w:szCs w:val="18"/>
          <w:shd w:val="clear" w:color="auto" w:fill="FFFFFF"/>
        </w:rPr>
        <w:t xml:space="preserve"> </w:t>
      </w:r>
      <w:r w:rsidRPr="00482FA7">
        <w:rPr>
          <w:rFonts w:cs="Arial"/>
          <w:b/>
          <w:bCs/>
          <w:color w:val="222222"/>
          <w:szCs w:val="18"/>
          <w:shd w:val="clear" w:color="auto" w:fill="FFFFFF"/>
        </w:rPr>
        <w:t>2019</w:t>
      </w:r>
      <w:r w:rsidRPr="00482FA7">
        <w:rPr>
          <w:rFonts w:cs="Arial"/>
          <w:color w:val="222222"/>
          <w:szCs w:val="18"/>
          <w:shd w:val="clear" w:color="auto" w:fill="FFFFFF"/>
        </w:rPr>
        <w:t xml:space="preserve"> Mar 4;32(2):25</w:t>
      </w:r>
      <w:r w:rsidR="00273B11" w:rsidRPr="00482FA7">
        <w:rPr>
          <w:rFonts w:cs="Arial"/>
          <w:color w:val="222222"/>
          <w:szCs w:val="18"/>
          <w:shd w:val="clear" w:color="auto" w:fill="FFFFFF"/>
        </w:rPr>
        <w:t>5</w:t>
      </w:r>
      <w:r w:rsidR="00273B11">
        <w:rPr>
          <w:rFonts w:cs="Arial"/>
          <w:color w:val="222222"/>
          <w:szCs w:val="18"/>
          <w:shd w:val="clear" w:color="auto" w:fill="FFFFFF"/>
        </w:rPr>
        <w:t>–</w:t>
      </w:r>
      <w:r w:rsidR="00273B11" w:rsidRPr="00482FA7">
        <w:rPr>
          <w:rFonts w:cs="Arial"/>
          <w:color w:val="222222"/>
          <w:szCs w:val="18"/>
          <w:shd w:val="clear" w:color="auto" w:fill="FFFFFF"/>
        </w:rPr>
        <w:t>65</w:t>
      </w:r>
      <w:r w:rsidRPr="00482FA7">
        <w:rPr>
          <w:rFonts w:cs="Arial"/>
          <w:color w:val="222222"/>
          <w:szCs w:val="18"/>
          <w:shd w:val="clear" w:color="auto" w:fill="FFFFFF"/>
        </w:rPr>
        <w:t>.</w:t>
      </w:r>
    </w:p>
    <w:p w14:paraId="1E3E4A0E" w14:textId="629900BF" w:rsidR="00310F2C" w:rsidRPr="00482FA7" w:rsidRDefault="00310F2C" w:rsidP="00F911D8">
      <w:pPr>
        <w:pStyle w:val="MDPI71References"/>
        <w:rPr>
          <w:szCs w:val="18"/>
        </w:rPr>
      </w:pPr>
      <w:r w:rsidRPr="00482FA7">
        <w:rPr>
          <w:szCs w:val="18"/>
        </w:rPr>
        <w:t xml:space="preserve">Gee, N.R.; Mueller, M.K. A systematic review of research on pet ownership and animal interactions among older adults. </w:t>
      </w:r>
      <w:proofErr w:type="spellStart"/>
      <w:r w:rsidRPr="00482FA7">
        <w:rPr>
          <w:i/>
          <w:iCs/>
          <w:szCs w:val="18"/>
        </w:rPr>
        <w:t>Anthrozoös</w:t>
      </w:r>
      <w:proofErr w:type="spellEnd"/>
      <w:r w:rsidRPr="00482FA7">
        <w:rPr>
          <w:i/>
          <w:iCs/>
          <w:szCs w:val="18"/>
        </w:rPr>
        <w:t xml:space="preserve">, </w:t>
      </w:r>
      <w:r w:rsidRPr="00482FA7">
        <w:rPr>
          <w:szCs w:val="18"/>
        </w:rPr>
        <w:t xml:space="preserve">2019. </w:t>
      </w:r>
      <w:r w:rsidRPr="00482FA7">
        <w:rPr>
          <w:i/>
          <w:iCs/>
          <w:szCs w:val="18"/>
        </w:rPr>
        <w:t>32(2),</w:t>
      </w:r>
      <w:r w:rsidRPr="00482FA7">
        <w:rPr>
          <w:szCs w:val="18"/>
        </w:rPr>
        <w:t xml:space="preserve"> 18</w:t>
      </w:r>
      <w:r w:rsidR="00273B11" w:rsidRPr="00482FA7">
        <w:rPr>
          <w:szCs w:val="18"/>
        </w:rPr>
        <w:t>3</w:t>
      </w:r>
      <w:r w:rsidR="00273B11">
        <w:rPr>
          <w:szCs w:val="18"/>
        </w:rPr>
        <w:t>–</w:t>
      </w:r>
      <w:r w:rsidR="00273B11" w:rsidRPr="00482FA7">
        <w:rPr>
          <w:szCs w:val="18"/>
        </w:rPr>
        <w:t>207</w:t>
      </w:r>
      <w:r w:rsidRPr="00482FA7">
        <w:rPr>
          <w:szCs w:val="18"/>
        </w:rPr>
        <w:t>.</w:t>
      </w:r>
    </w:p>
    <w:p w14:paraId="56ABC57D" w14:textId="0D6E0C5C" w:rsidR="00310F2C" w:rsidRPr="00482FA7" w:rsidRDefault="00310F2C" w:rsidP="00F911D8">
      <w:pPr>
        <w:pStyle w:val="MDPI71References"/>
        <w:rPr>
          <w:szCs w:val="18"/>
        </w:rPr>
      </w:pPr>
      <w:r w:rsidRPr="00482FA7">
        <w:rPr>
          <w:szCs w:val="18"/>
        </w:rPr>
        <w:t xml:space="preserve">Brooks, H.L.; Rushton, K.; Lovell, K.; Bee, P.; Walker, L.; Grant, L.; Rogers, A. The power of support from companion animals for people living with mental health problems: a systematic review and narrative synthesis of the evidence. </w:t>
      </w:r>
      <w:r w:rsidRPr="00482FA7">
        <w:rPr>
          <w:i/>
          <w:iCs/>
          <w:szCs w:val="18"/>
        </w:rPr>
        <w:t xml:space="preserve">BMC psychiatry, </w:t>
      </w:r>
      <w:r w:rsidRPr="00482FA7">
        <w:rPr>
          <w:b/>
          <w:bCs/>
          <w:szCs w:val="18"/>
        </w:rPr>
        <w:t>2018</w:t>
      </w:r>
      <w:r w:rsidRPr="00482FA7">
        <w:rPr>
          <w:i/>
          <w:iCs/>
          <w:szCs w:val="18"/>
        </w:rPr>
        <w:t>. 18(1),</w:t>
      </w:r>
      <w:r w:rsidRPr="00482FA7">
        <w:rPr>
          <w:szCs w:val="18"/>
        </w:rPr>
        <w:t xml:space="preserve"> </w:t>
      </w:r>
      <w:r w:rsidR="00273B11" w:rsidRPr="00482FA7">
        <w:rPr>
          <w:szCs w:val="18"/>
        </w:rPr>
        <w:t>1</w:t>
      </w:r>
      <w:r w:rsidR="00273B11">
        <w:rPr>
          <w:szCs w:val="18"/>
        </w:rPr>
        <w:t>–</w:t>
      </w:r>
      <w:r w:rsidR="00273B11" w:rsidRPr="00482FA7">
        <w:rPr>
          <w:szCs w:val="18"/>
        </w:rPr>
        <w:t>12</w:t>
      </w:r>
      <w:r w:rsidRPr="00482FA7">
        <w:rPr>
          <w:szCs w:val="18"/>
        </w:rPr>
        <w:t>.</w:t>
      </w:r>
    </w:p>
    <w:p w14:paraId="16C4346A" w14:textId="32DBC0FD" w:rsidR="00310F2C" w:rsidRPr="00482FA7" w:rsidRDefault="00310F2C" w:rsidP="00F911D8">
      <w:pPr>
        <w:pStyle w:val="MDPI71References"/>
        <w:rPr>
          <w:szCs w:val="18"/>
        </w:rPr>
      </w:pPr>
      <w:r w:rsidRPr="00482FA7">
        <w:rPr>
          <w:rFonts w:cs="Arial"/>
          <w:color w:val="222222"/>
          <w:szCs w:val="18"/>
          <w:shd w:val="clear" w:color="auto" w:fill="FFFFFF"/>
        </w:rPr>
        <w:t>Krause-</w:t>
      </w:r>
      <w:proofErr w:type="spellStart"/>
      <w:r w:rsidRPr="00482FA7">
        <w:rPr>
          <w:rFonts w:cs="Arial"/>
          <w:color w:val="222222"/>
          <w:szCs w:val="18"/>
          <w:shd w:val="clear" w:color="auto" w:fill="FFFFFF"/>
        </w:rPr>
        <w:t>Parello</w:t>
      </w:r>
      <w:proofErr w:type="spellEnd"/>
      <w:r w:rsidRPr="00482FA7">
        <w:rPr>
          <w:rFonts w:cs="Arial"/>
          <w:color w:val="222222"/>
          <w:szCs w:val="18"/>
          <w:shd w:val="clear" w:color="auto" w:fill="FFFFFF"/>
        </w:rPr>
        <w:t xml:space="preserve">, C.A.; Gulick, E.E.; Basin, B. Loneliness, depression, and physical activity in older adults: The therapeutic role of human–animal interactions. </w:t>
      </w:r>
      <w:proofErr w:type="spellStart"/>
      <w:r w:rsidRPr="00482FA7">
        <w:rPr>
          <w:rFonts w:cs="Arial"/>
          <w:i/>
          <w:iCs/>
          <w:color w:val="222222"/>
          <w:szCs w:val="18"/>
          <w:shd w:val="clear" w:color="auto" w:fill="FFFFFF"/>
        </w:rPr>
        <w:t>Anthrozoös</w:t>
      </w:r>
      <w:proofErr w:type="spellEnd"/>
      <w:r w:rsidRPr="00482FA7">
        <w:rPr>
          <w:rFonts w:cs="Arial"/>
          <w:i/>
          <w:iCs/>
          <w:color w:val="222222"/>
          <w:szCs w:val="18"/>
          <w:shd w:val="clear" w:color="auto" w:fill="FFFFFF"/>
        </w:rPr>
        <w:t>.</w:t>
      </w:r>
      <w:r w:rsidRPr="00482FA7">
        <w:rPr>
          <w:rFonts w:cs="Arial"/>
          <w:color w:val="222222"/>
          <w:szCs w:val="18"/>
          <w:shd w:val="clear" w:color="auto" w:fill="FFFFFF"/>
        </w:rPr>
        <w:t xml:space="preserve"> </w:t>
      </w:r>
      <w:r w:rsidRPr="00482FA7">
        <w:rPr>
          <w:rFonts w:cs="Arial"/>
          <w:b/>
          <w:bCs/>
          <w:color w:val="222222"/>
          <w:szCs w:val="18"/>
          <w:shd w:val="clear" w:color="auto" w:fill="FFFFFF"/>
        </w:rPr>
        <w:t>2019</w:t>
      </w:r>
      <w:r w:rsidRPr="00482FA7">
        <w:rPr>
          <w:rFonts w:cs="Arial"/>
          <w:color w:val="222222"/>
          <w:szCs w:val="18"/>
          <w:shd w:val="clear" w:color="auto" w:fill="FFFFFF"/>
        </w:rPr>
        <w:t xml:space="preserve"> Mar 4;32(2):23</w:t>
      </w:r>
      <w:r w:rsidR="00273B11" w:rsidRPr="00482FA7">
        <w:rPr>
          <w:rFonts w:cs="Arial"/>
          <w:color w:val="222222"/>
          <w:szCs w:val="18"/>
          <w:shd w:val="clear" w:color="auto" w:fill="FFFFFF"/>
        </w:rPr>
        <w:t>9</w:t>
      </w:r>
      <w:r w:rsidR="00273B11">
        <w:rPr>
          <w:rFonts w:cs="Arial"/>
          <w:color w:val="222222"/>
          <w:szCs w:val="18"/>
          <w:shd w:val="clear" w:color="auto" w:fill="FFFFFF"/>
        </w:rPr>
        <w:t>–</w:t>
      </w:r>
      <w:r w:rsidR="00273B11" w:rsidRPr="00482FA7">
        <w:rPr>
          <w:rFonts w:cs="Arial"/>
          <w:color w:val="222222"/>
          <w:szCs w:val="18"/>
          <w:shd w:val="clear" w:color="auto" w:fill="FFFFFF"/>
        </w:rPr>
        <w:t>54</w:t>
      </w:r>
      <w:r w:rsidRPr="00482FA7">
        <w:rPr>
          <w:rFonts w:cs="Arial"/>
          <w:color w:val="222222"/>
          <w:szCs w:val="18"/>
          <w:shd w:val="clear" w:color="auto" w:fill="FFFFFF"/>
        </w:rPr>
        <w:t xml:space="preserve">. </w:t>
      </w:r>
      <w:r w:rsidRPr="00482FA7">
        <w:rPr>
          <w:rFonts w:cs="Open Sans"/>
          <w:color w:val="333333"/>
          <w:szCs w:val="18"/>
          <w:shd w:val="clear" w:color="auto" w:fill="FFFFFF"/>
        </w:rPr>
        <w:t>DOI:</w:t>
      </w:r>
      <w:r w:rsidR="00630CAE" w:rsidRPr="00482FA7">
        <w:rPr>
          <w:rFonts w:cs="Open Sans"/>
          <w:color w:val="333333"/>
          <w:szCs w:val="18"/>
          <w:shd w:val="clear" w:color="auto" w:fill="FFFFFF"/>
        </w:rPr>
        <w:t xml:space="preserve"> </w:t>
      </w:r>
      <w:hyperlink r:id="rId14" w:history="1">
        <w:r w:rsidRPr="00482FA7">
          <w:rPr>
            <w:rStyle w:val="Hyperlink"/>
            <w:rFonts w:cs="Open Sans"/>
            <w:color w:val="333333"/>
            <w:szCs w:val="18"/>
            <w:shd w:val="clear" w:color="auto" w:fill="FFFFFF"/>
          </w:rPr>
          <w:t>10.1080/08927936.2019.1569906</w:t>
        </w:r>
      </w:hyperlink>
    </w:p>
    <w:p w14:paraId="001B7E7C" w14:textId="4F24AFE3" w:rsidR="00310F2C" w:rsidRPr="00482FA7" w:rsidRDefault="00310F2C" w:rsidP="00F911D8">
      <w:pPr>
        <w:pStyle w:val="MDPI71References"/>
        <w:rPr>
          <w:szCs w:val="18"/>
        </w:rPr>
      </w:pPr>
      <w:r w:rsidRPr="00482FA7">
        <w:rPr>
          <w:szCs w:val="18"/>
        </w:rPr>
        <w:t xml:space="preserve">Liu, S.; Powell, L.; Chia, D.; Russ, T.C.; McGreevy, P.D.; Bauman, A.E.; Stamatakis, E. Is dog ownership associated with mental health? A population study of 68,362 adults living in England. </w:t>
      </w:r>
      <w:proofErr w:type="spellStart"/>
      <w:r w:rsidRPr="00482FA7">
        <w:rPr>
          <w:i/>
          <w:iCs/>
          <w:szCs w:val="18"/>
        </w:rPr>
        <w:t>Anthrozoös</w:t>
      </w:r>
      <w:proofErr w:type="spellEnd"/>
      <w:r w:rsidRPr="00482FA7">
        <w:rPr>
          <w:i/>
          <w:iCs/>
          <w:szCs w:val="18"/>
        </w:rPr>
        <w:t>,</w:t>
      </w:r>
      <w:r w:rsidRPr="00482FA7">
        <w:rPr>
          <w:szCs w:val="18"/>
        </w:rPr>
        <w:t xml:space="preserve"> </w:t>
      </w:r>
      <w:r w:rsidRPr="00482FA7">
        <w:rPr>
          <w:b/>
          <w:bCs/>
          <w:szCs w:val="18"/>
        </w:rPr>
        <w:t>2019</w:t>
      </w:r>
      <w:r w:rsidRPr="00482FA7">
        <w:rPr>
          <w:szCs w:val="18"/>
        </w:rPr>
        <w:t xml:space="preserve">. </w:t>
      </w:r>
      <w:r w:rsidRPr="00482FA7">
        <w:rPr>
          <w:i/>
          <w:iCs/>
          <w:szCs w:val="18"/>
        </w:rPr>
        <w:t>32(6),</w:t>
      </w:r>
      <w:r w:rsidRPr="00482FA7">
        <w:rPr>
          <w:szCs w:val="18"/>
        </w:rPr>
        <w:t xml:space="preserve"> 72</w:t>
      </w:r>
      <w:r w:rsidR="00273B11" w:rsidRPr="00482FA7">
        <w:rPr>
          <w:szCs w:val="18"/>
        </w:rPr>
        <w:t>9</w:t>
      </w:r>
      <w:r w:rsidR="00273B11">
        <w:rPr>
          <w:szCs w:val="18"/>
        </w:rPr>
        <w:t>–</w:t>
      </w:r>
      <w:r w:rsidR="00273B11" w:rsidRPr="00482FA7">
        <w:rPr>
          <w:szCs w:val="18"/>
        </w:rPr>
        <w:t>739</w:t>
      </w:r>
      <w:r w:rsidRPr="00482FA7">
        <w:rPr>
          <w:szCs w:val="18"/>
        </w:rPr>
        <w:t>.</w:t>
      </w:r>
    </w:p>
    <w:p w14:paraId="39D00276" w14:textId="77B341C6" w:rsidR="00310F2C" w:rsidRPr="00482FA7" w:rsidRDefault="00310F2C" w:rsidP="00F911D8">
      <w:pPr>
        <w:pStyle w:val="MDPI71References"/>
        <w:rPr>
          <w:szCs w:val="18"/>
        </w:rPr>
      </w:pPr>
      <w:r w:rsidRPr="00482FA7">
        <w:rPr>
          <w:szCs w:val="18"/>
        </w:rPr>
        <w:t xml:space="preserve">Hui Gan, G.Z.; Hill, A.M.; Yeung, P.; </w:t>
      </w:r>
      <w:proofErr w:type="spellStart"/>
      <w:r w:rsidRPr="00482FA7">
        <w:rPr>
          <w:szCs w:val="18"/>
        </w:rPr>
        <w:t>Keesing</w:t>
      </w:r>
      <w:proofErr w:type="spellEnd"/>
      <w:r w:rsidRPr="00482FA7">
        <w:rPr>
          <w:szCs w:val="18"/>
        </w:rPr>
        <w:t xml:space="preserve">, S.; </w:t>
      </w:r>
      <w:proofErr w:type="spellStart"/>
      <w:r w:rsidRPr="00482FA7">
        <w:rPr>
          <w:szCs w:val="18"/>
        </w:rPr>
        <w:t>Netto</w:t>
      </w:r>
      <w:proofErr w:type="spellEnd"/>
      <w:r w:rsidRPr="00482FA7">
        <w:rPr>
          <w:szCs w:val="18"/>
        </w:rPr>
        <w:t xml:space="preserve">, J.A. Pet ownership and its influence on mental health in older adults. </w:t>
      </w:r>
      <w:r w:rsidRPr="00482FA7">
        <w:rPr>
          <w:i/>
          <w:iCs/>
          <w:szCs w:val="18"/>
        </w:rPr>
        <w:t>Aging &amp; mental health,</w:t>
      </w:r>
      <w:r w:rsidRPr="00482FA7">
        <w:rPr>
          <w:szCs w:val="18"/>
        </w:rPr>
        <w:t xml:space="preserve"> </w:t>
      </w:r>
      <w:r w:rsidRPr="00482FA7">
        <w:rPr>
          <w:b/>
          <w:bCs/>
          <w:szCs w:val="18"/>
        </w:rPr>
        <w:t>2020</w:t>
      </w:r>
      <w:r w:rsidRPr="00482FA7">
        <w:rPr>
          <w:szCs w:val="18"/>
        </w:rPr>
        <w:t xml:space="preserve">. </w:t>
      </w:r>
      <w:r w:rsidRPr="00482FA7">
        <w:rPr>
          <w:i/>
          <w:iCs/>
          <w:szCs w:val="18"/>
        </w:rPr>
        <w:t>24(10),</w:t>
      </w:r>
      <w:r w:rsidRPr="00482FA7">
        <w:rPr>
          <w:szCs w:val="18"/>
        </w:rPr>
        <w:t xml:space="preserve"> 160</w:t>
      </w:r>
      <w:r w:rsidR="00273B11" w:rsidRPr="00482FA7">
        <w:rPr>
          <w:szCs w:val="18"/>
        </w:rPr>
        <w:t>5</w:t>
      </w:r>
      <w:r w:rsidR="00273B11">
        <w:rPr>
          <w:szCs w:val="18"/>
        </w:rPr>
        <w:t>–</w:t>
      </w:r>
      <w:r w:rsidR="00273B11" w:rsidRPr="00482FA7">
        <w:rPr>
          <w:szCs w:val="18"/>
        </w:rPr>
        <w:t>1612</w:t>
      </w:r>
      <w:r w:rsidRPr="00482FA7">
        <w:rPr>
          <w:szCs w:val="18"/>
        </w:rPr>
        <w:t>.</w:t>
      </w:r>
    </w:p>
    <w:p w14:paraId="7BFB312C" w14:textId="6C1775B6" w:rsidR="00310F2C" w:rsidRPr="00482FA7" w:rsidRDefault="00310F2C" w:rsidP="00F911D8">
      <w:pPr>
        <w:pStyle w:val="MDPI71References"/>
        <w:rPr>
          <w:szCs w:val="18"/>
        </w:rPr>
      </w:pPr>
      <w:r w:rsidRPr="00482FA7">
        <w:rPr>
          <w:rFonts w:cs="Arial"/>
          <w:color w:val="222222"/>
          <w:szCs w:val="18"/>
          <w:shd w:val="clear" w:color="auto" w:fill="FFFFFF"/>
        </w:rPr>
        <w:t xml:space="preserve">Sharpley C, Veronese N, Smith L, López-Sánchez GF, </w:t>
      </w:r>
      <w:proofErr w:type="spellStart"/>
      <w:r w:rsidRPr="00482FA7">
        <w:rPr>
          <w:rFonts w:cs="Arial"/>
          <w:color w:val="222222"/>
          <w:szCs w:val="18"/>
          <w:shd w:val="clear" w:color="auto" w:fill="FFFFFF"/>
        </w:rPr>
        <w:t>Bitsika</w:t>
      </w:r>
      <w:proofErr w:type="spellEnd"/>
      <w:r w:rsidRPr="00482FA7">
        <w:rPr>
          <w:rFonts w:cs="Arial"/>
          <w:color w:val="222222"/>
          <w:szCs w:val="18"/>
          <w:shd w:val="clear" w:color="auto" w:fill="FFFFFF"/>
        </w:rPr>
        <w:t xml:space="preserve"> V, Demurtas J, Celotto S, </w:t>
      </w:r>
      <w:proofErr w:type="spellStart"/>
      <w:r w:rsidRPr="00482FA7">
        <w:rPr>
          <w:rFonts w:cs="Arial"/>
          <w:color w:val="222222"/>
          <w:szCs w:val="18"/>
          <w:shd w:val="clear" w:color="auto" w:fill="FFFFFF"/>
        </w:rPr>
        <w:t>Noventa</w:t>
      </w:r>
      <w:proofErr w:type="spellEnd"/>
      <w:r w:rsidRPr="00482FA7">
        <w:rPr>
          <w:rFonts w:cs="Arial"/>
          <w:color w:val="222222"/>
          <w:szCs w:val="18"/>
          <w:shd w:val="clear" w:color="auto" w:fill="FFFFFF"/>
        </w:rPr>
        <w:t xml:space="preserve"> V, Soysal P, </w:t>
      </w:r>
      <w:proofErr w:type="spellStart"/>
      <w:r w:rsidRPr="00482FA7">
        <w:rPr>
          <w:rFonts w:cs="Arial"/>
          <w:color w:val="222222"/>
          <w:szCs w:val="18"/>
          <w:shd w:val="clear" w:color="auto" w:fill="FFFFFF"/>
        </w:rPr>
        <w:t>Isik</w:t>
      </w:r>
      <w:proofErr w:type="spellEnd"/>
      <w:r w:rsidRPr="00482FA7">
        <w:rPr>
          <w:rFonts w:cs="Arial"/>
          <w:color w:val="222222"/>
          <w:szCs w:val="18"/>
          <w:shd w:val="clear" w:color="auto" w:fill="FFFFFF"/>
        </w:rPr>
        <w:t xml:space="preserve"> AT, Grabovac I. Pet ownership and symptoms of depression: A prospective study of older adults. Journal of Affective Disorders. 2020 Mar </w:t>
      </w:r>
      <w:proofErr w:type="gramStart"/>
      <w:r w:rsidRPr="00482FA7">
        <w:rPr>
          <w:rFonts w:cs="Arial"/>
          <w:color w:val="222222"/>
          <w:szCs w:val="18"/>
          <w:shd w:val="clear" w:color="auto" w:fill="FFFFFF"/>
        </w:rPr>
        <w:t>1;264:3</w:t>
      </w:r>
      <w:r w:rsidR="00273B11" w:rsidRPr="00482FA7">
        <w:rPr>
          <w:rFonts w:cs="Arial"/>
          <w:color w:val="222222"/>
          <w:szCs w:val="18"/>
          <w:shd w:val="clear" w:color="auto" w:fill="FFFFFF"/>
        </w:rPr>
        <w:t>5</w:t>
      </w:r>
      <w:proofErr w:type="gramEnd"/>
      <w:r w:rsidR="00273B11">
        <w:rPr>
          <w:rFonts w:cs="Arial"/>
          <w:color w:val="222222"/>
          <w:szCs w:val="18"/>
          <w:shd w:val="clear" w:color="auto" w:fill="FFFFFF"/>
        </w:rPr>
        <w:t>–</w:t>
      </w:r>
      <w:r w:rsidR="00273B11" w:rsidRPr="00482FA7">
        <w:rPr>
          <w:rFonts w:cs="Arial"/>
          <w:color w:val="222222"/>
          <w:szCs w:val="18"/>
          <w:shd w:val="clear" w:color="auto" w:fill="FFFFFF"/>
        </w:rPr>
        <w:t>9</w:t>
      </w:r>
      <w:r w:rsidRPr="00482FA7">
        <w:rPr>
          <w:rFonts w:cs="Arial"/>
          <w:color w:val="222222"/>
          <w:szCs w:val="18"/>
          <w:shd w:val="clear" w:color="auto" w:fill="FFFFFF"/>
        </w:rPr>
        <w:t>.</w:t>
      </w:r>
    </w:p>
    <w:p w14:paraId="6E9A5812" w14:textId="09ACFE0B" w:rsidR="00310F2C" w:rsidRPr="00482FA7" w:rsidRDefault="00310F2C" w:rsidP="00F911D8">
      <w:pPr>
        <w:pStyle w:val="MDPI71References"/>
        <w:rPr>
          <w:szCs w:val="18"/>
        </w:rPr>
      </w:pPr>
      <w:proofErr w:type="spellStart"/>
      <w:r w:rsidRPr="00482FA7">
        <w:rPr>
          <w:szCs w:val="18"/>
        </w:rPr>
        <w:t>Rijken</w:t>
      </w:r>
      <w:proofErr w:type="spellEnd"/>
      <w:r w:rsidRPr="00482FA7">
        <w:rPr>
          <w:szCs w:val="18"/>
        </w:rPr>
        <w:t xml:space="preserve">, M.; van Beek, S. About cats and dogs… Reconsidering the relationship between pet ownership and health related outcomes in community-dwelling elderly. </w:t>
      </w:r>
      <w:r w:rsidRPr="00482FA7">
        <w:rPr>
          <w:i/>
          <w:iCs/>
          <w:szCs w:val="18"/>
        </w:rPr>
        <w:t>Social Indicators Research,</w:t>
      </w:r>
      <w:r w:rsidRPr="00482FA7">
        <w:rPr>
          <w:szCs w:val="18"/>
        </w:rPr>
        <w:t xml:space="preserve"> </w:t>
      </w:r>
      <w:r w:rsidRPr="00482FA7">
        <w:rPr>
          <w:b/>
          <w:bCs/>
          <w:szCs w:val="18"/>
        </w:rPr>
        <w:t>2011</w:t>
      </w:r>
      <w:r w:rsidRPr="00482FA7">
        <w:rPr>
          <w:szCs w:val="18"/>
        </w:rPr>
        <w:t xml:space="preserve">. </w:t>
      </w:r>
      <w:r w:rsidRPr="00482FA7">
        <w:rPr>
          <w:i/>
          <w:iCs/>
          <w:szCs w:val="18"/>
        </w:rPr>
        <w:t>102(3),</w:t>
      </w:r>
      <w:r w:rsidRPr="00482FA7">
        <w:rPr>
          <w:szCs w:val="18"/>
        </w:rPr>
        <w:t xml:space="preserve"> 37</w:t>
      </w:r>
      <w:r w:rsidR="00273B11" w:rsidRPr="00482FA7">
        <w:rPr>
          <w:szCs w:val="18"/>
        </w:rPr>
        <w:t>3</w:t>
      </w:r>
      <w:r w:rsidR="00273B11">
        <w:rPr>
          <w:szCs w:val="18"/>
        </w:rPr>
        <w:t>–</w:t>
      </w:r>
      <w:r w:rsidR="00273B11" w:rsidRPr="00482FA7">
        <w:rPr>
          <w:szCs w:val="18"/>
        </w:rPr>
        <w:t>388</w:t>
      </w:r>
      <w:r w:rsidRPr="00482FA7">
        <w:rPr>
          <w:szCs w:val="18"/>
        </w:rPr>
        <w:t>.</w:t>
      </w:r>
    </w:p>
    <w:p w14:paraId="3231AABE" w14:textId="77777777" w:rsidR="00310F2C" w:rsidRPr="00482FA7" w:rsidRDefault="00310F2C" w:rsidP="00F911D8">
      <w:pPr>
        <w:pStyle w:val="MDPI71References"/>
        <w:rPr>
          <w:szCs w:val="18"/>
        </w:rPr>
      </w:pPr>
      <w:r w:rsidRPr="00482FA7">
        <w:rPr>
          <w:szCs w:val="18"/>
        </w:rPr>
        <w:t xml:space="preserve">Hall, G.; Laddu, D.; R., Phillips, S. A.; </w:t>
      </w:r>
      <w:proofErr w:type="spellStart"/>
      <w:r w:rsidRPr="00482FA7">
        <w:rPr>
          <w:szCs w:val="18"/>
        </w:rPr>
        <w:t>Lavie</w:t>
      </w:r>
      <w:proofErr w:type="spellEnd"/>
      <w:r w:rsidRPr="00482FA7">
        <w:rPr>
          <w:szCs w:val="18"/>
        </w:rPr>
        <w:t xml:space="preserve">, C. J.; Arena, R. A tale of two pandemics: How will COVID-19 and global trends in physical inactivity and sedentary behavior affect one </w:t>
      </w:r>
      <w:proofErr w:type="gramStart"/>
      <w:r w:rsidRPr="00482FA7">
        <w:rPr>
          <w:szCs w:val="18"/>
        </w:rPr>
        <w:t>another?.</w:t>
      </w:r>
      <w:proofErr w:type="gramEnd"/>
      <w:r w:rsidRPr="00482FA7">
        <w:rPr>
          <w:szCs w:val="18"/>
        </w:rPr>
        <w:t xml:space="preserve"> </w:t>
      </w:r>
      <w:r w:rsidRPr="00482FA7">
        <w:rPr>
          <w:i/>
          <w:iCs/>
          <w:szCs w:val="18"/>
        </w:rPr>
        <w:t>Progress in cardiovascular diseases,</w:t>
      </w:r>
      <w:r w:rsidRPr="00482FA7">
        <w:rPr>
          <w:szCs w:val="18"/>
        </w:rPr>
        <w:t xml:space="preserve"> </w:t>
      </w:r>
      <w:r w:rsidRPr="00482FA7">
        <w:rPr>
          <w:b/>
          <w:bCs/>
          <w:szCs w:val="18"/>
        </w:rPr>
        <w:t>2021.</w:t>
      </w:r>
      <w:r w:rsidRPr="00482FA7">
        <w:rPr>
          <w:i/>
          <w:iCs/>
          <w:szCs w:val="18"/>
        </w:rPr>
        <w:t xml:space="preserve"> 64, </w:t>
      </w:r>
      <w:r w:rsidRPr="00482FA7">
        <w:rPr>
          <w:szCs w:val="18"/>
        </w:rPr>
        <w:t>108.</w:t>
      </w:r>
    </w:p>
    <w:p w14:paraId="36700CC5" w14:textId="08DD257F" w:rsidR="00310F2C" w:rsidRPr="00482FA7" w:rsidRDefault="00310F2C" w:rsidP="00F911D8">
      <w:pPr>
        <w:pStyle w:val="MDPI71References"/>
        <w:rPr>
          <w:szCs w:val="18"/>
        </w:rPr>
      </w:pPr>
      <w:proofErr w:type="spellStart"/>
      <w:r w:rsidRPr="00482FA7">
        <w:rPr>
          <w:szCs w:val="18"/>
        </w:rPr>
        <w:t>Jorstad</w:t>
      </w:r>
      <w:proofErr w:type="spellEnd"/>
      <w:r w:rsidRPr="00482FA7">
        <w:rPr>
          <w:szCs w:val="18"/>
        </w:rPr>
        <w:t xml:space="preserve">, H.T.; </w:t>
      </w:r>
      <w:proofErr w:type="spellStart"/>
      <w:r w:rsidRPr="00482FA7">
        <w:rPr>
          <w:szCs w:val="18"/>
        </w:rPr>
        <w:t>Piek</w:t>
      </w:r>
      <w:proofErr w:type="spellEnd"/>
      <w:r w:rsidRPr="00482FA7">
        <w:rPr>
          <w:szCs w:val="18"/>
        </w:rPr>
        <w:t xml:space="preserve">, J.J. Physical inactivity in times of a pandemic: another curve to flatten. </w:t>
      </w:r>
      <w:r w:rsidRPr="00482FA7">
        <w:rPr>
          <w:i/>
          <w:iCs/>
          <w:szCs w:val="18"/>
        </w:rPr>
        <w:t xml:space="preserve">Netherlands Heart Journal, </w:t>
      </w:r>
      <w:r w:rsidRPr="00482FA7">
        <w:rPr>
          <w:b/>
          <w:bCs/>
          <w:szCs w:val="18"/>
        </w:rPr>
        <w:t xml:space="preserve">2021, </w:t>
      </w:r>
      <w:r w:rsidRPr="00482FA7">
        <w:rPr>
          <w:i/>
          <w:iCs/>
          <w:szCs w:val="18"/>
        </w:rPr>
        <w:t>29</w:t>
      </w:r>
      <w:r w:rsidRPr="00482FA7">
        <w:rPr>
          <w:szCs w:val="18"/>
        </w:rPr>
        <w:t>(5), 24</w:t>
      </w:r>
      <w:r w:rsidR="00273B11" w:rsidRPr="00482FA7">
        <w:rPr>
          <w:szCs w:val="18"/>
        </w:rPr>
        <w:t>1</w:t>
      </w:r>
      <w:r w:rsidR="00273B11">
        <w:rPr>
          <w:szCs w:val="18"/>
        </w:rPr>
        <w:t>–</w:t>
      </w:r>
      <w:r w:rsidR="00273B11" w:rsidRPr="00482FA7">
        <w:rPr>
          <w:szCs w:val="18"/>
        </w:rPr>
        <w:t>242</w:t>
      </w:r>
    </w:p>
    <w:p w14:paraId="03A6C1EE" w14:textId="2B8B9CB8" w:rsidR="00310F2C" w:rsidRPr="00482FA7" w:rsidRDefault="00310F2C" w:rsidP="00F911D8">
      <w:pPr>
        <w:pStyle w:val="MDPI71References"/>
        <w:rPr>
          <w:szCs w:val="18"/>
        </w:rPr>
      </w:pPr>
      <w:r w:rsidRPr="00482FA7">
        <w:rPr>
          <w:szCs w:val="18"/>
        </w:rPr>
        <w:t xml:space="preserve">Le Roux, E. ; De Jong, N.P. ; Blanc, S. ; Simon, C. ; </w:t>
      </w:r>
      <w:proofErr w:type="spellStart"/>
      <w:r w:rsidRPr="00482FA7">
        <w:rPr>
          <w:szCs w:val="18"/>
        </w:rPr>
        <w:t>Bessesen</w:t>
      </w:r>
      <w:proofErr w:type="spellEnd"/>
      <w:r w:rsidRPr="00482FA7">
        <w:rPr>
          <w:szCs w:val="18"/>
        </w:rPr>
        <w:t xml:space="preserve">, D.H. ; </w:t>
      </w:r>
      <w:proofErr w:type="spellStart"/>
      <w:r w:rsidRPr="00482FA7">
        <w:rPr>
          <w:szCs w:val="18"/>
        </w:rPr>
        <w:t>Bergouignan</w:t>
      </w:r>
      <w:proofErr w:type="spellEnd"/>
      <w:r w:rsidRPr="00482FA7">
        <w:rPr>
          <w:szCs w:val="18"/>
        </w:rPr>
        <w:t xml:space="preserve">, A. Physiology of physical inactivity, sedentary </w:t>
      </w:r>
      <w:proofErr w:type="spellStart"/>
      <w:r w:rsidRPr="00482FA7">
        <w:rPr>
          <w:szCs w:val="18"/>
        </w:rPr>
        <w:t>behaviours</w:t>
      </w:r>
      <w:proofErr w:type="spellEnd"/>
      <w:r w:rsidRPr="00482FA7">
        <w:rPr>
          <w:szCs w:val="18"/>
        </w:rPr>
        <w:t xml:space="preserve"> and non</w:t>
      </w:r>
      <w:r w:rsidR="00630CAE" w:rsidRPr="00482FA7">
        <w:rPr>
          <w:szCs w:val="18"/>
        </w:rPr>
        <w:t>-</w:t>
      </w:r>
      <w:r w:rsidRPr="00482FA7">
        <w:rPr>
          <w:szCs w:val="18"/>
        </w:rPr>
        <w:t xml:space="preserve">exercise activity: insights from the space bedrest model. </w:t>
      </w:r>
      <w:r w:rsidRPr="00482FA7">
        <w:rPr>
          <w:i/>
          <w:iCs/>
          <w:szCs w:val="18"/>
        </w:rPr>
        <w:t>The Journal of Physiology,</w:t>
      </w:r>
      <w:r w:rsidRPr="00482FA7">
        <w:rPr>
          <w:szCs w:val="18"/>
        </w:rPr>
        <w:t xml:space="preserve"> </w:t>
      </w:r>
      <w:r w:rsidRPr="00482FA7">
        <w:rPr>
          <w:b/>
          <w:bCs/>
          <w:szCs w:val="18"/>
        </w:rPr>
        <w:t>2022</w:t>
      </w:r>
      <w:r w:rsidRPr="00482FA7">
        <w:rPr>
          <w:szCs w:val="18"/>
        </w:rPr>
        <w:t xml:space="preserve">. </w:t>
      </w:r>
      <w:r w:rsidRPr="00482FA7">
        <w:rPr>
          <w:i/>
          <w:iCs/>
          <w:szCs w:val="18"/>
        </w:rPr>
        <w:t>600(</w:t>
      </w:r>
      <w:r w:rsidRPr="00482FA7">
        <w:rPr>
          <w:szCs w:val="18"/>
        </w:rPr>
        <w:t>5), 103</w:t>
      </w:r>
      <w:r w:rsidR="00273B11" w:rsidRPr="00482FA7">
        <w:rPr>
          <w:szCs w:val="18"/>
        </w:rPr>
        <w:t>7</w:t>
      </w:r>
      <w:r w:rsidR="00273B11">
        <w:rPr>
          <w:szCs w:val="18"/>
        </w:rPr>
        <w:t>–</w:t>
      </w:r>
      <w:r w:rsidR="00273B11" w:rsidRPr="00482FA7">
        <w:rPr>
          <w:szCs w:val="18"/>
        </w:rPr>
        <w:t>1051</w:t>
      </w:r>
      <w:r w:rsidRPr="00482FA7">
        <w:rPr>
          <w:szCs w:val="18"/>
        </w:rPr>
        <w:t>.</w:t>
      </w:r>
    </w:p>
    <w:p w14:paraId="2F6A6B34" w14:textId="77777777" w:rsidR="00310F2C" w:rsidRPr="00482FA7" w:rsidRDefault="00310F2C" w:rsidP="00F911D8">
      <w:pPr>
        <w:pStyle w:val="MDPI71References"/>
        <w:rPr>
          <w:szCs w:val="18"/>
        </w:rPr>
      </w:pPr>
      <w:r w:rsidRPr="00482FA7">
        <w:rPr>
          <w:szCs w:val="18"/>
        </w:rPr>
        <w:t xml:space="preserve">Costa Santos, A.; </w:t>
      </w:r>
      <w:proofErr w:type="spellStart"/>
      <w:r w:rsidRPr="00482FA7">
        <w:rPr>
          <w:szCs w:val="18"/>
        </w:rPr>
        <w:t>Willumsen</w:t>
      </w:r>
      <w:proofErr w:type="spellEnd"/>
      <w:r w:rsidRPr="00482FA7">
        <w:rPr>
          <w:szCs w:val="18"/>
        </w:rPr>
        <w:t xml:space="preserve">, J.; </w:t>
      </w:r>
      <w:proofErr w:type="spellStart"/>
      <w:r w:rsidRPr="00482FA7">
        <w:rPr>
          <w:szCs w:val="18"/>
        </w:rPr>
        <w:t>Meheus</w:t>
      </w:r>
      <w:proofErr w:type="spellEnd"/>
      <w:r w:rsidRPr="00482FA7">
        <w:rPr>
          <w:szCs w:val="18"/>
        </w:rPr>
        <w:t xml:space="preserve">, F.; </w:t>
      </w:r>
      <w:proofErr w:type="spellStart"/>
      <w:r w:rsidRPr="00482FA7">
        <w:rPr>
          <w:szCs w:val="18"/>
        </w:rPr>
        <w:t>Ilbaw</w:t>
      </w:r>
      <w:proofErr w:type="spellEnd"/>
      <w:r w:rsidRPr="00482FA7">
        <w:rPr>
          <w:szCs w:val="18"/>
        </w:rPr>
        <w:t xml:space="preserve">, A.; Bull, F.C. The Cost of Inaction on Physical Inactivity to Healthcare Systems. Available at SSRN 4248284. </w:t>
      </w:r>
      <w:r w:rsidRPr="00482FA7">
        <w:rPr>
          <w:b/>
          <w:bCs/>
          <w:szCs w:val="18"/>
        </w:rPr>
        <w:t>2022</w:t>
      </w:r>
      <w:r w:rsidRPr="00482FA7">
        <w:rPr>
          <w:szCs w:val="18"/>
        </w:rPr>
        <w:t xml:space="preserve"> Jun 27.</w:t>
      </w:r>
    </w:p>
    <w:p w14:paraId="209F7605" w14:textId="43C5D83E" w:rsidR="00310F2C" w:rsidRPr="00482FA7" w:rsidRDefault="00310F2C" w:rsidP="00F911D8">
      <w:pPr>
        <w:pStyle w:val="MDPI71References"/>
        <w:rPr>
          <w:szCs w:val="18"/>
        </w:rPr>
      </w:pPr>
      <w:r w:rsidRPr="00482FA7">
        <w:rPr>
          <w:rStyle w:val="cf01"/>
        </w:rPr>
        <w:t>Heron, L.; Tully, M. A.; Kee, F.; O</w:t>
      </w:r>
      <w:r w:rsidR="00630CAE" w:rsidRPr="00482FA7">
        <w:rPr>
          <w:rStyle w:val="cf01"/>
        </w:rPr>
        <w:t>’</w:t>
      </w:r>
      <w:r w:rsidRPr="00482FA7">
        <w:rPr>
          <w:rStyle w:val="cf01"/>
        </w:rPr>
        <w:t xml:space="preserve">Neill, C. Inpatient care </w:t>
      </w:r>
      <w:proofErr w:type="spellStart"/>
      <w:r w:rsidRPr="00482FA7">
        <w:rPr>
          <w:rStyle w:val="cf01"/>
        </w:rPr>
        <w:t>utilisation</w:t>
      </w:r>
      <w:proofErr w:type="spellEnd"/>
      <w:r w:rsidRPr="00482FA7">
        <w:rPr>
          <w:rStyle w:val="cf01"/>
        </w:rPr>
        <w:t xml:space="preserve"> and expenditure associated with objective physical activity: econometric analysis of the UK Biobank. </w:t>
      </w:r>
      <w:r w:rsidRPr="00482FA7">
        <w:rPr>
          <w:rStyle w:val="cf01"/>
          <w:i/>
          <w:iCs/>
        </w:rPr>
        <w:t>The European journal of health economics</w:t>
      </w:r>
      <w:r w:rsidRPr="00482FA7">
        <w:rPr>
          <w:rStyle w:val="cf01"/>
        </w:rPr>
        <w:t xml:space="preserve"> </w:t>
      </w:r>
      <w:r w:rsidRPr="00482FA7">
        <w:rPr>
          <w:rStyle w:val="cf01"/>
          <w:b/>
          <w:bCs/>
        </w:rPr>
        <w:t xml:space="preserve">2022. </w:t>
      </w:r>
      <w:r w:rsidRPr="00482FA7">
        <w:rPr>
          <w:rFonts w:cs="Segoe UI"/>
          <w:color w:val="333333"/>
          <w:szCs w:val="18"/>
        </w:rPr>
        <w:t>https://doi.org/10.1007/s1019</w:t>
      </w:r>
      <w:r w:rsidR="00273B11" w:rsidRPr="00482FA7">
        <w:rPr>
          <w:rFonts w:cs="Segoe UI"/>
          <w:color w:val="333333"/>
          <w:szCs w:val="18"/>
        </w:rPr>
        <w:t>8</w:t>
      </w:r>
      <w:r w:rsidR="00273B11">
        <w:rPr>
          <w:rFonts w:cs="Segoe UI"/>
          <w:color w:val="333333"/>
          <w:szCs w:val="18"/>
        </w:rPr>
        <w:t>–</w:t>
      </w:r>
      <w:r w:rsidR="00273B11" w:rsidRPr="00482FA7">
        <w:rPr>
          <w:rFonts w:cs="Segoe UI"/>
          <w:color w:val="333333"/>
          <w:szCs w:val="18"/>
        </w:rPr>
        <w:t>022</w:t>
      </w:r>
      <w:r w:rsidRPr="00482FA7">
        <w:rPr>
          <w:rFonts w:cs="Segoe UI"/>
          <w:color w:val="333333"/>
          <w:szCs w:val="18"/>
        </w:rPr>
        <w:t>-0148</w:t>
      </w:r>
      <w:r w:rsidR="00273B11" w:rsidRPr="00482FA7">
        <w:rPr>
          <w:rFonts w:cs="Segoe UI"/>
          <w:color w:val="333333"/>
          <w:szCs w:val="18"/>
        </w:rPr>
        <w:t>7</w:t>
      </w:r>
      <w:r w:rsidR="00273B11">
        <w:rPr>
          <w:rFonts w:cs="Segoe UI"/>
          <w:color w:val="333333"/>
          <w:szCs w:val="18"/>
        </w:rPr>
        <w:t>–</w:t>
      </w:r>
      <w:r w:rsidR="00273B11" w:rsidRPr="00482FA7">
        <w:rPr>
          <w:rFonts w:cs="Segoe UI"/>
          <w:color w:val="333333"/>
          <w:szCs w:val="18"/>
        </w:rPr>
        <w:t>1</w:t>
      </w:r>
      <w:r w:rsidRPr="00482FA7">
        <w:rPr>
          <w:rFonts w:cs="Segoe UI"/>
          <w:color w:val="333333"/>
          <w:szCs w:val="18"/>
        </w:rPr>
        <w:t>.</w:t>
      </w:r>
    </w:p>
    <w:p w14:paraId="207F6646" w14:textId="4F53ACEC" w:rsidR="00310F2C" w:rsidRPr="00482FA7" w:rsidRDefault="00310F2C" w:rsidP="00F911D8">
      <w:pPr>
        <w:pStyle w:val="MDPI71References"/>
        <w:rPr>
          <w:szCs w:val="18"/>
        </w:rPr>
      </w:pPr>
      <w:r w:rsidRPr="00482FA7">
        <w:rPr>
          <w:szCs w:val="18"/>
        </w:rPr>
        <w:t xml:space="preserve">Ding, D., Lawson, K. D., Kolbe-Alexander, T. L., Finkelstein, E. A., </w:t>
      </w:r>
      <w:proofErr w:type="spellStart"/>
      <w:r w:rsidRPr="00482FA7">
        <w:rPr>
          <w:szCs w:val="18"/>
        </w:rPr>
        <w:t>Katzmarzyk</w:t>
      </w:r>
      <w:proofErr w:type="spellEnd"/>
      <w:r w:rsidRPr="00482FA7">
        <w:rPr>
          <w:szCs w:val="18"/>
        </w:rPr>
        <w:t xml:space="preserve">, P. T., van </w:t>
      </w:r>
      <w:proofErr w:type="spellStart"/>
      <w:r w:rsidRPr="00482FA7">
        <w:rPr>
          <w:szCs w:val="18"/>
        </w:rPr>
        <w:t>Mechelen</w:t>
      </w:r>
      <w:proofErr w:type="spellEnd"/>
      <w:r w:rsidRPr="00482FA7">
        <w:rPr>
          <w:szCs w:val="18"/>
        </w:rPr>
        <w:t xml:space="preserve">, W., Pratt, M., &amp; Lancet Physical Activity Series 2 Executive Committee (2016). The economic burden of physical inactivity: a global analysis of major non-communicable diseases. </w:t>
      </w:r>
      <w:r w:rsidRPr="00482FA7">
        <w:rPr>
          <w:i/>
          <w:iCs/>
          <w:szCs w:val="18"/>
        </w:rPr>
        <w:t>Lancet,</w:t>
      </w:r>
      <w:r w:rsidRPr="00482FA7">
        <w:rPr>
          <w:szCs w:val="18"/>
        </w:rPr>
        <w:t xml:space="preserve"> </w:t>
      </w:r>
      <w:r w:rsidRPr="00482FA7">
        <w:rPr>
          <w:b/>
          <w:bCs/>
          <w:szCs w:val="18"/>
        </w:rPr>
        <w:t>2016.</w:t>
      </w:r>
      <w:r w:rsidRPr="00482FA7">
        <w:rPr>
          <w:szCs w:val="18"/>
        </w:rPr>
        <w:t xml:space="preserve"> </w:t>
      </w:r>
      <w:r w:rsidRPr="00482FA7">
        <w:rPr>
          <w:i/>
          <w:iCs/>
          <w:szCs w:val="18"/>
        </w:rPr>
        <w:t>388</w:t>
      </w:r>
      <w:r w:rsidRPr="00482FA7">
        <w:rPr>
          <w:szCs w:val="18"/>
        </w:rPr>
        <w:t>(10051), 1311–1324.</w:t>
      </w:r>
    </w:p>
    <w:p w14:paraId="528357B5" w14:textId="06877FB1" w:rsidR="00310F2C" w:rsidRPr="00482FA7" w:rsidRDefault="00310F2C" w:rsidP="00F911D8">
      <w:pPr>
        <w:pStyle w:val="MDPI71References"/>
        <w:rPr>
          <w:szCs w:val="18"/>
        </w:rPr>
      </w:pPr>
      <w:r w:rsidRPr="00482FA7">
        <w:rPr>
          <w:szCs w:val="18"/>
        </w:rPr>
        <w:t xml:space="preserve">World Health </w:t>
      </w:r>
      <w:proofErr w:type="spellStart"/>
      <w:r w:rsidRPr="00482FA7">
        <w:rPr>
          <w:szCs w:val="18"/>
        </w:rPr>
        <w:t>Organisation</w:t>
      </w:r>
      <w:proofErr w:type="spellEnd"/>
      <w:r w:rsidRPr="00482FA7">
        <w:rPr>
          <w:szCs w:val="18"/>
        </w:rPr>
        <w:t>.</w:t>
      </w:r>
      <w:r w:rsidR="00630CAE" w:rsidRPr="00482FA7">
        <w:rPr>
          <w:szCs w:val="18"/>
        </w:rPr>
        <w:t xml:space="preserve"> </w:t>
      </w:r>
      <w:r w:rsidRPr="00482FA7">
        <w:rPr>
          <w:szCs w:val="18"/>
        </w:rPr>
        <w:t xml:space="preserve">Available online: </w:t>
      </w:r>
      <w:hyperlink r:id="rId15" w:history="1">
        <w:r w:rsidRPr="00482FA7">
          <w:rPr>
            <w:rStyle w:val="Hyperlink"/>
            <w:szCs w:val="18"/>
          </w:rPr>
          <w:t>https://apps.who.int/iris/bitstream/handle/10665/337001/9789240014886-eng.pdf</w:t>
        </w:r>
      </w:hyperlink>
      <w:r w:rsidR="00630CAE" w:rsidRPr="00482FA7">
        <w:rPr>
          <w:szCs w:val="18"/>
        </w:rPr>
        <w:t xml:space="preserve"> </w:t>
      </w:r>
      <w:r w:rsidRPr="00482FA7">
        <w:rPr>
          <w:szCs w:val="18"/>
        </w:rPr>
        <w:t>(Accessed 19th October 2022).</w:t>
      </w:r>
    </w:p>
    <w:p w14:paraId="13C89126" w14:textId="77777777" w:rsidR="00310F2C" w:rsidRPr="00482FA7" w:rsidRDefault="00310F2C" w:rsidP="00F911D8">
      <w:pPr>
        <w:pStyle w:val="MDPI71References"/>
        <w:rPr>
          <w:szCs w:val="18"/>
        </w:rPr>
      </w:pPr>
      <w:proofErr w:type="spellStart"/>
      <w:r w:rsidRPr="00482FA7">
        <w:rPr>
          <w:szCs w:val="18"/>
        </w:rPr>
        <w:t>Malm</w:t>
      </w:r>
      <w:proofErr w:type="spellEnd"/>
      <w:r w:rsidRPr="00482FA7">
        <w:rPr>
          <w:szCs w:val="18"/>
        </w:rPr>
        <w:t xml:space="preserve">, C.; Jakobsson, J.; Isaksson, A. Physical Activity and Sports-Real Health Benefits: A Review with Insight into the Public Health of Sweden. </w:t>
      </w:r>
      <w:r w:rsidRPr="00482FA7">
        <w:rPr>
          <w:i/>
          <w:iCs/>
          <w:szCs w:val="18"/>
        </w:rPr>
        <w:t>Sports,</w:t>
      </w:r>
      <w:r w:rsidRPr="00482FA7">
        <w:rPr>
          <w:szCs w:val="18"/>
        </w:rPr>
        <w:t xml:space="preserve"> </w:t>
      </w:r>
      <w:r w:rsidRPr="00482FA7">
        <w:rPr>
          <w:b/>
          <w:bCs/>
          <w:szCs w:val="18"/>
        </w:rPr>
        <w:t>2019,</w:t>
      </w:r>
      <w:r w:rsidRPr="00482FA7">
        <w:rPr>
          <w:szCs w:val="18"/>
        </w:rPr>
        <w:t xml:space="preserve"> </w:t>
      </w:r>
      <w:r w:rsidRPr="00482FA7">
        <w:rPr>
          <w:i/>
          <w:iCs/>
          <w:szCs w:val="18"/>
        </w:rPr>
        <w:t>7(5),</w:t>
      </w:r>
      <w:r w:rsidRPr="00482FA7">
        <w:rPr>
          <w:szCs w:val="18"/>
        </w:rPr>
        <w:t xml:space="preserve"> 127.</w:t>
      </w:r>
    </w:p>
    <w:p w14:paraId="107522D8" w14:textId="7B580364" w:rsidR="00310F2C" w:rsidRPr="00482FA7" w:rsidRDefault="00310F2C" w:rsidP="00F911D8">
      <w:pPr>
        <w:pStyle w:val="MDPI71References"/>
        <w:rPr>
          <w:szCs w:val="18"/>
        </w:rPr>
      </w:pPr>
      <w:r w:rsidRPr="00482FA7">
        <w:rPr>
          <w:szCs w:val="18"/>
        </w:rPr>
        <w:t xml:space="preserve">Warburton, D.E.; Nicol, C.W.; Bredin, S.S. Health benefits of physical activity: the evidence. </w:t>
      </w:r>
      <w:proofErr w:type="spellStart"/>
      <w:r w:rsidRPr="00482FA7">
        <w:rPr>
          <w:i/>
          <w:iCs/>
          <w:szCs w:val="18"/>
        </w:rPr>
        <w:t>Cmaj</w:t>
      </w:r>
      <w:proofErr w:type="spellEnd"/>
      <w:r w:rsidRPr="00482FA7">
        <w:rPr>
          <w:i/>
          <w:iCs/>
          <w:szCs w:val="18"/>
        </w:rPr>
        <w:t xml:space="preserve">, </w:t>
      </w:r>
      <w:r w:rsidRPr="00482FA7">
        <w:rPr>
          <w:b/>
          <w:bCs/>
          <w:szCs w:val="18"/>
        </w:rPr>
        <w:t>2006</w:t>
      </w:r>
      <w:r w:rsidRPr="00482FA7">
        <w:rPr>
          <w:i/>
          <w:iCs/>
          <w:szCs w:val="18"/>
        </w:rPr>
        <w:t>, 174(6),</w:t>
      </w:r>
      <w:r w:rsidRPr="00482FA7">
        <w:rPr>
          <w:szCs w:val="18"/>
        </w:rPr>
        <w:t xml:space="preserve"> 80</w:t>
      </w:r>
      <w:r w:rsidR="00273B11" w:rsidRPr="00482FA7">
        <w:rPr>
          <w:szCs w:val="18"/>
        </w:rPr>
        <w:t>1</w:t>
      </w:r>
      <w:r w:rsidR="00273B11">
        <w:rPr>
          <w:szCs w:val="18"/>
        </w:rPr>
        <w:t>–</w:t>
      </w:r>
      <w:r w:rsidR="00273B11" w:rsidRPr="00482FA7">
        <w:rPr>
          <w:szCs w:val="18"/>
        </w:rPr>
        <w:t>809</w:t>
      </w:r>
      <w:r w:rsidRPr="00482FA7">
        <w:rPr>
          <w:szCs w:val="18"/>
        </w:rPr>
        <w:t>.</w:t>
      </w:r>
    </w:p>
    <w:p w14:paraId="78C6693E" w14:textId="77777777" w:rsidR="00310F2C" w:rsidRPr="00482FA7" w:rsidRDefault="00310F2C" w:rsidP="00F911D8">
      <w:pPr>
        <w:pStyle w:val="MDPI71References"/>
        <w:rPr>
          <w:szCs w:val="18"/>
        </w:rPr>
      </w:pPr>
      <w:r w:rsidRPr="00482FA7">
        <w:rPr>
          <w:szCs w:val="18"/>
        </w:rPr>
        <w:t xml:space="preserve">World Health Organization. Available on : </w:t>
      </w:r>
      <w:hyperlink r:id="rId16" w:history="1">
        <w:r w:rsidRPr="00482FA7">
          <w:rPr>
            <w:szCs w:val="18"/>
          </w:rPr>
          <w:t>https://www.who.int/news-room/fact-sheets/detail/physical-activity</w:t>
        </w:r>
      </w:hyperlink>
      <w:r w:rsidRPr="00482FA7">
        <w:rPr>
          <w:szCs w:val="18"/>
        </w:rPr>
        <w:t xml:space="preserve"> (accessed 19th October 2022).</w:t>
      </w:r>
    </w:p>
    <w:p w14:paraId="6EC0793D" w14:textId="67EA974B" w:rsidR="00310F2C" w:rsidRPr="00482FA7" w:rsidRDefault="00310F2C" w:rsidP="00F911D8">
      <w:pPr>
        <w:pStyle w:val="MDPI71References"/>
        <w:rPr>
          <w:szCs w:val="18"/>
        </w:rPr>
      </w:pPr>
      <w:r w:rsidRPr="00482FA7">
        <w:rPr>
          <w:szCs w:val="18"/>
        </w:rPr>
        <w:t xml:space="preserve">Taylor, D. Physical activity is medicine for older adults. </w:t>
      </w:r>
      <w:r w:rsidRPr="00482FA7">
        <w:rPr>
          <w:i/>
          <w:iCs/>
          <w:szCs w:val="18"/>
        </w:rPr>
        <w:t xml:space="preserve">Postgraduate medical journal, </w:t>
      </w:r>
      <w:r w:rsidRPr="00482FA7">
        <w:rPr>
          <w:b/>
          <w:bCs/>
          <w:szCs w:val="18"/>
        </w:rPr>
        <w:t>2014,</w:t>
      </w:r>
      <w:r w:rsidRPr="00482FA7">
        <w:rPr>
          <w:i/>
          <w:iCs/>
          <w:szCs w:val="18"/>
        </w:rPr>
        <w:t xml:space="preserve"> 90(1059),</w:t>
      </w:r>
      <w:r w:rsidRPr="00482FA7">
        <w:rPr>
          <w:szCs w:val="18"/>
        </w:rPr>
        <w:t xml:space="preserve"> 2</w:t>
      </w:r>
      <w:r w:rsidR="00273B11" w:rsidRPr="00482FA7">
        <w:rPr>
          <w:szCs w:val="18"/>
        </w:rPr>
        <w:t>6</w:t>
      </w:r>
      <w:r w:rsidR="00273B11">
        <w:rPr>
          <w:szCs w:val="18"/>
        </w:rPr>
        <w:t>–</w:t>
      </w:r>
      <w:r w:rsidR="00273B11" w:rsidRPr="00482FA7">
        <w:rPr>
          <w:szCs w:val="18"/>
        </w:rPr>
        <w:t>32</w:t>
      </w:r>
      <w:r w:rsidRPr="00482FA7">
        <w:rPr>
          <w:szCs w:val="18"/>
        </w:rPr>
        <w:t>.</w:t>
      </w:r>
    </w:p>
    <w:p w14:paraId="68F813F7" w14:textId="12A875D4" w:rsidR="00310F2C" w:rsidRPr="00482FA7" w:rsidRDefault="00310F2C" w:rsidP="00F911D8">
      <w:pPr>
        <w:pStyle w:val="MDPI71References"/>
        <w:rPr>
          <w:szCs w:val="18"/>
        </w:rPr>
      </w:pPr>
      <w:r w:rsidRPr="00482FA7">
        <w:rPr>
          <w:szCs w:val="18"/>
        </w:rPr>
        <w:t xml:space="preserve">Shibata, A.; Oka, K.; Inoue, S.; Christian, H.; </w:t>
      </w:r>
      <w:proofErr w:type="spellStart"/>
      <w:r w:rsidRPr="00482FA7">
        <w:rPr>
          <w:szCs w:val="18"/>
        </w:rPr>
        <w:t>Kitabatake</w:t>
      </w:r>
      <w:proofErr w:type="spellEnd"/>
      <w:r w:rsidRPr="00482FA7">
        <w:rPr>
          <w:szCs w:val="18"/>
        </w:rPr>
        <w:t xml:space="preserve">, Y.; </w:t>
      </w:r>
      <w:proofErr w:type="spellStart"/>
      <w:r w:rsidRPr="00482FA7">
        <w:rPr>
          <w:szCs w:val="18"/>
        </w:rPr>
        <w:t>Shimomitsu</w:t>
      </w:r>
      <w:proofErr w:type="spellEnd"/>
      <w:r w:rsidRPr="00482FA7">
        <w:rPr>
          <w:szCs w:val="18"/>
        </w:rPr>
        <w:t xml:space="preserve">, T. Physical activity of Japanese older adults who own and walk dogs. </w:t>
      </w:r>
      <w:r w:rsidRPr="00482FA7">
        <w:rPr>
          <w:i/>
          <w:iCs/>
          <w:szCs w:val="18"/>
        </w:rPr>
        <w:t xml:space="preserve">American Journal of Preventive Medicine, </w:t>
      </w:r>
      <w:r w:rsidRPr="00482FA7">
        <w:rPr>
          <w:b/>
          <w:bCs/>
          <w:szCs w:val="18"/>
        </w:rPr>
        <w:t xml:space="preserve">2012, </w:t>
      </w:r>
      <w:r w:rsidRPr="00482FA7">
        <w:rPr>
          <w:i/>
          <w:iCs/>
          <w:szCs w:val="18"/>
        </w:rPr>
        <w:t>43(4),</w:t>
      </w:r>
      <w:r w:rsidRPr="00482FA7">
        <w:rPr>
          <w:szCs w:val="18"/>
        </w:rPr>
        <w:t xml:space="preserve"> 42</w:t>
      </w:r>
      <w:r w:rsidR="00273B11" w:rsidRPr="00482FA7">
        <w:rPr>
          <w:szCs w:val="18"/>
        </w:rPr>
        <w:t>9</w:t>
      </w:r>
      <w:r w:rsidR="00273B11">
        <w:rPr>
          <w:szCs w:val="18"/>
        </w:rPr>
        <w:t>–</w:t>
      </w:r>
      <w:r w:rsidR="00273B11" w:rsidRPr="00482FA7">
        <w:rPr>
          <w:szCs w:val="18"/>
        </w:rPr>
        <w:t>433</w:t>
      </w:r>
      <w:r w:rsidRPr="00482FA7">
        <w:rPr>
          <w:szCs w:val="18"/>
        </w:rPr>
        <w:t>.</w:t>
      </w:r>
    </w:p>
    <w:p w14:paraId="1022DFD9" w14:textId="77777777" w:rsidR="00310F2C" w:rsidRPr="00482FA7" w:rsidRDefault="00310F2C" w:rsidP="00F911D8">
      <w:pPr>
        <w:pStyle w:val="MDPI71References"/>
        <w:rPr>
          <w:szCs w:val="18"/>
        </w:rPr>
      </w:pPr>
      <w:proofErr w:type="spellStart"/>
      <w:r w:rsidRPr="00482FA7">
        <w:rPr>
          <w:szCs w:val="18"/>
        </w:rPr>
        <w:t>Su</w:t>
      </w:r>
      <w:proofErr w:type="spellEnd"/>
      <w:r w:rsidRPr="00482FA7">
        <w:rPr>
          <w:szCs w:val="18"/>
        </w:rPr>
        <w:t xml:space="preserve">, </w:t>
      </w:r>
      <w:proofErr w:type="spellStart"/>
      <w:r w:rsidRPr="00482FA7">
        <w:rPr>
          <w:szCs w:val="18"/>
        </w:rPr>
        <w:t>C.L.;Wang</w:t>
      </w:r>
      <w:proofErr w:type="spellEnd"/>
      <w:r w:rsidRPr="00482FA7">
        <w:rPr>
          <w:szCs w:val="18"/>
        </w:rPr>
        <w:t xml:space="preserve">, L.; Ho, C.C.; </w:t>
      </w:r>
      <w:proofErr w:type="spellStart"/>
      <w:r w:rsidRPr="00482FA7">
        <w:rPr>
          <w:szCs w:val="18"/>
        </w:rPr>
        <w:t>Nfor</w:t>
      </w:r>
      <w:proofErr w:type="spellEnd"/>
      <w:r w:rsidRPr="00482FA7">
        <w:rPr>
          <w:szCs w:val="18"/>
        </w:rPr>
        <w:t xml:space="preserve">, O.N.; Hsu, S.Y.; Lee, C.T.; </w:t>
      </w:r>
      <w:proofErr w:type="spellStart"/>
      <w:r w:rsidRPr="00482FA7">
        <w:rPr>
          <w:szCs w:val="18"/>
        </w:rPr>
        <w:t>Liaw</w:t>
      </w:r>
      <w:proofErr w:type="spellEnd"/>
      <w:r w:rsidRPr="00482FA7">
        <w:rPr>
          <w:szCs w:val="18"/>
        </w:rPr>
        <w:t xml:space="preserve">, Y.P. Physical activity is associated with lower health care costs among Taiwanese individuals with diabetes mellitus. </w:t>
      </w:r>
      <w:r w:rsidRPr="00482FA7">
        <w:rPr>
          <w:i/>
          <w:iCs/>
          <w:szCs w:val="18"/>
        </w:rPr>
        <w:t>Medicine,</w:t>
      </w:r>
      <w:r w:rsidRPr="00482FA7">
        <w:rPr>
          <w:szCs w:val="18"/>
        </w:rPr>
        <w:t xml:space="preserve"> </w:t>
      </w:r>
      <w:r w:rsidRPr="00482FA7">
        <w:rPr>
          <w:b/>
          <w:bCs/>
          <w:szCs w:val="18"/>
        </w:rPr>
        <w:t>2020</w:t>
      </w:r>
      <w:r w:rsidRPr="00482FA7">
        <w:rPr>
          <w:szCs w:val="18"/>
        </w:rPr>
        <w:t xml:space="preserve">. </w:t>
      </w:r>
      <w:r w:rsidRPr="00482FA7">
        <w:rPr>
          <w:i/>
          <w:iCs/>
          <w:szCs w:val="18"/>
        </w:rPr>
        <w:t>99(14).</w:t>
      </w:r>
    </w:p>
    <w:p w14:paraId="24F237A3" w14:textId="77777777" w:rsidR="00310F2C" w:rsidRPr="00482FA7" w:rsidRDefault="00310F2C" w:rsidP="00F911D8">
      <w:pPr>
        <w:pStyle w:val="MDPI71References"/>
        <w:rPr>
          <w:szCs w:val="18"/>
        </w:rPr>
      </w:pPr>
      <w:r w:rsidRPr="00482FA7">
        <w:rPr>
          <w:szCs w:val="18"/>
        </w:rPr>
        <w:t xml:space="preserve">Towne Jr, S.D.; Li, Y.; Lee, S.; Smith, M.L.; Han, G.; Quinn, C.; </w:t>
      </w:r>
      <w:proofErr w:type="spellStart"/>
      <w:r w:rsidRPr="00482FA7">
        <w:rPr>
          <w:szCs w:val="18"/>
        </w:rPr>
        <w:t>Ory</w:t>
      </w:r>
      <w:proofErr w:type="spellEnd"/>
      <w:r w:rsidRPr="00482FA7">
        <w:rPr>
          <w:szCs w:val="18"/>
        </w:rPr>
        <w:t xml:space="preserve">, M.G. Physical activity and associated medical cost savings among at-risk older adults participating a community-based health &amp; wellness program. </w:t>
      </w:r>
      <w:proofErr w:type="spellStart"/>
      <w:r w:rsidRPr="00482FA7">
        <w:rPr>
          <w:i/>
          <w:iCs/>
          <w:szCs w:val="18"/>
        </w:rPr>
        <w:t>PLoS</w:t>
      </w:r>
      <w:proofErr w:type="spellEnd"/>
      <w:r w:rsidRPr="00482FA7">
        <w:rPr>
          <w:i/>
          <w:iCs/>
          <w:szCs w:val="18"/>
        </w:rPr>
        <w:t xml:space="preserve"> one, </w:t>
      </w:r>
      <w:r w:rsidRPr="00482FA7">
        <w:rPr>
          <w:b/>
          <w:bCs/>
          <w:szCs w:val="18"/>
        </w:rPr>
        <w:t xml:space="preserve">2018. </w:t>
      </w:r>
      <w:r w:rsidRPr="00482FA7">
        <w:rPr>
          <w:i/>
          <w:iCs/>
          <w:szCs w:val="18"/>
        </w:rPr>
        <w:t>13(6),</w:t>
      </w:r>
      <w:r w:rsidRPr="00482FA7">
        <w:rPr>
          <w:szCs w:val="18"/>
        </w:rPr>
        <w:t xml:space="preserve"> e0198239.</w:t>
      </w:r>
    </w:p>
    <w:p w14:paraId="7B4D3DB4" w14:textId="77777777" w:rsidR="00310F2C" w:rsidRPr="00482FA7" w:rsidRDefault="00310F2C" w:rsidP="00F911D8">
      <w:pPr>
        <w:pStyle w:val="MDPI71References"/>
        <w:rPr>
          <w:szCs w:val="18"/>
        </w:rPr>
      </w:pPr>
      <w:proofErr w:type="spellStart"/>
      <w:r w:rsidRPr="00482FA7">
        <w:rPr>
          <w:szCs w:val="18"/>
        </w:rPr>
        <w:lastRenderedPageBreak/>
        <w:t>Giné-Garriga</w:t>
      </w:r>
      <w:proofErr w:type="spellEnd"/>
      <w:r w:rsidRPr="00482FA7">
        <w:rPr>
          <w:szCs w:val="18"/>
        </w:rPr>
        <w:t xml:space="preserve">, M.; Sansano-Nadal, O.; Tully, M.A.; </w:t>
      </w:r>
      <w:proofErr w:type="spellStart"/>
      <w:r w:rsidRPr="00482FA7">
        <w:rPr>
          <w:szCs w:val="18"/>
        </w:rPr>
        <w:t>Caserotti</w:t>
      </w:r>
      <w:proofErr w:type="spellEnd"/>
      <w:r w:rsidRPr="00482FA7">
        <w:rPr>
          <w:szCs w:val="18"/>
        </w:rPr>
        <w:t>, P.; Coll-</w:t>
      </w:r>
      <w:proofErr w:type="spellStart"/>
      <w:r w:rsidRPr="00482FA7">
        <w:rPr>
          <w:szCs w:val="18"/>
        </w:rPr>
        <w:t>Planas</w:t>
      </w:r>
      <w:proofErr w:type="spellEnd"/>
      <w:r w:rsidRPr="00482FA7">
        <w:rPr>
          <w:szCs w:val="18"/>
        </w:rPr>
        <w:t xml:space="preserve">, L.; </w:t>
      </w:r>
      <w:proofErr w:type="spellStart"/>
      <w:r w:rsidRPr="00482FA7">
        <w:rPr>
          <w:szCs w:val="18"/>
        </w:rPr>
        <w:t>Rothenbacher</w:t>
      </w:r>
      <w:proofErr w:type="spellEnd"/>
      <w:r w:rsidRPr="00482FA7">
        <w:rPr>
          <w:szCs w:val="18"/>
        </w:rPr>
        <w:t xml:space="preserve">, D.; </w:t>
      </w:r>
      <w:proofErr w:type="spellStart"/>
      <w:r w:rsidRPr="00482FA7">
        <w:rPr>
          <w:szCs w:val="18"/>
        </w:rPr>
        <w:t>Dallmeier</w:t>
      </w:r>
      <w:proofErr w:type="spellEnd"/>
      <w:r w:rsidRPr="00482FA7">
        <w:rPr>
          <w:szCs w:val="18"/>
        </w:rPr>
        <w:t>, D.; Denkinger, M.; Wilson, J. J.; Martin-</w:t>
      </w:r>
      <w:proofErr w:type="spellStart"/>
      <w:r w:rsidRPr="00482FA7">
        <w:rPr>
          <w:szCs w:val="18"/>
        </w:rPr>
        <w:t>Borràs</w:t>
      </w:r>
      <w:proofErr w:type="spellEnd"/>
      <w:r w:rsidRPr="00482FA7">
        <w:rPr>
          <w:szCs w:val="18"/>
        </w:rPr>
        <w:t xml:space="preserve">, C.; </w:t>
      </w:r>
      <w:proofErr w:type="spellStart"/>
      <w:r w:rsidRPr="00482FA7">
        <w:rPr>
          <w:szCs w:val="18"/>
        </w:rPr>
        <w:t>Skjødt</w:t>
      </w:r>
      <w:proofErr w:type="spellEnd"/>
      <w:r w:rsidRPr="00482FA7">
        <w:rPr>
          <w:szCs w:val="18"/>
        </w:rPr>
        <w:t xml:space="preserve">, M.; </w:t>
      </w:r>
      <w:proofErr w:type="spellStart"/>
      <w:r w:rsidRPr="00482FA7">
        <w:rPr>
          <w:szCs w:val="18"/>
        </w:rPr>
        <w:t>Ferri</w:t>
      </w:r>
      <w:proofErr w:type="spellEnd"/>
      <w:r w:rsidRPr="00482FA7">
        <w:rPr>
          <w:szCs w:val="18"/>
        </w:rPr>
        <w:t xml:space="preserve">, K.; </w:t>
      </w:r>
      <w:proofErr w:type="spellStart"/>
      <w:r w:rsidRPr="00482FA7">
        <w:rPr>
          <w:szCs w:val="18"/>
        </w:rPr>
        <w:t>Farche</w:t>
      </w:r>
      <w:proofErr w:type="spellEnd"/>
      <w:r w:rsidRPr="00482FA7">
        <w:rPr>
          <w:szCs w:val="18"/>
        </w:rPr>
        <w:t xml:space="preserve">, A. C.; McIntosh, E.; Blackburn, N. E.; </w:t>
      </w:r>
      <w:proofErr w:type="spellStart"/>
      <w:r w:rsidRPr="00482FA7">
        <w:rPr>
          <w:szCs w:val="18"/>
        </w:rPr>
        <w:t>Salvà</w:t>
      </w:r>
      <w:proofErr w:type="spellEnd"/>
      <w:r w:rsidRPr="00482FA7">
        <w:rPr>
          <w:szCs w:val="18"/>
        </w:rPr>
        <w:t xml:space="preserve">, A.; </w:t>
      </w:r>
      <w:proofErr w:type="spellStart"/>
      <w:r w:rsidRPr="00482FA7">
        <w:rPr>
          <w:szCs w:val="18"/>
        </w:rPr>
        <w:t>Roqué</w:t>
      </w:r>
      <w:proofErr w:type="spellEnd"/>
      <w:r w:rsidRPr="00482FA7">
        <w:rPr>
          <w:szCs w:val="18"/>
        </w:rPr>
        <w:t>-I-</w:t>
      </w:r>
      <w:proofErr w:type="spellStart"/>
      <w:r w:rsidRPr="00482FA7">
        <w:rPr>
          <w:szCs w:val="18"/>
        </w:rPr>
        <w:t>Figuls</w:t>
      </w:r>
      <w:proofErr w:type="spellEnd"/>
      <w:r w:rsidRPr="00482FA7">
        <w:rPr>
          <w:szCs w:val="18"/>
        </w:rPr>
        <w:t xml:space="preserve">, M. Accelerometer-Measured Sedentary and Physical Activity Time and Their Correlates in European Older Adults: The SITLESS Study. </w:t>
      </w:r>
      <w:r w:rsidRPr="00482FA7">
        <w:rPr>
          <w:i/>
          <w:iCs/>
          <w:szCs w:val="18"/>
        </w:rPr>
        <w:t xml:space="preserve">The journals of gerontology. Series A, Biological </w:t>
      </w:r>
      <w:proofErr w:type="gramStart"/>
      <w:r w:rsidRPr="00482FA7">
        <w:rPr>
          <w:i/>
          <w:iCs/>
          <w:szCs w:val="18"/>
        </w:rPr>
        <w:t>sciences</w:t>
      </w:r>
      <w:proofErr w:type="gramEnd"/>
      <w:r w:rsidRPr="00482FA7">
        <w:rPr>
          <w:i/>
          <w:iCs/>
          <w:szCs w:val="18"/>
        </w:rPr>
        <w:t xml:space="preserve"> and medical sciences, </w:t>
      </w:r>
      <w:r w:rsidRPr="00482FA7">
        <w:rPr>
          <w:b/>
          <w:bCs/>
          <w:szCs w:val="18"/>
        </w:rPr>
        <w:t xml:space="preserve">2020. </w:t>
      </w:r>
      <w:r w:rsidRPr="00482FA7">
        <w:rPr>
          <w:i/>
          <w:iCs/>
          <w:szCs w:val="18"/>
        </w:rPr>
        <w:t xml:space="preserve">75(9), </w:t>
      </w:r>
      <w:r w:rsidRPr="00482FA7">
        <w:rPr>
          <w:szCs w:val="18"/>
        </w:rPr>
        <w:t xml:space="preserve">1754–1762. </w:t>
      </w:r>
      <w:hyperlink r:id="rId17" w:history="1">
        <w:r w:rsidRPr="00482FA7">
          <w:rPr>
            <w:szCs w:val="18"/>
          </w:rPr>
          <w:t>https://doi.org/10.1093/gerona/glaa016</w:t>
        </w:r>
      </w:hyperlink>
    </w:p>
    <w:p w14:paraId="5D452C42" w14:textId="77777777" w:rsidR="00310F2C" w:rsidRPr="00482FA7" w:rsidRDefault="00310F2C" w:rsidP="00F911D8">
      <w:pPr>
        <w:pStyle w:val="MDPI71References"/>
        <w:rPr>
          <w:szCs w:val="18"/>
        </w:rPr>
      </w:pPr>
      <w:r w:rsidRPr="00482FA7">
        <w:rPr>
          <w:szCs w:val="18"/>
        </w:rPr>
        <w:t xml:space="preserve">Cunningham, C.; O’Sullivan, R. Physical activity and older adults: An overview of guidelines, trends, policies and frameworks. Institute of Public Health in Ireland: Dublin/Belfast. </w:t>
      </w:r>
      <w:r w:rsidRPr="00482FA7">
        <w:rPr>
          <w:b/>
          <w:bCs/>
          <w:szCs w:val="18"/>
        </w:rPr>
        <w:t>2019.</w:t>
      </w:r>
    </w:p>
    <w:p w14:paraId="41BFC235" w14:textId="77777777" w:rsidR="00310F2C" w:rsidRPr="00482FA7" w:rsidRDefault="00310F2C" w:rsidP="00F911D8">
      <w:pPr>
        <w:pStyle w:val="MDPI71References"/>
        <w:rPr>
          <w:szCs w:val="18"/>
        </w:rPr>
      </w:pPr>
      <w:proofErr w:type="spellStart"/>
      <w:r w:rsidRPr="00482FA7">
        <w:rPr>
          <w:szCs w:val="18"/>
        </w:rPr>
        <w:t>Mattle</w:t>
      </w:r>
      <w:proofErr w:type="spellEnd"/>
      <w:r w:rsidRPr="00482FA7">
        <w:rPr>
          <w:szCs w:val="18"/>
        </w:rPr>
        <w:t xml:space="preserve">, M.; Meyer, U.; Lang, W.; </w:t>
      </w:r>
      <w:proofErr w:type="spellStart"/>
      <w:r w:rsidRPr="00482FA7">
        <w:rPr>
          <w:szCs w:val="18"/>
        </w:rPr>
        <w:t>Mantegazza</w:t>
      </w:r>
      <w:proofErr w:type="spellEnd"/>
      <w:r w:rsidRPr="00482FA7">
        <w:rPr>
          <w:szCs w:val="18"/>
        </w:rPr>
        <w:t xml:space="preserve">, N.; </w:t>
      </w:r>
      <w:proofErr w:type="spellStart"/>
      <w:r w:rsidRPr="00482FA7">
        <w:rPr>
          <w:szCs w:val="18"/>
        </w:rPr>
        <w:t>Gagesch</w:t>
      </w:r>
      <w:proofErr w:type="spellEnd"/>
      <w:r w:rsidRPr="00482FA7">
        <w:rPr>
          <w:szCs w:val="18"/>
        </w:rPr>
        <w:t xml:space="preserve">, M.; </w:t>
      </w:r>
      <w:proofErr w:type="spellStart"/>
      <w:r w:rsidRPr="00482FA7">
        <w:rPr>
          <w:szCs w:val="18"/>
        </w:rPr>
        <w:t>Mansky</w:t>
      </w:r>
      <w:proofErr w:type="spellEnd"/>
      <w:r w:rsidRPr="00482FA7">
        <w:rPr>
          <w:szCs w:val="18"/>
        </w:rPr>
        <w:t xml:space="preserve">, R.; </w:t>
      </w:r>
      <w:proofErr w:type="spellStart"/>
      <w:r w:rsidRPr="00482FA7">
        <w:rPr>
          <w:szCs w:val="18"/>
        </w:rPr>
        <w:t>Kressig</w:t>
      </w:r>
      <w:proofErr w:type="spellEnd"/>
      <w:r w:rsidRPr="00482FA7">
        <w:rPr>
          <w:szCs w:val="18"/>
        </w:rPr>
        <w:t xml:space="preserve">, R.W.; </w:t>
      </w:r>
      <w:proofErr w:type="spellStart"/>
      <w:r w:rsidRPr="00482FA7">
        <w:rPr>
          <w:szCs w:val="18"/>
        </w:rPr>
        <w:t>Egli</w:t>
      </w:r>
      <w:proofErr w:type="spellEnd"/>
      <w:r w:rsidRPr="00482FA7">
        <w:rPr>
          <w:szCs w:val="18"/>
        </w:rPr>
        <w:t xml:space="preserve">, A.; </w:t>
      </w:r>
      <w:proofErr w:type="spellStart"/>
      <w:r w:rsidRPr="00482FA7">
        <w:rPr>
          <w:szCs w:val="18"/>
        </w:rPr>
        <w:t>Orav</w:t>
      </w:r>
      <w:proofErr w:type="spellEnd"/>
      <w:r w:rsidRPr="00482FA7">
        <w:rPr>
          <w:szCs w:val="18"/>
        </w:rPr>
        <w:t xml:space="preserve">, E.J.; Bischoff-Ferrari, H.A. Prevalence of Physical Activity and Sedentary Behavior Patterns in Generally Healthy European Adults Aged 70 Years and Older—Baseline Results From the DO-HEALTH Clinical Trial. </w:t>
      </w:r>
      <w:r w:rsidRPr="00482FA7">
        <w:rPr>
          <w:i/>
          <w:iCs/>
          <w:szCs w:val="18"/>
        </w:rPr>
        <w:t>Frontiers in public health.</w:t>
      </w:r>
      <w:r w:rsidRPr="00482FA7">
        <w:rPr>
          <w:szCs w:val="18"/>
        </w:rPr>
        <w:t xml:space="preserve"> </w:t>
      </w:r>
      <w:r w:rsidRPr="00482FA7">
        <w:rPr>
          <w:b/>
          <w:bCs/>
          <w:szCs w:val="18"/>
        </w:rPr>
        <w:t>2022;</w:t>
      </w:r>
      <w:r w:rsidRPr="00482FA7">
        <w:rPr>
          <w:i/>
          <w:iCs/>
          <w:szCs w:val="18"/>
        </w:rPr>
        <w:t>10.</w:t>
      </w:r>
    </w:p>
    <w:p w14:paraId="748A4A1C" w14:textId="173A4FF7" w:rsidR="00310F2C" w:rsidRPr="00482FA7" w:rsidRDefault="00310F2C" w:rsidP="00F911D8">
      <w:pPr>
        <w:pStyle w:val="MDPI71References"/>
        <w:rPr>
          <w:szCs w:val="18"/>
        </w:rPr>
      </w:pPr>
      <w:r w:rsidRPr="00482FA7">
        <w:rPr>
          <w:szCs w:val="18"/>
        </w:rPr>
        <w:t xml:space="preserve">Rojer, A.G.; Ramsey, K.A.; Gomes, E.S.A.; </w:t>
      </w:r>
      <w:proofErr w:type="spellStart"/>
      <w:r w:rsidRPr="00482FA7">
        <w:rPr>
          <w:szCs w:val="18"/>
        </w:rPr>
        <w:t>D’Andrea</w:t>
      </w:r>
      <w:proofErr w:type="spellEnd"/>
      <w:r w:rsidRPr="00482FA7">
        <w:rPr>
          <w:szCs w:val="18"/>
        </w:rPr>
        <w:t xml:space="preserve">, L.; Chen, C.; </w:t>
      </w:r>
      <w:proofErr w:type="spellStart"/>
      <w:r w:rsidRPr="00482FA7">
        <w:rPr>
          <w:szCs w:val="18"/>
        </w:rPr>
        <w:t>Szoeke</w:t>
      </w:r>
      <w:proofErr w:type="spellEnd"/>
      <w:r w:rsidRPr="00482FA7">
        <w:rPr>
          <w:szCs w:val="18"/>
        </w:rPr>
        <w:t>, C.; Maier, A.B.</w:t>
      </w:r>
      <w:r w:rsidR="00630CAE" w:rsidRPr="00482FA7">
        <w:rPr>
          <w:szCs w:val="18"/>
        </w:rPr>
        <w:t xml:space="preserve"> </w:t>
      </w:r>
      <w:r w:rsidRPr="00482FA7">
        <w:rPr>
          <w:szCs w:val="18"/>
        </w:rPr>
        <w:t xml:space="preserve">Objectively assessed physical activity and sedentary behavior and global cognitive function in older adults: a systematic review. </w:t>
      </w:r>
      <w:r w:rsidRPr="00482FA7">
        <w:rPr>
          <w:i/>
          <w:iCs/>
          <w:szCs w:val="18"/>
        </w:rPr>
        <w:t xml:space="preserve">Mechanisms of ageing and development, </w:t>
      </w:r>
      <w:r w:rsidRPr="00482FA7">
        <w:rPr>
          <w:b/>
          <w:bCs/>
          <w:szCs w:val="18"/>
        </w:rPr>
        <w:t>2021</w:t>
      </w:r>
      <w:r w:rsidRPr="00482FA7">
        <w:rPr>
          <w:i/>
          <w:iCs/>
          <w:szCs w:val="18"/>
        </w:rPr>
        <w:t>. 198,</w:t>
      </w:r>
      <w:r w:rsidRPr="00482FA7">
        <w:rPr>
          <w:szCs w:val="18"/>
        </w:rPr>
        <w:t xml:space="preserve"> 111524.</w:t>
      </w:r>
    </w:p>
    <w:p w14:paraId="784A12B9" w14:textId="5ECDCA02" w:rsidR="00310F2C" w:rsidRPr="00482FA7" w:rsidRDefault="00310F2C" w:rsidP="00F911D8">
      <w:pPr>
        <w:pStyle w:val="MDPI71References"/>
        <w:rPr>
          <w:szCs w:val="18"/>
        </w:rPr>
      </w:pPr>
      <w:r w:rsidRPr="00482FA7">
        <w:rPr>
          <w:szCs w:val="18"/>
        </w:rPr>
        <w:t xml:space="preserve">Feng, </w:t>
      </w:r>
      <w:proofErr w:type="spellStart"/>
      <w:r w:rsidRPr="00482FA7">
        <w:rPr>
          <w:szCs w:val="18"/>
        </w:rPr>
        <w:t>Z.;Dibben</w:t>
      </w:r>
      <w:proofErr w:type="spellEnd"/>
      <w:r w:rsidRPr="00482FA7">
        <w:rPr>
          <w:szCs w:val="18"/>
        </w:rPr>
        <w:t xml:space="preserve">, C.; Witham, M.D.; </w:t>
      </w:r>
      <w:proofErr w:type="spellStart"/>
      <w:r w:rsidRPr="00482FA7">
        <w:rPr>
          <w:szCs w:val="18"/>
        </w:rPr>
        <w:t>Donnan</w:t>
      </w:r>
      <w:proofErr w:type="spellEnd"/>
      <w:r w:rsidRPr="00482FA7">
        <w:rPr>
          <w:szCs w:val="18"/>
        </w:rPr>
        <w:t xml:space="preserve">, P.T.; </w:t>
      </w:r>
      <w:proofErr w:type="spellStart"/>
      <w:r w:rsidRPr="00482FA7">
        <w:rPr>
          <w:szCs w:val="18"/>
        </w:rPr>
        <w:t>Vadiveloo</w:t>
      </w:r>
      <w:proofErr w:type="spellEnd"/>
      <w:r w:rsidRPr="00482FA7">
        <w:rPr>
          <w:szCs w:val="18"/>
        </w:rPr>
        <w:t xml:space="preserve">, T.; </w:t>
      </w:r>
      <w:proofErr w:type="spellStart"/>
      <w:r w:rsidRPr="00482FA7">
        <w:rPr>
          <w:szCs w:val="18"/>
        </w:rPr>
        <w:t>Sniehotta</w:t>
      </w:r>
      <w:proofErr w:type="spellEnd"/>
      <w:r w:rsidRPr="00482FA7">
        <w:rPr>
          <w:szCs w:val="18"/>
        </w:rPr>
        <w:t xml:space="preserve">, F.; McMurdo, M.E. Dog ownership and physical activity in later life: A cross-sectional observational study. </w:t>
      </w:r>
      <w:r w:rsidRPr="00482FA7">
        <w:rPr>
          <w:i/>
          <w:iCs/>
          <w:szCs w:val="18"/>
        </w:rPr>
        <w:t xml:space="preserve">Preventive Medicine, </w:t>
      </w:r>
      <w:r w:rsidRPr="00482FA7">
        <w:rPr>
          <w:b/>
          <w:bCs/>
          <w:szCs w:val="18"/>
        </w:rPr>
        <w:t xml:space="preserve">2014, </w:t>
      </w:r>
      <w:r w:rsidRPr="00482FA7">
        <w:rPr>
          <w:i/>
          <w:iCs/>
          <w:szCs w:val="18"/>
        </w:rPr>
        <w:t>66,</w:t>
      </w:r>
      <w:r w:rsidRPr="00482FA7">
        <w:rPr>
          <w:szCs w:val="18"/>
        </w:rPr>
        <w:t xml:space="preserve"> 10</w:t>
      </w:r>
      <w:r w:rsidR="00273B11" w:rsidRPr="00482FA7">
        <w:rPr>
          <w:szCs w:val="18"/>
        </w:rPr>
        <w:t>1</w:t>
      </w:r>
      <w:r w:rsidR="00273B11">
        <w:rPr>
          <w:szCs w:val="18"/>
        </w:rPr>
        <w:t>–</w:t>
      </w:r>
      <w:r w:rsidR="00273B11" w:rsidRPr="00482FA7">
        <w:rPr>
          <w:szCs w:val="18"/>
        </w:rPr>
        <w:t>106</w:t>
      </w:r>
      <w:r w:rsidRPr="00482FA7">
        <w:rPr>
          <w:szCs w:val="18"/>
        </w:rPr>
        <w:t>.</w:t>
      </w:r>
    </w:p>
    <w:p w14:paraId="4CBD3B77" w14:textId="1D8CA478" w:rsidR="00310F2C" w:rsidRPr="00482FA7" w:rsidRDefault="00310F2C" w:rsidP="00F911D8">
      <w:pPr>
        <w:pStyle w:val="MDPI71References"/>
        <w:rPr>
          <w:szCs w:val="18"/>
        </w:rPr>
      </w:pPr>
      <w:r w:rsidRPr="00482FA7">
        <w:rPr>
          <w:szCs w:val="18"/>
        </w:rPr>
        <w:t xml:space="preserve">Thorpe, R.J.; </w:t>
      </w:r>
      <w:proofErr w:type="spellStart"/>
      <w:r w:rsidRPr="00482FA7">
        <w:rPr>
          <w:szCs w:val="18"/>
        </w:rPr>
        <w:t>Kreisle</w:t>
      </w:r>
      <w:proofErr w:type="spellEnd"/>
      <w:r w:rsidRPr="00482FA7">
        <w:rPr>
          <w:szCs w:val="18"/>
        </w:rPr>
        <w:t xml:space="preserve">, R.A.; Glickman, L.T.; </w:t>
      </w:r>
      <w:proofErr w:type="spellStart"/>
      <w:r w:rsidRPr="00482FA7">
        <w:rPr>
          <w:szCs w:val="18"/>
        </w:rPr>
        <w:t>Simonsick</w:t>
      </w:r>
      <w:proofErr w:type="spellEnd"/>
      <w:r w:rsidRPr="00482FA7">
        <w:rPr>
          <w:szCs w:val="18"/>
        </w:rPr>
        <w:t xml:space="preserve">, E.M.; Newman, A.B.; </w:t>
      </w:r>
      <w:proofErr w:type="spellStart"/>
      <w:r w:rsidRPr="00482FA7">
        <w:rPr>
          <w:szCs w:val="18"/>
        </w:rPr>
        <w:t>Kritchevsky</w:t>
      </w:r>
      <w:proofErr w:type="spellEnd"/>
      <w:r w:rsidRPr="00482FA7">
        <w:rPr>
          <w:szCs w:val="18"/>
        </w:rPr>
        <w:t xml:space="preserve">, S. Physical activity and pet ownership in year 3 of the Health ABC study. </w:t>
      </w:r>
      <w:r w:rsidRPr="00482FA7">
        <w:rPr>
          <w:i/>
          <w:iCs/>
          <w:szCs w:val="18"/>
        </w:rPr>
        <w:t>Journal of aging and physical activity,</w:t>
      </w:r>
      <w:r w:rsidRPr="00482FA7">
        <w:rPr>
          <w:szCs w:val="18"/>
        </w:rPr>
        <w:t xml:space="preserve"> </w:t>
      </w:r>
      <w:r w:rsidRPr="00482FA7">
        <w:rPr>
          <w:b/>
          <w:bCs/>
          <w:szCs w:val="18"/>
        </w:rPr>
        <w:t>2006</w:t>
      </w:r>
      <w:r w:rsidRPr="00482FA7">
        <w:rPr>
          <w:szCs w:val="18"/>
        </w:rPr>
        <w:t xml:space="preserve">. </w:t>
      </w:r>
      <w:r w:rsidRPr="00482FA7">
        <w:rPr>
          <w:i/>
          <w:iCs/>
          <w:szCs w:val="18"/>
        </w:rPr>
        <w:t>14(2),</w:t>
      </w:r>
      <w:r w:rsidRPr="00482FA7">
        <w:rPr>
          <w:szCs w:val="18"/>
        </w:rPr>
        <w:t xml:space="preserve"> 15</w:t>
      </w:r>
      <w:r w:rsidR="00273B11" w:rsidRPr="00482FA7">
        <w:rPr>
          <w:szCs w:val="18"/>
        </w:rPr>
        <w:t>4</w:t>
      </w:r>
      <w:r w:rsidR="00273B11">
        <w:rPr>
          <w:szCs w:val="18"/>
        </w:rPr>
        <w:t>–</w:t>
      </w:r>
      <w:r w:rsidR="00273B11" w:rsidRPr="00482FA7">
        <w:rPr>
          <w:szCs w:val="18"/>
        </w:rPr>
        <w:t>168</w:t>
      </w:r>
      <w:r w:rsidRPr="00482FA7">
        <w:rPr>
          <w:szCs w:val="18"/>
        </w:rPr>
        <w:t>.</w:t>
      </w:r>
    </w:p>
    <w:p w14:paraId="129F329A" w14:textId="0BAFBC3D" w:rsidR="00310F2C" w:rsidRPr="00482FA7" w:rsidRDefault="00310F2C" w:rsidP="00F911D8">
      <w:pPr>
        <w:pStyle w:val="MDPI71References"/>
        <w:rPr>
          <w:szCs w:val="18"/>
        </w:rPr>
      </w:pPr>
      <w:r w:rsidRPr="00482FA7">
        <w:rPr>
          <w:rFonts w:cs="Arial"/>
          <w:color w:val="222222"/>
          <w:szCs w:val="18"/>
          <w:shd w:val="clear" w:color="auto" w:fill="FFFFFF"/>
        </w:rPr>
        <w:t xml:space="preserve">Westgarth. C.; </w:t>
      </w:r>
      <w:proofErr w:type="spellStart"/>
      <w:r w:rsidRPr="00482FA7">
        <w:rPr>
          <w:rFonts w:cs="Arial"/>
          <w:color w:val="222222"/>
          <w:szCs w:val="18"/>
          <w:shd w:val="clear" w:color="auto" w:fill="FFFFFF"/>
        </w:rPr>
        <w:t>Christley</w:t>
      </w:r>
      <w:proofErr w:type="spellEnd"/>
      <w:r w:rsidRPr="00482FA7">
        <w:rPr>
          <w:rFonts w:cs="Arial"/>
          <w:color w:val="222222"/>
          <w:szCs w:val="18"/>
          <w:shd w:val="clear" w:color="auto" w:fill="FFFFFF"/>
        </w:rPr>
        <w:t xml:space="preserve">, R.M.; Marvin, G.; Perkins, E. Functional and recreational dog walking practices in the UK. </w:t>
      </w:r>
      <w:r w:rsidRPr="00482FA7">
        <w:rPr>
          <w:rFonts w:cs="Arial"/>
          <w:i/>
          <w:iCs/>
          <w:color w:val="222222"/>
          <w:szCs w:val="18"/>
          <w:shd w:val="clear" w:color="auto" w:fill="FFFFFF"/>
        </w:rPr>
        <w:t>Health promotion international.</w:t>
      </w:r>
      <w:r w:rsidRPr="00482FA7">
        <w:rPr>
          <w:rFonts w:cs="Arial"/>
          <w:color w:val="222222"/>
          <w:szCs w:val="18"/>
          <w:shd w:val="clear" w:color="auto" w:fill="FFFFFF"/>
        </w:rPr>
        <w:t xml:space="preserve"> </w:t>
      </w:r>
      <w:r w:rsidRPr="00482FA7">
        <w:rPr>
          <w:rFonts w:cs="Arial"/>
          <w:b/>
          <w:bCs/>
          <w:color w:val="222222"/>
          <w:szCs w:val="18"/>
          <w:shd w:val="clear" w:color="auto" w:fill="FFFFFF"/>
        </w:rPr>
        <w:t>2021</w:t>
      </w:r>
      <w:r w:rsidRPr="00482FA7">
        <w:rPr>
          <w:rFonts w:cs="Arial"/>
          <w:color w:val="222222"/>
          <w:szCs w:val="18"/>
          <w:shd w:val="clear" w:color="auto" w:fill="FFFFFF"/>
        </w:rPr>
        <w:t xml:space="preserve"> Feb;36(1):10</w:t>
      </w:r>
      <w:r w:rsidR="00273B11" w:rsidRPr="00482FA7">
        <w:rPr>
          <w:rFonts w:cs="Arial"/>
          <w:color w:val="222222"/>
          <w:szCs w:val="18"/>
          <w:shd w:val="clear" w:color="auto" w:fill="FFFFFF"/>
        </w:rPr>
        <w:t>9</w:t>
      </w:r>
      <w:r w:rsidR="00273B11">
        <w:rPr>
          <w:rFonts w:cs="Arial"/>
          <w:color w:val="222222"/>
          <w:szCs w:val="18"/>
          <w:shd w:val="clear" w:color="auto" w:fill="FFFFFF"/>
        </w:rPr>
        <w:t>–</w:t>
      </w:r>
      <w:r w:rsidR="00273B11" w:rsidRPr="00482FA7">
        <w:rPr>
          <w:rFonts w:cs="Arial"/>
          <w:color w:val="222222"/>
          <w:szCs w:val="18"/>
          <w:shd w:val="clear" w:color="auto" w:fill="FFFFFF"/>
        </w:rPr>
        <w:t>19</w:t>
      </w:r>
      <w:r w:rsidRPr="00482FA7">
        <w:rPr>
          <w:rFonts w:cs="Arial"/>
          <w:color w:val="222222"/>
          <w:szCs w:val="18"/>
          <w:shd w:val="clear" w:color="auto" w:fill="FFFFFF"/>
        </w:rPr>
        <w:t>.</w:t>
      </w:r>
    </w:p>
    <w:p w14:paraId="006506C8" w14:textId="7CB3DEFC" w:rsidR="00310F2C" w:rsidRPr="00482FA7" w:rsidRDefault="00310F2C" w:rsidP="00F911D8">
      <w:pPr>
        <w:pStyle w:val="MDPI71References"/>
        <w:rPr>
          <w:szCs w:val="18"/>
        </w:rPr>
      </w:pPr>
      <w:r w:rsidRPr="00482FA7">
        <w:rPr>
          <w:rFonts w:cs="Arial"/>
          <w:color w:val="222222"/>
          <w:szCs w:val="18"/>
          <w:shd w:val="clear" w:color="auto" w:fill="FFFFFF"/>
        </w:rPr>
        <w:t xml:space="preserve">Wu, Y.T.; </w:t>
      </w:r>
      <w:proofErr w:type="spellStart"/>
      <w:r w:rsidRPr="00482FA7">
        <w:rPr>
          <w:rFonts w:cs="Arial"/>
          <w:color w:val="222222"/>
          <w:szCs w:val="18"/>
          <w:shd w:val="clear" w:color="auto" w:fill="FFFFFF"/>
        </w:rPr>
        <w:t>Luben</w:t>
      </w:r>
      <w:proofErr w:type="spellEnd"/>
      <w:r w:rsidRPr="00482FA7">
        <w:rPr>
          <w:rFonts w:cs="Arial"/>
          <w:color w:val="222222"/>
          <w:szCs w:val="18"/>
          <w:shd w:val="clear" w:color="auto" w:fill="FFFFFF"/>
        </w:rPr>
        <w:t xml:space="preserve">, R.; Jones, A. Dog ownership supports the maintenance of physical activity during poor weather in older English adults: cross-sectional results from the EPIC Norfolk cohort. </w:t>
      </w:r>
      <w:r w:rsidRPr="00482FA7">
        <w:rPr>
          <w:rFonts w:cs="Arial"/>
          <w:i/>
          <w:iCs/>
          <w:color w:val="222222"/>
          <w:szCs w:val="18"/>
          <w:shd w:val="clear" w:color="auto" w:fill="FFFFFF"/>
        </w:rPr>
        <w:t>J Epidemiol Community Health.</w:t>
      </w:r>
      <w:r w:rsidRPr="00482FA7">
        <w:rPr>
          <w:rFonts w:cs="Arial"/>
          <w:color w:val="222222"/>
          <w:szCs w:val="18"/>
          <w:shd w:val="clear" w:color="auto" w:fill="FFFFFF"/>
        </w:rPr>
        <w:t xml:space="preserve"> </w:t>
      </w:r>
      <w:r w:rsidRPr="00482FA7">
        <w:rPr>
          <w:rFonts w:cs="Arial"/>
          <w:b/>
          <w:bCs/>
          <w:color w:val="222222"/>
          <w:szCs w:val="18"/>
          <w:shd w:val="clear" w:color="auto" w:fill="FFFFFF"/>
        </w:rPr>
        <w:t>2017</w:t>
      </w:r>
      <w:r w:rsidRPr="00482FA7">
        <w:rPr>
          <w:rFonts w:cs="Arial"/>
          <w:color w:val="222222"/>
          <w:szCs w:val="18"/>
          <w:shd w:val="clear" w:color="auto" w:fill="FFFFFF"/>
        </w:rPr>
        <w:t xml:space="preserve"> Sep 1;71(9):90</w:t>
      </w:r>
      <w:r w:rsidR="00273B11" w:rsidRPr="00482FA7">
        <w:rPr>
          <w:rFonts w:cs="Arial"/>
          <w:color w:val="222222"/>
          <w:szCs w:val="18"/>
          <w:shd w:val="clear" w:color="auto" w:fill="FFFFFF"/>
        </w:rPr>
        <w:t>5</w:t>
      </w:r>
      <w:r w:rsidR="00273B11">
        <w:rPr>
          <w:rFonts w:cs="Arial"/>
          <w:color w:val="222222"/>
          <w:szCs w:val="18"/>
          <w:shd w:val="clear" w:color="auto" w:fill="FFFFFF"/>
        </w:rPr>
        <w:t>–</w:t>
      </w:r>
      <w:r w:rsidR="00273B11" w:rsidRPr="00482FA7">
        <w:rPr>
          <w:rFonts w:cs="Arial"/>
          <w:color w:val="222222"/>
          <w:szCs w:val="18"/>
          <w:shd w:val="clear" w:color="auto" w:fill="FFFFFF"/>
        </w:rPr>
        <w:t>11</w:t>
      </w:r>
      <w:r w:rsidRPr="00482FA7">
        <w:rPr>
          <w:rFonts w:cs="Arial"/>
          <w:color w:val="222222"/>
          <w:szCs w:val="18"/>
          <w:shd w:val="clear" w:color="auto" w:fill="FFFFFF"/>
        </w:rPr>
        <w:t>.</w:t>
      </w:r>
    </w:p>
    <w:p w14:paraId="3EC1C90C" w14:textId="77777777" w:rsidR="00310F2C" w:rsidRPr="00482FA7" w:rsidRDefault="00310F2C" w:rsidP="00F911D8">
      <w:pPr>
        <w:pStyle w:val="MDPI71References"/>
        <w:rPr>
          <w:szCs w:val="18"/>
        </w:rPr>
      </w:pPr>
      <w:r w:rsidRPr="00482FA7">
        <w:rPr>
          <w:szCs w:val="18"/>
        </w:rPr>
        <w:t>Potter, K; Teng, J.E.; Masteller, B.; Rajala, C.; Balzer, L. B. Examining how dog ‘</w:t>
      </w:r>
      <w:proofErr w:type="spellStart"/>
      <w:r w:rsidRPr="00482FA7">
        <w:rPr>
          <w:szCs w:val="18"/>
        </w:rPr>
        <w:t>acquisition’affects</w:t>
      </w:r>
      <w:proofErr w:type="spellEnd"/>
      <w:r w:rsidRPr="00482FA7">
        <w:rPr>
          <w:szCs w:val="18"/>
        </w:rPr>
        <w:t xml:space="preserve"> physical activity and psychosocial well-being: findings from the </w:t>
      </w:r>
      <w:proofErr w:type="spellStart"/>
      <w:r w:rsidRPr="00482FA7">
        <w:rPr>
          <w:szCs w:val="18"/>
        </w:rPr>
        <w:t>buddystudy</w:t>
      </w:r>
      <w:proofErr w:type="spellEnd"/>
      <w:r w:rsidRPr="00482FA7">
        <w:rPr>
          <w:szCs w:val="18"/>
        </w:rPr>
        <w:t xml:space="preserve"> pilot trial. </w:t>
      </w:r>
      <w:r w:rsidRPr="00482FA7">
        <w:rPr>
          <w:i/>
          <w:iCs/>
          <w:szCs w:val="18"/>
        </w:rPr>
        <w:t xml:space="preserve">Animals, </w:t>
      </w:r>
      <w:r w:rsidRPr="00482FA7">
        <w:rPr>
          <w:b/>
          <w:bCs/>
          <w:szCs w:val="18"/>
        </w:rPr>
        <w:t xml:space="preserve">2019. </w:t>
      </w:r>
      <w:r w:rsidRPr="00482FA7">
        <w:rPr>
          <w:i/>
          <w:iCs/>
          <w:szCs w:val="18"/>
        </w:rPr>
        <w:t>9(9),</w:t>
      </w:r>
      <w:r w:rsidRPr="00482FA7">
        <w:rPr>
          <w:szCs w:val="18"/>
        </w:rPr>
        <w:t xml:space="preserve"> 666.</w:t>
      </w:r>
    </w:p>
    <w:p w14:paraId="2B4AB983" w14:textId="2983D8AD" w:rsidR="00310F2C" w:rsidRPr="00482FA7" w:rsidRDefault="00310F2C" w:rsidP="00F911D8">
      <w:pPr>
        <w:pStyle w:val="MDPI71References"/>
        <w:rPr>
          <w:szCs w:val="18"/>
        </w:rPr>
      </w:pPr>
      <w:proofErr w:type="spellStart"/>
      <w:r w:rsidRPr="00482FA7">
        <w:rPr>
          <w:szCs w:val="18"/>
        </w:rPr>
        <w:t>Machová</w:t>
      </w:r>
      <w:proofErr w:type="spellEnd"/>
      <w:r w:rsidRPr="00482FA7">
        <w:rPr>
          <w:szCs w:val="18"/>
        </w:rPr>
        <w:t xml:space="preserve">, K.; </w:t>
      </w:r>
      <w:proofErr w:type="spellStart"/>
      <w:r w:rsidRPr="00482FA7">
        <w:rPr>
          <w:szCs w:val="18"/>
        </w:rPr>
        <w:t>Daďová</w:t>
      </w:r>
      <w:proofErr w:type="spellEnd"/>
      <w:r w:rsidRPr="00482FA7">
        <w:rPr>
          <w:szCs w:val="18"/>
        </w:rPr>
        <w:t xml:space="preserve">, K.; </w:t>
      </w:r>
      <w:proofErr w:type="spellStart"/>
      <w:r w:rsidRPr="00482FA7">
        <w:rPr>
          <w:szCs w:val="18"/>
        </w:rPr>
        <w:t>Chaloupková</w:t>
      </w:r>
      <w:proofErr w:type="spellEnd"/>
      <w:r w:rsidRPr="00482FA7">
        <w:rPr>
          <w:szCs w:val="18"/>
        </w:rPr>
        <w:t xml:space="preserve">, H.; </w:t>
      </w:r>
      <w:proofErr w:type="spellStart"/>
      <w:r w:rsidRPr="00482FA7">
        <w:rPr>
          <w:szCs w:val="18"/>
        </w:rPr>
        <w:t>Svobodová</w:t>
      </w:r>
      <w:proofErr w:type="spellEnd"/>
      <w:r w:rsidRPr="00482FA7">
        <w:rPr>
          <w:szCs w:val="18"/>
        </w:rPr>
        <w:t>, I.</w:t>
      </w:r>
      <w:r w:rsidR="00630CAE" w:rsidRPr="00482FA7">
        <w:rPr>
          <w:szCs w:val="18"/>
        </w:rPr>
        <w:t xml:space="preserve"> </w:t>
      </w:r>
      <w:r w:rsidRPr="00482FA7">
        <w:rPr>
          <w:szCs w:val="18"/>
        </w:rPr>
        <w:t xml:space="preserve">Does having a pet influence the physical activity of their young female owners?. </w:t>
      </w:r>
      <w:r w:rsidRPr="00482FA7">
        <w:rPr>
          <w:i/>
          <w:iCs/>
          <w:szCs w:val="18"/>
        </w:rPr>
        <w:t xml:space="preserve">BMC Public Health, </w:t>
      </w:r>
      <w:r w:rsidRPr="00482FA7">
        <w:rPr>
          <w:b/>
          <w:bCs/>
          <w:szCs w:val="18"/>
        </w:rPr>
        <w:t xml:space="preserve">2019, </w:t>
      </w:r>
      <w:r w:rsidRPr="00482FA7">
        <w:rPr>
          <w:i/>
          <w:iCs/>
          <w:szCs w:val="18"/>
        </w:rPr>
        <w:t>19(1),</w:t>
      </w:r>
      <w:r w:rsidRPr="00482FA7">
        <w:rPr>
          <w:szCs w:val="18"/>
        </w:rPr>
        <w:t xml:space="preserve"> </w:t>
      </w:r>
      <w:r w:rsidR="00273B11" w:rsidRPr="00482FA7">
        <w:rPr>
          <w:szCs w:val="18"/>
        </w:rPr>
        <w:t>1</w:t>
      </w:r>
      <w:r w:rsidR="00273B11">
        <w:rPr>
          <w:szCs w:val="18"/>
        </w:rPr>
        <w:t>–</w:t>
      </w:r>
      <w:r w:rsidR="00273B11" w:rsidRPr="00482FA7">
        <w:rPr>
          <w:szCs w:val="18"/>
        </w:rPr>
        <w:t>7</w:t>
      </w:r>
      <w:r w:rsidRPr="00482FA7">
        <w:rPr>
          <w:szCs w:val="18"/>
        </w:rPr>
        <w:t>.</w:t>
      </w:r>
    </w:p>
    <w:p w14:paraId="6CBBAAE2" w14:textId="0FBF41BA" w:rsidR="00310F2C" w:rsidRPr="00482FA7" w:rsidRDefault="00310F2C" w:rsidP="00F911D8">
      <w:pPr>
        <w:pStyle w:val="MDPI71References"/>
        <w:rPr>
          <w:szCs w:val="18"/>
        </w:rPr>
      </w:pPr>
      <w:r w:rsidRPr="00482FA7">
        <w:rPr>
          <w:szCs w:val="18"/>
        </w:rPr>
        <w:t xml:space="preserve">Westgarth, C.; </w:t>
      </w:r>
      <w:proofErr w:type="spellStart"/>
      <w:r w:rsidRPr="00482FA7">
        <w:rPr>
          <w:szCs w:val="18"/>
        </w:rPr>
        <w:t>Christley</w:t>
      </w:r>
      <w:proofErr w:type="spellEnd"/>
      <w:r w:rsidRPr="00482FA7">
        <w:rPr>
          <w:szCs w:val="18"/>
        </w:rPr>
        <w:t xml:space="preserve">, R. M.; Jewell, C.; German, A.J.; Boddy, L.M.; Christian, H.E. Dog owners are more likely to meet physical activity guidelines than people without a dog: An investigation of the association between dog ownership and physical activity levels in a UK community. </w:t>
      </w:r>
      <w:r w:rsidRPr="00482FA7">
        <w:rPr>
          <w:i/>
          <w:iCs/>
          <w:szCs w:val="18"/>
        </w:rPr>
        <w:t>Scientific reports,</w:t>
      </w:r>
      <w:r w:rsidRPr="00482FA7">
        <w:rPr>
          <w:b/>
          <w:bCs/>
          <w:szCs w:val="18"/>
        </w:rPr>
        <w:t xml:space="preserve"> 2019</w:t>
      </w:r>
      <w:r w:rsidRPr="00482FA7">
        <w:rPr>
          <w:szCs w:val="18"/>
        </w:rPr>
        <w:t xml:space="preserve">. </w:t>
      </w:r>
      <w:r w:rsidRPr="00482FA7">
        <w:rPr>
          <w:i/>
          <w:iCs/>
          <w:szCs w:val="18"/>
        </w:rPr>
        <w:t>9(1),</w:t>
      </w:r>
      <w:r w:rsidRPr="00482FA7">
        <w:rPr>
          <w:szCs w:val="18"/>
        </w:rPr>
        <w:t xml:space="preserve"> </w:t>
      </w:r>
      <w:r w:rsidR="00273B11" w:rsidRPr="00482FA7">
        <w:rPr>
          <w:szCs w:val="18"/>
        </w:rPr>
        <w:t>1</w:t>
      </w:r>
      <w:r w:rsidR="00273B11">
        <w:rPr>
          <w:szCs w:val="18"/>
        </w:rPr>
        <w:t>–</w:t>
      </w:r>
      <w:r w:rsidR="00273B11" w:rsidRPr="00482FA7">
        <w:rPr>
          <w:szCs w:val="18"/>
        </w:rPr>
        <w:t>10</w:t>
      </w:r>
      <w:r w:rsidRPr="00482FA7">
        <w:rPr>
          <w:szCs w:val="18"/>
        </w:rPr>
        <w:t>.</w:t>
      </w:r>
    </w:p>
    <w:p w14:paraId="76978733" w14:textId="3FEC3168" w:rsidR="00310F2C" w:rsidRPr="00482FA7" w:rsidRDefault="00310F2C" w:rsidP="00F911D8">
      <w:pPr>
        <w:pStyle w:val="MDPI71References"/>
        <w:rPr>
          <w:szCs w:val="18"/>
        </w:rPr>
      </w:pPr>
      <w:r w:rsidRPr="00482FA7">
        <w:rPr>
          <w:szCs w:val="18"/>
        </w:rPr>
        <w:t xml:space="preserve">Craig, C.L.; Marshall, A.L.; </w:t>
      </w:r>
      <w:proofErr w:type="spellStart"/>
      <w:proofErr w:type="gramStart"/>
      <w:r w:rsidRPr="00482FA7">
        <w:rPr>
          <w:szCs w:val="18"/>
        </w:rPr>
        <w:t>Sjöström,M</w:t>
      </w:r>
      <w:proofErr w:type="spellEnd"/>
      <w:r w:rsidRPr="00482FA7">
        <w:rPr>
          <w:szCs w:val="18"/>
        </w:rPr>
        <w:t>.</w:t>
      </w:r>
      <w:proofErr w:type="gramEnd"/>
      <w:r w:rsidRPr="00482FA7">
        <w:rPr>
          <w:szCs w:val="18"/>
        </w:rPr>
        <w:t xml:space="preserve">; Bauman, A.E.; Booth, M.L.; Ainsworth, B.E.; Oja, P. International physical activity questionnaire: 12-country reliability and validity. </w:t>
      </w:r>
      <w:r w:rsidRPr="00482FA7">
        <w:rPr>
          <w:i/>
          <w:iCs/>
          <w:szCs w:val="18"/>
        </w:rPr>
        <w:t xml:space="preserve">Medicine and science in sports and exercise, </w:t>
      </w:r>
      <w:r w:rsidRPr="00482FA7">
        <w:rPr>
          <w:b/>
          <w:bCs/>
          <w:szCs w:val="18"/>
        </w:rPr>
        <w:t xml:space="preserve">2003, </w:t>
      </w:r>
      <w:r w:rsidRPr="00482FA7">
        <w:rPr>
          <w:i/>
          <w:iCs/>
          <w:szCs w:val="18"/>
        </w:rPr>
        <w:t>35(8),</w:t>
      </w:r>
      <w:r w:rsidRPr="00482FA7">
        <w:rPr>
          <w:szCs w:val="18"/>
        </w:rPr>
        <w:t xml:space="preserve"> 138</w:t>
      </w:r>
      <w:r w:rsidR="00273B11" w:rsidRPr="00482FA7">
        <w:rPr>
          <w:szCs w:val="18"/>
        </w:rPr>
        <w:t>1</w:t>
      </w:r>
      <w:r w:rsidR="00273B11">
        <w:rPr>
          <w:szCs w:val="18"/>
        </w:rPr>
        <w:t>–</w:t>
      </w:r>
      <w:r w:rsidR="00273B11" w:rsidRPr="00482FA7">
        <w:rPr>
          <w:szCs w:val="18"/>
        </w:rPr>
        <w:t>1395</w:t>
      </w:r>
      <w:r w:rsidRPr="00482FA7">
        <w:rPr>
          <w:szCs w:val="18"/>
        </w:rPr>
        <w:t>.</w:t>
      </w:r>
    </w:p>
    <w:p w14:paraId="2E2AAD55" w14:textId="77777777" w:rsidR="00310F2C" w:rsidRPr="00482FA7" w:rsidRDefault="00310F2C" w:rsidP="00F911D8">
      <w:pPr>
        <w:pStyle w:val="MDPI71References"/>
        <w:rPr>
          <w:szCs w:val="18"/>
        </w:rPr>
      </w:pPr>
      <w:r w:rsidRPr="00482FA7">
        <w:rPr>
          <w:szCs w:val="18"/>
        </w:rPr>
        <w:t xml:space="preserve">Park, M.; Park, H.K.; Hwang, H.S.; Park, K.Y.; Yim, H.H. The relationship between dog ownership and physical activity in </w:t>
      </w:r>
      <w:proofErr w:type="spellStart"/>
      <w:r w:rsidRPr="00482FA7">
        <w:rPr>
          <w:szCs w:val="18"/>
        </w:rPr>
        <w:t>korean</w:t>
      </w:r>
      <w:proofErr w:type="spellEnd"/>
      <w:r w:rsidRPr="00482FA7">
        <w:rPr>
          <w:szCs w:val="18"/>
        </w:rPr>
        <w:t xml:space="preserve"> adults. </w:t>
      </w:r>
      <w:r w:rsidRPr="00482FA7">
        <w:rPr>
          <w:i/>
          <w:iCs/>
          <w:szCs w:val="18"/>
        </w:rPr>
        <w:t>Korean journal of family medicine.</w:t>
      </w:r>
      <w:r w:rsidRPr="00482FA7">
        <w:rPr>
          <w:szCs w:val="18"/>
        </w:rPr>
        <w:t xml:space="preserve"> </w:t>
      </w:r>
      <w:r w:rsidRPr="00482FA7">
        <w:rPr>
          <w:b/>
          <w:bCs/>
          <w:szCs w:val="18"/>
        </w:rPr>
        <w:t>2021</w:t>
      </w:r>
      <w:r w:rsidRPr="00482FA7">
        <w:rPr>
          <w:szCs w:val="18"/>
        </w:rPr>
        <w:t xml:space="preserve"> Jan;</w:t>
      </w:r>
      <w:r w:rsidRPr="00482FA7">
        <w:rPr>
          <w:i/>
          <w:iCs/>
          <w:szCs w:val="18"/>
        </w:rPr>
        <w:t>42(1):</w:t>
      </w:r>
      <w:r w:rsidRPr="00482FA7">
        <w:rPr>
          <w:szCs w:val="18"/>
        </w:rPr>
        <w:t>59.</w:t>
      </w:r>
    </w:p>
    <w:p w14:paraId="36486ED2" w14:textId="7228CC6B" w:rsidR="00310F2C" w:rsidRPr="00482FA7" w:rsidRDefault="00310F2C" w:rsidP="00F911D8">
      <w:pPr>
        <w:pStyle w:val="MDPI71References"/>
        <w:rPr>
          <w:szCs w:val="18"/>
        </w:rPr>
      </w:pPr>
      <w:r w:rsidRPr="00482FA7">
        <w:rPr>
          <w:rFonts w:cs="Arial"/>
          <w:color w:val="222222"/>
          <w:szCs w:val="18"/>
          <w:shd w:val="clear" w:color="auto" w:fill="FFFFFF"/>
        </w:rPr>
        <w:t xml:space="preserve">Peacock, M.; </w:t>
      </w:r>
      <w:proofErr w:type="spellStart"/>
      <w:r w:rsidRPr="00482FA7">
        <w:rPr>
          <w:rFonts w:cs="Arial"/>
          <w:color w:val="222222"/>
          <w:szCs w:val="18"/>
          <w:shd w:val="clear" w:color="auto" w:fill="FFFFFF"/>
        </w:rPr>
        <w:t>Netto</w:t>
      </w:r>
      <w:proofErr w:type="spellEnd"/>
      <w:r w:rsidRPr="00482FA7">
        <w:rPr>
          <w:rFonts w:cs="Arial"/>
          <w:color w:val="222222"/>
          <w:szCs w:val="18"/>
          <w:shd w:val="clear" w:color="auto" w:fill="FFFFFF"/>
        </w:rPr>
        <w:t xml:space="preserve">, J.; Yeung, P.; McVeigh, J.; Hill, A.M. Understanding the relationship between pet ownership and physical activity among older community-dwelling adults—A mixed methods study. </w:t>
      </w:r>
      <w:r w:rsidRPr="00482FA7">
        <w:rPr>
          <w:rFonts w:cs="Arial"/>
          <w:i/>
          <w:iCs/>
          <w:color w:val="222222"/>
          <w:szCs w:val="18"/>
          <w:shd w:val="clear" w:color="auto" w:fill="FFFFFF"/>
        </w:rPr>
        <w:t>Journal of aging and physical activity.</w:t>
      </w:r>
      <w:r w:rsidRPr="00482FA7">
        <w:rPr>
          <w:rFonts w:cs="Arial"/>
          <w:color w:val="222222"/>
          <w:szCs w:val="18"/>
          <w:shd w:val="clear" w:color="auto" w:fill="FFFFFF"/>
        </w:rPr>
        <w:t xml:space="preserve"> </w:t>
      </w:r>
      <w:r w:rsidRPr="00482FA7">
        <w:rPr>
          <w:rFonts w:cs="Arial"/>
          <w:b/>
          <w:bCs/>
          <w:color w:val="222222"/>
          <w:szCs w:val="18"/>
          <w:shd w:val="clear" w:color="auto" w:fill="FFFFFF"/>
        </w:rPr>
        <w:t>2020</w:t>
      </w:r>
      <w:r w:rsidRPr="00482FA7">
        <w:rPr>
          <w:rFonts w:cs="Arial"/>
          <w:color w:val="222222"/>
          <w:szCs w:val="18"/>
          <w:shd w:val="clear" w:color="auto" w:fill="FFFFFF"/>
        </w:rPr>
        <w:t xml:space="preserve"> Feb 1;28(1):13</w:t>
      </w:r>
      <w:r w:rsidR="00273B11" w:rsidRPr="00482FA7">
        <w:rPr>
          <w:rFonts w:cs="Arial"/>
          <w:color w:val="222222"/>
          <w:szCs w:val="18"/>
          <w:shd w:val="clear" w:color="auto" w:fill="FFFFFF"/>
        </w:rPr>
        <w:t>1</w:t>
      </w:r>
      <w:r w:rsidR="00273B11">
        <w:rPr>
          <w:rFonts w:cs="Arial"/>
          <w:color w:val="222222"/>
          <w:szCs w:val="18"/>
          <w:shd w:val="clear" w:color="auto" w:fill="FFFFFF"/>
        </w:rPr>
        <w:t>–</w:t>
      </w:r>
      <w:r w:rsidR="00273B11" w:rsidRPr="00482FA7">
        <w:rPr>
          <w:rFonts w:cs="Arial"/>
          <w:color w:val="222222"/>
          <w:szCs w:val="18"/>
          <w:shd w:val="clear" w:color="auto" w:fill="FFFFFF"/>
        </w:rPr>
        <w:t>9</w:t>
      </w:r>
      <w:r w:rsidRPr="00482FA7">
        <w:rPr>
          <w:rFonts w:cs="Arial"/>
          <w:color w:val="222222"/>
          <w:szCs w:val="18"/>
          <w:shd w:val="clear" w:color="auto" w:fill="FFFFFF"/>
        </w:rPr>
        <w:t>.</w:t>
      </w:r>
    </w:p>
    <w:p w14:paraId="13D03912" w14:textId="77777777" w:rsidR="00310F2C" w:rsidRPr="00482FA7" w:rsidRDefault="00310F2C" w:rsidP="00F911D8">
      <w:pPr>
        <w:pStyle w:val="MDPI71References"/>
        <w:rPr>
          <w:szCs w:val="18"/>
        </w:rPr>
      </w:pPr>
      <w:r w:rsidRPr="00482FA7">
        <w:rPr>
          <w:szCs w:val="18"/>
        </w:rPr>
        <w:t xml:space="preserve">Statista. Pet ownership by UK Region. Available online: </w:t>
      </w:r>
      <w:hyperlink r:id="rId18" w:history="1">
        <w:r w:rsidRPr="00482FA7">
          <w:rPr>
            <w:szCs w:val="18"/>
          </w:rPr>
          <w:t>https://www.statista.com/statistics/875940/pet-ownership-by-region-uk/</w:t>
        </w:r>
      </w:hyperlink>
      <w:r w:rsidRPr="00482FA7">
        <w:rPr>
          <w:szCs w:val="18"/>
        </w:rPr>
        <w:t xml:space="preserve"> (accessed 2nd Nov 2022).</w:t>
      </w:r>
    </w:p>
    <w:p w14:paraId="59E0737D" w14:textId="2986FC6A" w:rsidR="00310F2C" w:rsidRPr="00482FA7" w:rsidRDefault="00310F2C" w:rsidP="00F911D8">
      <w:pPr>
        <w:pStyle w:val="MDPI71References"/>
        <w:rPr>
          <w:szCs w:val="18"/>
        </w:rPr>
      </w:pPr>
      <w:r w:rsidRPr="00482FA7">
        <w:rPr>
          <w:szCs w:val="18"/>
        </w:rPr>
        <w:t xml:space="preserve">Wang, X.; Cheng, Z. Cross-sectional studies: strengths, weaknesses, and recommendations. </w:t>
      </w:r>
      <w:r w:rsidRPr="00482FA7">
        <w:rPr>
          <w:i/>
          <w:iCs/>
          <w:szCs w:val="18"/>
        </w:rPr>
        <w:t xml:space="preserve">Chest. </w:t>
      </w:r>
      <w:r w:rsidRPr="00482FA7">
        <w:rPr>
          <w:b/>
          <w:bCs/>
          <w:szCs w:val="18"/>
        </w:rPr>
        <w:t xml:space="preserve">2020 </w:t>
      </w:r>
      <w:r w:rsidRPr="00482FA7">
        <w:rPr>
          <w:szCs w:val="18"/>
        </w:rPr>
        <w:t>Jul 1;</w:t>
      </w:r>
      <w:r w:rsidRPr="00482FA7">
        <w:rPr>
          <w:i/>
          <w:iCs/>
          <w:szCs w:val="18"/>
        </w:rPr>
        <w:t>158</w:t>
      </w:r>
      <w:r w:rsidRPr="00482FA7">
        <w:rPr>
          <w:szCs w:val="18"/>
        </w:rPr>
        <w:t>(1</w:t>
      </w:r>
      <w:proofErr w:type="gramStart"/>
      <w:r w:rsidRPr="00482FA7">
        <w:rPr>
          <w:szCs w:val="18"/>
        </w:rPr>
        <w:t>):S</w:t>
      </w:r>
      <w:proofErr w:type="gramEnd"/>
      <w:r w:rsidRPr="00482FA7">
        <w:rPr>
          <w:szCs w:val="18"/>
        </w:rPr>
        <w:t>6</w:t>
      </w:r>
      <w:r w:rsidR="00273B11" w:rsidRPr="00482FA7">
        <w:rPr>
          <w:szCs w:val="18"/>
        </w:rPr>
        <w:t>5</w:t>
      </w:r>
      <w:r w:rsidR="00273B11">
        <w:rPr>
          <w:szCs w:val="18"/>
        </w:rPr>
        <w:t>–</w:t>
      </w:r>
      <w:r w:rsidR="00273B11" w:rsidRPr="00482FA7">
        <w:rPr>
          <w:szCs w:val="18"/>
        </w:rPr>
        <w:t>71</w:t>
      </w:r>
      <w:r w:rsidRPr="00482FA7">
        <w:rPr>
          <w:szCs w:val="18"/>
        </w:rPr>
        <w:t>.</w:t>
      </w:r>
    </w:p>
    <w:p w14:paraId="63DCA20A" w14:textId="77777777" w:rsidR="00F911D8" w:rsidRPr="00482FA7" w:rsidRDefault="00F911D8" w:rsidP="00F911D8">
      <w:pPr>
        <w:pStyle w:val="MDPI31text"/>
        <w:ind w:left="0" w:firstLine="0"/>
        <w:rPr>
          <w:b/>
        </w:rPr>
      </w:pPr>
    </w:p>
    <w:p w14:paraId="394A6F5D" w14:textId="1209328E" w:rsidR="00937EA2" w:rsidRPr="00F911D8" w:rsidRDefault="00EF74F8" w:rsidP="00EF74F8">
      <w:pPr>
        <w:pStyle w:val="MDPI31text"/>
        <w:ind w:left="0" w:firstLine="0"/>
      </w:pPr>
      <w:r w:rsidRPr="00EF74F8">
        <w:rPr>
          <w:b/>
          <w:bCs/>
        </w:rPr>
        <w:t>Disclaimer/Publisher’s Note:</w:t>
      </w:r>
      <w:r>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w:t>
      </w:r>
      <w:proofErr w:type="gramStart"/>
      <w:r>
        <w:t>instructions</w:t>
      </w:r>
      <w:proofErr w:type="gramEnd"/>
      <w:r>
        <w:t xml:space="preserve"> or products referred to in the content.</w:t>
      </w:r>
    </w:p>
    <w:sectPr w:rsidR="00937EA2" w:rsidRPr="00F911D8" w:rsidSect="0050209E">
      <w:headerReference w:type="even" r:id="rId19"/>
      <w:headerReference w:type="default" r:id="rId20"/>
      <w:footerReference w:type="default" r:id="rId21"/>
      <w:headerReference w:type="first" r:id="rId22"/>
      <w:footerReference w:type="first" r:id="rId23"/>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F8360" w14:textId="77777777" w:rsidR="0018474A" w:rsidRDefault="0018474A">
      <w:pPr>
        <w:spacing w:line="240" w:lineRule="auto"/>
      </w:pPr>
      <w:r>
        <w:separator/>
      </w:r>
    </w:p>
  </w:endnote>
  <w:endnote w:type="continuationSeparator" w:id="0">
    <w:p w14:paraId="5472DBC9" w14:textId="77777777" w:rsidR="0018474A" w:rsidRDefault="001847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3" w:usb1="08070000" w:usb2="00000010" w:usb3="00000000" w:csb0="00020001" w:csb1="00000000"/>
  </w:font>
  <w:font w:name="STIX-Regular">
    <w:altName w:val="Yu Gothic"/>
    <w:panose1 w:val="00000000000000000000"/>
    <w:charset w:val="80"/>
    <w:family w:val="roman"/>
    <w:notTrueType/>
    <w:pitch w:val="default"/>
    <w:sig w:usb0="00000001" w:usb1="08070000" w:usb2="00000010" w:usb3="00000000" w:csb0="00020000" w:csb1="00000000"/>
  </w:font>
  <w:font w:name="Arial-BoldMT">
    <w:altName w:val="MS Gothic"/>
    <w:panose1 w:val="00000000000000000000"/>
    <w:charset w:val="80"/>
    <w:family w:val="auto"/>
    <w:notTrueType/>
    <w:pitch w:val="default"/>
    <w:sig w:usb0="00000001" w:usb1="08070000" w:usb2="00000010" w:usb3="00000000" w:csb0="00020000" w:csb1="00000000"/>
  </w:font>
  <w:font w:name="AdvOT1ef757c0">
    <w:altName w:val="Yu Gothic"/>
    <w:panose1 w:val="00000000000000000000"/>
    <w:charset w:val="80"/>
    <w:family w:val="auto"/>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DengXian Light">
    <w:altName w:val="Microsoft YaHei"/>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56A9" w14:textId="77777777" w:rsidR="00FA6861" w:rsidRPr="00591A13" w:rsidRDefault="00FA6861" w:rsidP="00FA6861">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A3FCB" w14:textId="77777777" w:rsidR="00C25374" w:rsidRDefault="00C25374" w:rsidP="00A07D45">
    <w:pPr>
      <w:pBdr>
        <w:top w:val="single" w:sz="4" w:space="0" w:color="000000"/>
      </w:pBdr>
      <w:tabs>
        <w:tab w:val="right" w:pos="8844"/>
      </w:tabs>
      <w:adjustRightInd w:val="0"/>
      <w:snapToGrid w:val="0"/>
      <w:spacing w:before="480" w:line="100" w:lineRule="exact"/>
      <w:jc w:val="left"/>
      <w:rPr>
        <w:i/>
        <w:iCs/>
        <w:sz w:val="16"/>
        <w:szCs w:val="16"/>
      </w:rPr>
    </w:pPr>
  </w:p>
  <w:p w14:paraId="4C7E2417" w14:textId="77777777" w:rsidR="00FA6861" w:rsidRPr="002905B3" w:rsidRDefault="00D90E42" w:rsidP="000F3770">
    <w:pPr>
      <w:tabs>
        <w:tab w:val="right" w:pos="10466"/>
      </w:tabs>
      <w:adjustRightInd w:val="0"/>
      <w:snapToGrid w:val="0"/>
      <w:spacing w:line="240" w:lineRule="auto"/>
      <w:rPr>
        <w:iCs/>
        <w:sz w:val="16"/>
        <w:szCs w:val="16"/>
        <w:lang w:val="fr-CH"/>
      </w:rPr>
    </w:pPr>
    <w:r w:rsidRPr="00D90E42">
      <w:rPr>
        <w:i/>
        <w:iCs/>
        <w:sz w:val="16"/>
        <w:szCs w:val="16"/>
      </w:rPr>
      <w:t>J. Ageing Longev.</w:t>
    </w:r>
    <w:r w:rsidR="007758CD">
      <w:rPr>
        <w:i/>
        <w:iCs/>
        <w:sz w:val="16"/>
        <w:szCs w:val="16"/>
      </w:rPr>
      <w:t xml:space="preserve"> </w:t>
    </w:r>
    <w:r w:rsidR="005F737C">
      <w:rPr>
        <w:b/>
        <w:bCs/>
        <w:iCs/>
        <w:sz w:val="16"/>
        <w:szCs w:val="16"/>
        <w:lang w:val="it-IT"/>
      </w:rPr>
      <w:t>2023</w:t>
    </w:r>
    <w:r w:rsidR="00812671" w:rsidRPr="00812671">
      <w:rPr>
        <w:bCs/>
        <w:iCs/>
        <w:sz w:val="16"/>
        <w:szCs w:val="16"/>
        <w:lang w:val="it-IT"/>
      </w:rPr>
      <w:t>,</w:t>
    </w:r>
    <w:r w:rsidR="005F737C">
      <w:rPr>
        <w:bCs/>
        <w:i/>
        <w:iCs/>
        <w:sz w:val="16"/>
        <w:szCs w:val="16"/>
        <w:lang w:val="it-IT"/>
      </w:rPr>
      <w:t xml:space="preserve"> 3</w:t>
    </w:r>
    <w:r w:rsidR="00812671" w:rsidRPr="00812671">
      <w:rPr>
        <w:bCs/>
        <w:iCs/>
        <w:sz w:val="16"/>
        <w:szCs w:val="16"/>
        <w:lang w:val="it-IT"/>
      </w:rPr>
      <w:t xml:space="preserve">, </w:t>
    </w:r>
    <w:r w:rsidR="0027522A">
      <w:rPr>
        <w:bCs/>
        <w:iCs/>
        <w:sz w:val="16"/>
        <w:szCs w:val="16"/>
      </w:rPr>
      <w:t>Firstpage–Lastpage</w:t>
    </w:r>
    <w:r w:rsidR="00C25374">
      <w:rPr>
        <w:bCs/>
        <w:iCs/>
        <w:sz w:val="16"/>
        <w:szCs w:val="16"/>
      </w:rPr>
      <w:t>. https://doi.org/10.3390/xxxxx</w:t>
    </w:r>
    <w:bookmarkStart w:id="3" w:name="OLE_LINK3"/>
    <w:bookmarkStart w:id="4" w:name="OLE_LINK4"/>
    <w:r w:rsidR="000F3770" w:rsidRPr="00372FCD">
      <w:rPr>
        <w:sz w:val="16"/>
        <w:szCs w:val="16"/>
        <w:lang w:val="fr-CH"/>
      </w:rPr>
      <w:tab/>
    </w:r>
    <w:r w:rsidR="00FA6861" w:rsidRPr="00372FCD">
      <w:rPr>
        <w:sz w:val="16"/>
        <w:szCs w:val="16"/>
        <w:lang w:val="fr-CH"/>
      </w:rPr>
      <w:t>www.mdpi.com/</w:t>
    </w:r>
    <w:r w:rsidR="00FA6861" w:rsidRPr="00D236DF">
      <w:rPr>
        <w:sz w:val="16"/>
        <w:szCs w:val="16"/>
        <w:lang w:val="fr-CH"/>
      </w:rPr>
      <w:t>journal/</w:t>
    </w:r>
    <w:bookmarkEnd w:id="3"/>
    <w:bookmarkEnd w:id="4"/>
    <w:r>
      <w:rPr>
        <w:rFonts w:hint="eastAsia"/>
        <w:sz w:val="16"/>
        <w:szCs w:val="16"/>
        <w:lang w:val="fr-CH"/>
      </w:rPr>
      <w:t>jal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BE2B3" w14:textId="77777777" w:rsidR="0018474A" w:rsidRDefault="0018474A">
      <w:pPr>
        <w:spacing w:line="240" w:lineRule="auto"/>
      </w:pPr>
      <w:r>
        <w:separator/>
      </w:r>
    </w:p>
  </w:footnote>
  <w:footnote w:type="continuationSeparator" w:id="0">
    <w:p w14:paraId="17E57544" w14:textId="77777777" w:rsidR="0018474A" w:rsidRDefault="001847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6566" w14:textId="77777777" w:rsidR="00FA6861" w:rsidRDefault="00FA6861" w:rsidP="00FA6861">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C3AF0" w14:textId="77777777" w:rsidR="00C25374" w:rsidRDefault="00D90E42" w:rsidP="000F3770">
    <w:pPr>
      <w:tabs>
        <w:tab w:val="right" w:pos="10466"/>
      </w:tabs>
      <w:adjustRightInd w:val="0"/>
      <w:snapToGrid w:val="0"/>
      <w:spacing w:line="240" w:lineRule="auto"/>
      <w:rPr>
        <w:sz w:val="16"/>
      </w:rPr>
    </w:pPr>
    <w:r w:rsidRPr="00D90E42">
      <w:rPr>
        <w:i/>
        <w:iCs/>
        <w:sz w:val="16"/>
        <w:szCs w:val="16"/>
      </w:rPr>
      <w:t>J. Ageing Longev.</w:t>
    </w:r>
    <w:r w:rsidR="007758CD">
      <w:rPr>
        <w:i/>
        <w:iCs/>
        <w:sz w:val="16"/>
        <w:szCs w:val="16"/>
      </w:rPr>
      <w:t xml:space="preserve"> </w:t>
    </w:r>
    <w:r w:rsidR="005F737C">
      <w:rPr>
        <w:b/>
        <w:sz w:val="16"/>
      </w:rPr>
      <w:t>2023</w:t>
    </w:r>
    <w:r w:rsidR="00812671" w:rsidRPr="00812671">
      <w:rPr>
        <w:sz w:val="16"/>
      </w:rPr>
      <w:t>,</w:t>
    </w:r>
    <w:r w:rsidR="005F737C">
      <w:rPr>
        <w:i/>
        <w:sz w:val="16"/>
      </w:rPr>
      <w:t xml:space="preserve"> 3</w:t>
    </w:r>
    <w:r w:rsidR="00D236DF">
      <w:rPr>
        <w:sz w:val="16"/>
      </w:rPr>
      <w:t>, FOR PEER REVIEW</w:t>
    </w:r>
    <w:r w:rsidR="000F3770">
      <w:rPr>
        <w:sz w:val="16"/>
      </w:rPr>
      <w:tab/>
    </w:r>
    <w:r w:rsidR="00F7266F">
      <w:rPr>
        <w:sz w:val="16"/>
      </w:rPr>
      <w:fldChar w:fldCharType="begin"/>
    </w:r>
    <w:r w:rsidR="00F7266F">
      <w:rPr>
        <w:sz w:val="16"/>
      </w:rPr>
      <w:instrText xml:space="preserve"> PAGE   \* MERGEFORMAT </w:instrText>
    </w:r>
    <w:r w:rsidR="00F7266F">
      <w:rPr>
        <w:sz w:val="16"/>
      </w:rPr>
      <w:fldChar w:fldCharType="separate"/>
    </w:r>
    <w:r w:rsidR="00CB5B85">
      <w:rPr>
        <w:sz w:val="16"/>
      </w:rPr>
      <w:t>4</w:t>
    </w:r>
    <w:r w:rsidR="00F7266F">
      <w:rPr>
        <w:sz w:val="16"/>
      </w:rPr>
      <w:fldChar w:fldCharType="end"/>
    </w:r>
  </w:p>
  <w:p w14:paraId="60BDD7DC" w14:textId="77777777" w:rsidR="00FA6861" w:rsidRPr="00E74B43" w:rsidRDefault="00FA6861" w:rsidP="00A07D45">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C25374" w:rsidRPr="000F3770" w14:paraId="54F35070" w14:textId="77777777" w:rsidTr="00913845">
      <w:trPr>
        <w:trHeight w:val="686"/>
      </w:trPr>
      <w:tc>
        <w:tcPr>
          <w:tcW w:w="3679" w:type="dxa"/>
          <w:shd w:val="clear" w:color="auto" w:fill="auto"/>
          <w:vAlign w:val="center"/>
        </w:tcPr>
        <w:p w14:paraId="32751E6F" w14:textId="77777777" w:rsidR="00C25374" w:rsidRPr="00DC06CB" w:rsidRDefault="00A003DE" w:rsidP="000F3770">
          <w:pPr>
            <w:pStyle w:val="Header"/>
            <w:pBdr>
              <w:bottom w:val="none" w:sz="0" w:space="0" w:color="auto"/>
            </w:pBdr>
            <w:jc w:val="left"/>
            <w:rPr>
              <w:rFonts w:eastAsia="DengXian"/>
              <w:b/>
              <w:bCs/>
            </w:rPr>
          </w:pPr>
          <w:r>
            <w:drawing>
              <wp:inline distT="0" distB="0" distL="0" distR="0" wp14:anchorId="4AE7024A" wp14:editId="1B4FB6A3">
                <wp:extent cx="1905000" cy="429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429260"/>
                        </a:xfrm>
                        <a:prstGeom prst="rect">
                          <a:avLst/>
                        </a:prstGeom>
                        <a:noFill/>
                        <a:ln>
                          <a:noFill/>
                        </a:ln>
                      </pic:spPr>
                    </pic:pic>
                  </a:graphicData>
                </a:graphic>
              </wp:inline>
            </w:drawing>
          </w:r>
        </w:p>
      </w:tc>
      <w:tc>
        <w:tcPr>
          <w:tcW w:w="4535" w:type="dxa"/>
          <w:shd w:val="clear" w:color="auto" w:fill="auto"/>
          <w:vAlign w:val="center"/>
        </w:tcPr>
        <w:p w14:paraId="521D556D" w14:textId="77777777" w:rsidR="00C25374" w:rsidRPr="00DC06CB" w:rsidRDefault="00C25374" w:rsidP="000F3770">
          <w:pPr>
            <w:pStyle w:val="Header"/>
            <w:pBdr>
              <w:bottom w:val="none" w:sz="0" w:space="0" w:color="auto"/>
            </w:pBdr>
            <w:rPr>
              <w:rFonts w:eastAsia="DengXian"/>
              <w:b/>
              <w:bCs/>
            </w:rPr>
          </w:pPr>
        </w:p>
      </w:tc>
      <w:tc>
        <w:tcPr>
          <w:tcW w:w="2273" w:type="dxa"/>
          <w:shd w:val="clear" w:color="auto" w:fill="auto"/>
          <w:vAlign w:val="center"/>
        </w:tcPr>
        <w:p w14:paraId="4A630CEA" w14:textId="77777777" w:rsidR="00C25374" w:rsidRPr="00DC06CB" w:rsidRDefault="00913845" w:rsidP="00913845">
          <w:pPr>
            <w:pStyle w:val="Header"/>
            <w:pBdr>
              <w:bottom w:val="none" w:sz="0" w:space="0" w:color="auto"/>
            </w:pBdr>
            <w:jc w:val="right"/>
            <w:rPr>
              <w:rFonts w:eastAsia="DengXian"/>
              <w:b/>
              <w:bCs/>
            </w:rPr>
          </w:pPr>
          <w:r>
            <w:rPr>
              <w:rFonts w:eastAsia="DengXian"/>
              <w:b/>
              <w:bCs/>
            </w:rPr>
            <w:drawing>
              <wp:inline distT="0" distB="0" distL="0" distR="0" wp14:anchorId="5C1E5851" wp14:editId="132EF1BF">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1561B3F4" w14:textId="77777777" w:rsidR="00FA6861" w:rsidRPr="00C25374" w:rsidRDefault="00FA6861" w:rsidP="00A07D45">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1FC7"/>
    <w:multiLevelType w:val="hybridMultilevel"/>
    <w:tmpl w:val="8028E0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E76752"/>
    <w:multiLevelType w:val="hybridMultilevel"/>
    <w:tmpl w:val="108C40BE"/>
    <w:lvl w:ilvl="0" w:tplc="4718F40C">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F6105"/>
    <w:multiLevelType w:val="hybridMultilevel"/>
    <w:tmpl w:val="E9E6ABA2"/>
    <w:lvl w:ilvl="0" w:tplc="8476307C">
      <w:start w:val="1"/>
      <w:numFmt w:val="decimal"/>
      <w:lvlRestart w:val="0"/>
      <w:pStyle w:val="MDPI71FootNotes"/>
      <w:lvlText w:val="%1."/>
      <w:lvlJc w:val="left"/>
      <w:pPr>
        <w:ind w:left="425" w:hanging="425"/>
      </w:pPr>
      <w:rPr>
        <w:rFonts w:hint="default"/>
        <w:b w:val="0"/>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B468F5"/>
    <w:multiLevelType w:val="hybridMultilevel"/>
    <w:tmpl w:val="D0A6E926"/>
    <w:lvl w:ilvl="0" w:tplc="B8BEC9D2">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81A61"/>
    <w:multiLevelType w:val="hybridMultilevel"/>
    <w:tmpl w:val="4EFEEED2"/>
    <w:lvl w:ilvl="0" w:tplc="ECDE8BF2">
      <w:start w:val="1"/>
      <w:numFmt w:val="decimal"/>
      <w:lvlText w:val="%1."/>
      <w:lvlJc w:val="left"/>
      <w:pPr>
        <w:ind w:left="2968" w:hanging="360"/>
      </w:pPr>
      <w:rPr>
        <w:rFonts w:hint="default"/>
      </w:rPr>
    </w:lvl>
    <w:lvl w:ilvl="1" w:tplc="08090019" w:tentative="1">
      <w:start w:val="1"/>
      <w:numFmt w:val="lowerLetter"/>
      <w:lvlText w:val="%2."/>
      <w:lvlJc w:val="left"/>
      <w:pPr>
        <w:ind w:left="3688" w:hanging="360"/>
      </w:pPr>
    </w:lvl>
    <w:lvl w:ilvl="2" w:tplc="0809001B" w:tentative="1">
      <w:start w:val="1"/>
      <w:numFmt w:val="lowerRoman"/>
      <w:lvlText w:val="%3."/>
      <w:lvlJc w:val="right"/>
      <w:pPr>
        <w:ind w:left="4408" w:hanging="180"/>
      </w:pPr>
    </w:lvl>
    <w:lvl w:ilvl="3" w:tplc="0809000F" w:tentative="1">
      <w:start w:val="1"/>
      <w:numFmt w:val="decimal"/>
      <w:lvlText w:val="%4."/>
      <w:lvlJc w:val="left"/>
      <w:pPr>
        <w:ind w:left="5128" w:hanging="360"/>
      </w:pPr>
    </w:lvl>
    <w:lvl w:ilvl="4" w:tplc="08090019" w:tentative="1">
      <w:start w:val="1"/>
      <w:numFmt w:val="lowerLetter"/>
      <w:lvlText w:val="%5."/>
      <w:lvlJc w:val="left"/>
      <w:pPr>
        <w:ind w:left="5848" w:hanging="360"/>
      </w:pPr>
    </w:lvl>
    <w:lvl w:ilvl="5" w:tplc="0809001B" w:tentative="1">
      <w:start w:val="1"/>
      <w:numFmt w:val="lowerRoman"/>
      <w:lvlText w:val="%6."/>
      <w:lvlJc w:val="right"/>
      <w:pPr>
        <w:ind w:left="6568" w:hanging="180"/>
      </w:pPr>
    </w:lvl>
    <w:lvl w:ilvl="6" w:tplc="0809000F" w:tentative="1">
      <w:start w:val="1"/>
      <w:numFmt w:val="decimal"/>
      <w:lvlText w:val="%7."/>
      <w:lvlJc w:val="left"/>
      <w:pPr>
        <w:ind w:left="7288" w:hanging="360"/>
      </w:pPr>
    </w:lvl>
    <w:lvl w:ilvl="7" w:tplc="08090019" w:tentative="1">
      <w:start w:val="1"/>
      <w:numFmt w:val="lowerLetter"/>
      <w:lvlText w:val="%8."/>
      <w:lvlJc w:val="left"/>
      <w:pPr>
        <w:ind w:left="8008" w:hanging="360"/>
      </w:pPr>
    </w:lvl>
    <w:lvl w:ilvl="8" w:tplc="0809001B" w:tentative="1">
      <w:start w:val="1"/>
      <w:numFmt w:val="lowerRoman"/>
      <w:lvlText w:val="%9."/>
      <w:lvlJc w:val="right"/>
      <w:pPr>
        <w:ind w:left="8728" w:hanging="180"/>
      </w:pPr>
    </w:lvl>
  </w:abstractNum>
  <w:abstractNum w:abstractNumId="5" w15:restartNumberingAfterBreak="0">
    <w:nsid w:val="1E0C6F5D"/>
    <w:multiLevelType w:val="hybridMultilevel"/>
    <w:tmpl w:val="F07A3F2A"/>
    <w:lvl w:ilvl="0" w:tplc="4FF276B4">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6"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8"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0"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75B53"/>
    <w:multiLevelType w:val="hybridMultilevel"/>
    <w:tmpl w:val="D3E20B0A"/>
    <w:lvl w:ilvl="0" w:tplc="66B6BF4E">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2"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5D5AFB"/>
    <w:multiLevelType w:val="hybridMultilevel"/>
    <w:tmpl w:val="B04A92B0"/>
    <w:lvl w:ilvl="0" w:tplc="05222248">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213C1C"/>
    <w:multiLevelType w:val="hybridMultilevel"/>
    <w:tmpl w:val="3FCCDF12"/>
    <w:lvl w:ilvl="0" w:tplc="A39E68FE">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764956796">
    <w:abstractNumId w:val="7"/>
  </w:num>
  <w:num w:numId="2" w16cid:durableId="72360275">
    <w:abstractNumId w:val="9"/>
  </w:num>
  <w:num w:numId="3" w16cid:durableId="1002779698">
    <w:abstractNumId w:val="6"/>
  </w:num>
  <w:num w:numId="4" w16cid:durableId="1325978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7077101">
    <w:abstractNumId w:val="8"/>
  </w:num>
  <w:num w:numId="6" w16cid:durableId="171996250">
    <w:abstractNumId w:val="11"/>
  </w:num>
  <w:num w:numId="7" w16cid:durableId="690884083">
    <w:abstractNumId w:val="5"/>
  </w:num>
  <w:num w:numId="8" w16cid:durableId="1203440598">
    <w:abstractNumId w:val="11"/>
  </w:num>
  <w:num w:numId="9" w16cid:durableId="650141665">
    <w:abstractNumId w:val="5"/>
  </w:num>
  <w:num w:numId="10" w16cid:durableId="25562909">
    <w:abstractNumId w:val="11"/>
  </w:num>
  <w:num w:numId="11" w16cid:durableId="1874340559">
    <w:abstractNumId w:val="5"/>
  </w:num>
  <w:num w:numId="12" w16cid:durableId="1270427987">
    <w:abstractNumId w:val="12"/>
  </w:num>
  <w:num w:numId="13" w16cid:durableId="337080538">
    <w:abstractNumId w:val="11"/>
  </w:num>
  <w:num w:numId="14" w16cid:durableId="471408765">
    <w:abstractNumId w:val="5"/>
  </w:num>
  <w:num w:numId="15" w16cid:durableId="1853489797">
    <w:abstractNumId w:val="3"/>
  </w:num>
  <w:num w:numId="16" w16cid:durableId="2066642150">
    <w:abstractNumId w:val="10"/>
  </w:num>
  <w:num w:numId="17" w16cid:durableId="1684939055">
    <w:abstractNumId w:val="1"/>
  </w:num>
  <w:num w:numId="18" w16cid:durableId="88159371">
    <w:abstractNumId w:val="11"/>
  </w:num>
  <w:num w:numId="19" w16cid:durableId="1193806477">
    <w:abstractNumId w:val="5"/>
  </w:num>
  <w:num w:numId="20" w16cid:durableId="1465342628">
    <w:abstractNumId w:val="3"/>
  </w:num>
  <w:num w:numId="21" w16cid:durableId="765272258">
    <w:abstractNumId w:val="1"/>
  </w:num>
  <w:num w:numId="22" w16cid:durableId="1950508402">
    <w:abstractNumId w:val="14"/>
  </w:num>
  <w:num w:numId="23" w16cid:durableId="1914581136">
    <w:abstractNumId w:val="13"/>
  </w:num>
  <w:num w:numId="24" w16cid:durableId="2117865622">
    <w:abstractNumId w:val="4"/>
  </w:num>
  <w:num w:numId="25" w16cid:durableId="2073772940">
    <w:abstractNumId w:val="0"/>
  </w:num>
  <w:num w:numId="26" w16cid:durableId="547424768">
    <w:abstractNumId w:val="2"/>
  </w:num>
  <w:num w:numId="27" w16cid:durableId="1878277015">
    <w:abstractNumId w:val="11"/>
  </w:num>
  <w:num w:numId="28" w16cid:durableId="1365599197">
    <w:abstractNumId w:val="5"/>
  </w:num>
  <w:num w:numId="29" w16cid:durableId="1332837071">
    <w:abstractNumId w:val="2"/>
  </w:num>
  <w:num w:numId="30" w16cid:durableId="725493290">
    <w:abstractNumId w:val="3"/>
  </w:num>
  <w:num w:numId="31" w16cid:durableId="862744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F2C"/>
    <w:rsid w:val="00000F40"/>
    <w:rsid w:val="000075B7"/>
    <w:rsid w:val="00030A56"/>
    <w:rsid w:val="00056D71"/>
    <w:rsid w:val="0005769C"/>
    <w:rsid w:val="00063A94"/>
    <w:rsid w:val="00064E9A"/>
    <w:rsid w:val="000779E3"/>
    <w:rsid w:val="00077A23"/>
    <w:rsid w:val="000B63BA"/>
    <w:rsid w:val="000C7AB4"/>
    <w:rsid w:val="000E0476"/>
    <w:rsid w:val="000F2CC7"/>
    <w:rsid w:val="000F3770"/>
    <w:rsid w:val="001072A7"/>
    <w:rsid w:val="0010747B"/>
    <w:rsid w:val="00107CEC"/>
    <w:rsid w:val="0011600E"/>
    <w:rsid w:val="001274EA"/>
    <w:rsid w:val="00127920"/>
    <w:rsid w:val="00147BC3"/>
    <w:rsid w:val="00157E7C"/>
    <w:rsid w:val="0016382E"/>
    <w:rsid w:val="001838B0"/>
    <w:rsid w:val="0018474A"/>
    <w:rsid w:val="00190342"/>
    <w:rsid w:val="00190D3F"/>
    <w:rsid w:val="00196466"/>
    <w:rsid w:val="001B3594"/>
    <w:rsid w:val="001D00F2"/>
    <w:rsid w:val="001D2666"/>
    <w:rsid w:val="001E2AEB"/>
    <w:rsid w:val="001E3A54"/>
    <w:rsid w:val="001E5BC4"/>
    <w:rsid w:val="002112FC"/>
    <w:rsid w:val="00221779"/>
    <w:rsid w:val="00221B3F"/>
    <w:rsid w:val="00226D97"/>
    <w:rsid w:val="00254C7B"/>
    <w:rsid w:val="002564CF"/>
    <w:rsid w:val="00273B11"/>
    <w:rsid w:val="0027522A"/>
    <w:rsid w:val="00282A3D"/>
    <w:rsid w:val="00287F77"/>
    <w:rsid w:val="002905B3"/>
    <w:rsid w:val="002A18DC"/>
    <w:rsid w:val="002A38B7"/>
    <w:rsid w:val="002A4156"/>
    <w:rsid w:val="002A7E0A"/>
    <w:rsid w:val="002B04D8"/>
    <w:rsid w:val="002B3ED9"/>
    <w:rsid w:val="002D480C"/>
    <w:rsid w:val="002E3128"/>
    <w:rsid w:val="003024E2"/>
    <w:rsid w:val="00310C53"/>
    <w:rsid w:val="00310F2C"/>
    <w:rsid w:val="00313521"/>
    <w:rsid w:val="00316E17"/>
    <w:rsid w:val="00326141"/>
    <w:rsid w:val="00335390"/>
    <w:rsid w:val="00360ED3"/>
    <w:rsid w:val="003677F2"/>
    <w:rsid w:val="003776C2"/>
    <w:rsid w:val="00381945"/>
    <w:rsid w:val="003A1784"/>
    <w:rsid w:val="003B1A90"/>
    <w:rsid w:val="003C2487"/>
    <w:rsid w:val="003E2688"/>
    <w:rsid w:val="003F4DA0"/>
    <w:rsid w:val="00401D30"/>
    <w:rsid w:val="0044559C"/>
    <w:rsid w:val="004464C5"/>
    <w:rsid w:val="0048153C"/>
    <w:rsid w:val="00482695"/>
    <w:rsid w:val="00482FA7"/>
    <w:rsid w:val="004B3FE0"/>
    <w:rsid w:val="004B4DBD"/>
    <w:rsid w:val="004E4167"/>
    <w:rsid w:val="004E4638"/>
    <w:rsid w:val="0050209E"/>
    <w:rsid w:val="005034D8"/>
    <w:rsid w:val="00503E72"/>
    <w:rsid w:val="005067EE"/>
    <w:rsid w:val="005313B2"/>
    <w:rsid w:val="00534E89"/>
    <w:rsid w:val="00535B2C"/>
    <w:rsid w:val="005559FE"/>
    <w:rsid w:val="00561599"/>
    <w:rsid w:val="005621FF"/>
    <w:rsid w:val="00576FD6"/>
    <w:rsid w:val="005776C8"/>
    <w:rsid w:val="005A5FAD"/>
    <w:rsid w:val="005B25F4"/>
    <w:rsid w:val="005C147B"/>
    <w:rsid w:val="005E1449"/>
    <w:rsid w:val="005F737C"/>
    <w:rsid w:val="00606906"/>
    <w:rsid w:val="00630CAE"/>
    <w:rsid w:val="00632444"/>
    <w:rsid w:val="00640D06"/>
    <w:rsid w:val="006449F0"/>
    <w:rsid w:val="00647BC3"/>
    <w:rsid w:val="006702E5"/>
    <w:rsid w:val="00676CF2"/>
    <w:rsid w:val="00692393"/>
    <w:rsid w:val="006A131D"/>
    <w:rsid w:val="006A29FD"/>
    <w:rsid w:val="006A6CEC"/>
    <w:rsid w:val="006B5D37"/>
    <w:rsid w:val="006D2C38"/>
    <w:rsid w:val="006E46C8"/>
    <w:rsid w:val="006E72E1"/>
    <w:rsid w:val="0070107E"/>
    <w:rsid w:val="0070389B"/>
    <w:rsid w:val="00715ADB"/>
    <w:rsid w:val="00717805"/>
    <w:rsid w:val="00726EB1"/>
    <w:rsid w:val="00727027"/>
    <w:rsid w:val="007278EE"/>
    <w:rsid w:val="00744DDF"/>
    <w:rsid w:val="00765B6F"/>
    <w:rsid w:val="00773E68"/>
    <w:rsid w:val="007758CD"/>
    <w:rsid w:val="007824CC"/>
    <w:rsid w:val="00783D14"/>
    <w:rsid w:val="007907E9"/>
    <w:rsid w:val="007A18CF"/>
    <w:rsid w:val="007A3F8D"/>
    <w:rsid w:val="007B18F6"/>
    <w:rsid w:val="007B6A78"/>
    <w:rsid w:val="007C45B7"/>
    <w:rsid w:val="007C600C"/>
    <w:rsid w:val="007D7EFC"/>
    <w:rsid w:val="007E0233"/>
    <w:rsid w:val="007E46E6"/>
    <w:rsid w:val="007F2133"/>
    <w:rsid w:val="00812671"/>
    <w:rsid w:val="00815517"/>
    <w:rsid w:val="008170D8"/>
    <w:rsid w:val="00820751"/>
    <w:rsid w:val="00837C51"/>
    <w:rsid w:val="00862DC6"/>
    <w:rsid w:val="0089227B"/>
    <w:rsid w:val="00894302"/>
    <w:rsid w:val="008965CE"/>
    <w:rsid w:val="008A29A2"/>
    <w:rsid w:val="008B6FEA"/>
    <w:rsid w:val="008C7E82"/>
    <w:rsid w:val="008D2869"/>
    <w:rsid w:val="008D732F"/>
    <w:rsid w:val="008E0211"/>
    <w:rsid w:val="008E3D2A"/>
    <w:rsid w:val="008E4521"/>
    <w:rsid w:val="00904381"/>
    <w:rsid w:val="00907A22"/>
    <w:rsid w:val="009115CF"/>
    <w:rsid w:val="00913845"/>
    <w:rsid w:val="00926CDC"/>
    <w:rsid w:val="009349DC"/>
    <w:rsid w:val="00934A24"/>
    <w:rsid w:val="00937EA2"/>
    <w:rsid w:val="00962632"/>
    <w:rsid w:val="00982766"/>
    <w:rsid w:val="00994DF9"/>
    <w:rsid w:val="009A23B2"/>
    <w:rsid w:val="009B75D5"/>
    <w:rsid w:val="009C32DF"/>
    <w:rsid w:val="009D09DC"/>
    <w:rsid w:val="009D3ACF"/>
    <w:rsid w:val="009E25A9"/>
    <w:rsid w:val="009F70E6"/>
    <w:rsid w:val="00A003DE"/>
    <w:rsid w:val="00A07D45"/>
    <w:rsid w:val="00A14BE0"/>
    <w:rsid w:val="00A17F6A"/>
    <w:rsid w:val="00A3480C"/>
    <w:rsid w:val="00A402F1"/>
    <w:rsid w:val="00A5120B"/>
    <w:rsid w:val="00A67CF3"/>
    <w:rsid w:val="00A70F26"/>
    <w:rsid w:val="00A813A3"/>
    <w:rsid w:val="00A9758F"/>
    <w:rsid w:val="00AC595D"/>
    <w:rsid w:val="00AE72BC"/>
    <w:rsid w:val="00B119BE"/>
    <w:rsid w:val="00B216BC"/>
    <w:rsid w:val="00B23DF9"/>
    <w:rsid w:val="00B44F39"/>
    <w:rsid w:val="00B71204"/>
    <w:rsid w:val="00B97E6A"/>
    <w:rsid w:val="00BA09E3"/>
    <w:rsid w:val="00BD65C8"/>
    <w:rsid w:val="00BF6DAE"/>
    <w:rsid w:val="00C02EDC"/>
    <w:rsid w:val="00C04D0D"/>
    <w:rsid w:val="00C16344"/>
    <w:rsid w:val="00C25374"/>
    <w:rsid w:val="00C27A85"/>
    <w:rsid w:val="00C4009A"/>
    <w:rsid w:val="00C41AF0"/>
    <w:rsid w:val="00C41B6D"/>
    <w:rsid w:val="00C51415"/>
    <w:rsid w:val="00C7545E"/>
    <w:rsid w:val="00C86AE1"/>
    <w:rsid w:val="00C91BBE"/>
    <w:rsid w:val="00CB5B85"/>
    <w:rsid w:val="00CC7616"/>
    <w:rsid w:val="00CD2B43"/>
    <w:rsid w:val="00CD5EBE"/>
    <w:rsid w:val="00CF3E5E"/>
    <w:rsid w:val="00CF5DAD"/>
    <w:rsid w:val="00D00433"/>
    <w:rsid w:val="00D011A4"/>
    <w:rsid w:val="00D154A3"/>
    <w:rsid w:val="00D236DF"/>
    <w:rsid w:val="00D32494"/>
    <w:rsid w:val="00D33501"/>
    <w:rsid w:val="00D42882"/>
    <w:rsid w:val="00D54B28"/>
    <w:rsid w:val="00D60D92"/>
    <w:rsid w:val="00D6249B"/>
    <w:rsid w:val="00D6557C"/>
    <w:rsid w:val="00D65C05"/>
    <w:rsid w:val="00D77B5F"/>
    <w:rsid w:val="00D80C31"/>
    <w:rsid w:val="00D870BC"/>
    <w:rsid w:val="00D90E42"/>
    <w:rsid w:val="00DA3B2A"/>
    <w:rsid w:val="00DC0333"/>
    <w:rsid w:val="00DC06CB"/>
    <w:rsid w:val="00DD14D1"/>
    <w:rsid w:val="00DE076D"/>
    <w:rsid w:val="00DE10D6"/>
    <w:rsid w:val="00DE1187"/>
    <w:rsid w:val="00DE2D43"/>
    <w:rsid w:val="00DF75E1"/>
    <w:rsid w:val="00E06C86"/>
    <w:rsid w:val="00E07D1C"/>
    <w:rsid w:val="00E423DC"/>
    <w:rsid w:val="00E468FC"/>
    <w:rsid w:val="00E72BD9"/>
    <w:rsid w:val="00E77BBF"/>
    <w:rsid w:val="00E91DB4"/>
    <w:rsid w:val="00EB11F8"/>
    <w:rsid w:val="00EB4BCD"/>
    <w:rsid w:val="00EC1E80"/>
    <w:rsid w:val="00EC36E6"/>
    <w:rsid w:val="00ED3685"/>
    <w:rsid w:val="00EE09B8"/>
    <w:rsid w:val="00EE6F0A"/>
    <w:rsid w:val="00EF1239"/>
    <w:rsid w:val="00EF74F8"/>
    <w:rsid w:val="00F01E11"/>
    <w:rsid w:val="00F15E1D"/>
    <w:rsid w:val="00F2618B"/>
    <w:rsid w:val="00F450E2"/>
    <w:rsid w:val="00F50047"/>
    <w:rsid w:val="00F51E7B"/>
    <w:rsid w:val="00F7266F"/>
    <w:rsid w:val="00F75040"/>
    <w:rsid w:val="00F83944"/>
    <w:rsid w:val="00F86055"/>
    <w:rsid w:val="00F911D8"/>
    <w:rsid w:val="00F96157"/>
    <w:rsid w:val="00F963E8"/>
    <w:rsid w:val="00F9793E"/>
    <w:rsid w:val="00FA0907"/>
    <w:rsid w:val="00FA6861"/>
    <w:rsid w:val="00FD5773"/>
    <w:rsid w:val="00FF13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FCE975"/>
  <w15:chartTrackingRefBased/>
  <w15:docId w15:val="{FFA3F8AE-9A24-4E51-BBDD-C76F1860E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EA2"/>
    <w:pPr>
      <w:spacing w:line="260" w:lineRule="atLeast"/>
      <w:jc w:val="both"/>
    </w:pPr>
    <w:rPr>
      <w:rFonts w:ascii="Palatino Linotype" w:hAnsi="Palatino Linotype"/>
      <w:noProof/>
      <w:color w:val="000000"/>
    </w:rPr>
  </w:style>
  <w:style w:type="paragraph" w:styleId="Heading2">
    <w:name w:val="heading 2"/>
    <w:basedOn w:val="Normal"/>
    <w:link w:val="Heading2Char"/>
    <w:uiPriority w:val="9"/>
    <w:qFormat/>
    <w:rsid w:val="00310F2C"/>
    <w:pPr>
      <w:spacing w:before="100" w:beforeAutospacing="1" w:after="100" w:afterAutospacing="1" w:line="240" w:lineRule="auto"/>
      <w:jc w:val="left"/>
      <w:outlineLvl w:val="1"/>
    </w:pPr>
    <w:rPr>
      <w:rFonts w:ascii="Times New Roman" w:eastAsia="Times New Roman" w:hAnsi="Times New Roman"/>
      <w:b/>
      <w:bCs/>
      <w:noProof w:val="0"/>
      <w:color w:val="auto"/>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50209E"/>
    <w:pPr>
      <w:adjustRightInd w:val="0"/>
      <w:snapToGrid w:val="0"/>
      <w:spacing w:before="240"/>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12title">
    <w:name w:val="MDPI_1.2_title"/>
    <w:next w:val="Normal"/>
    <w:qFormat/>
    <w:rsid w:val="0050209E"/>
    <w:pPr>
      <w:adjustRightInd w:val="0"/>
      <w:snapToGrid w:val="0"/>
      <w:spacing w:after="240" w:line="240" w:lineRule="atLeast"/>
    </w:pPr>
    <w:rPr>
      <w:rFonts w:ascii="Palatino Linotype" w:eastAsia="Times New Roman" w:hAnsi="Palatino Linotype"/>
      <w:b/>
      <w:snapToGrid w:val="0"/>
      <w:color w:val="000000"/>
      <w:kern w:val="2"/>
      <w:sz w:val="36"/>
      <w:lang w:eastAsia="de-DE" w:bidi="en-US"/>
      <w14:ligatures w14:val="standardContextual"/>
    </w:rPr>
  </w:style>
  <w:style w:type="paragraph" w:customStyle="1" w:styleId="MDPI13authornames">
    <w:name w:val="MDPI_1.3_authornames"/>
    <w:next w:val="Normal"/>
    <w:qFormat/>
    <w:rsid w:val="0050209E"/>
    <w:pPr>
      <w:adjustRightInd w:val="0"/>
      <w:snapToGrid w:val="0"/>
      <w:spacing w:after="360" w:line="260" w:lineRule="atLeast"/>
    </w:pPr>
    <w:rPr>
      <w:rFonts w:ascii="Palatino Linotype" w:eastAsia="Times New Roman" w:hAnsi="Palatino Linotype"/>
      <w:b/>
      <w:color w:val="000000"/>
      <w:kern w:val="2"/>
      <w:szCs w:val="22"/>
      <w:lang w:eastAsia="de-DE" w:bidi="en-US"/>
      <w14:ligatures w14:val="standardContextual"/>
    </w:rPr>
  </w:style>
  <w:style w:type="paragraph" w:customStyle="1" w:styleId="MDPI14history">
    <w:name w:val="MDPI_1.4_history"/>
    <w:basedOn w:val="Normal"/>
    <w:next w:val="Normal"/>
    <w:qFormat/>
    <w:rsid w:val="0050209E"/>
    <w:pPr>
      <w:adjustRightInd w:val="0"/>
      <w:snapToGrid w:val="0"/>
      <w:spacing w:line="240" w:lineRule="atLeast"/>
      <w:ind w:right="113"/>
      <w:jc w:val="left"/>
    </w:pPr>
    <w:rPr>
      <w:rFonts w:eastAsia="Times New Roman"/>
      <w:noProof w:val="0"/>
      <w:kern w:val="2"/>
      <w:sz w:val="14"/>
      <w:lang w:eastAsia="de-DE" w:bidi="en-US"/>
      <w14:ligatures w14:val="standardContextual"/>
    </w:rPr>
  </w:style>
  <w:style w:type="paragraph" w:customStyle="1" w:styleId="MDPI16affiliation">
    <w:name w:val="MDPI_1.6_affiliation"/>
    <w:qFormat/>
    <w:rsid w:val="0050209E"/>
    <w:pPr>
      <w:adjustRightInd w:val="0"/>
      <w:snapToGrid w:val="0"/>
      <w:spacing w:line="200" w:lineRule="atLeast"/>
      <w:ind w:left="2806" w:hanging="198"/>
    </w:pPr>
    <w:rPr>
      <w:rFonts w:ascii="Palatino Linotype" w:eastAsia="Times New Roman" w:hAnsi="Palatino Linotype"/>
      <w:color w:val="000000"/>
      <w:kern w:val="2"/>
      <w:sz w:val="16"/>
      <w:szCs w:val="18"/>
      <w:lang w:eastAsia="de-DE" w:bidi="en-US"/>
      <w14:ligatures w14:val="standardContextual"/>
    </w:rPr>
  </w:style>
  <w:style w:type="paragraph" w:customStyle="1" w:styleId="MDPI17abstract">
    <w:name w:val="MDPI_1.7_abstract"/>
    <w:next w:val="Normal"/>
    <w:qFormat/>
    <w:rsid w:val="0050209E"/>
    <w:pPr>
      <w:adjustRightInd w:val="0"/>
      <w:snapToGrid w:val="0"/>
      <w:spacing w:before="240" w:line="260" w:lineRule="atLeast"/>
      <w:ind w:left="2608"/>
      <w:jc w:val="both"/>
    </w:pPr>
    <w:rPr>
      <w:rFonts w:ascii="Palatino Linotype" w:eastAsia="Times New Roman" w:hAnsi="Palatino Linotype"/>
      <w:color w:val="000000"/>
      <w:kern w:val="2"/>
      <w:sz w:val="18"/>
      <w:szCs w:val="22"/>
      <w:lang w:eastAsia="de-DE" w:bidi="en-US"/>
      <w14:ligatures w14:val="standardContextual"/>
    </w:rPr>
  </w:style>
  <w:style w:type="paragraph" w:customStyle="1" w:styleId="MDPI18keywords">
    <w:name w:val="MDPI_1.8_keywords"/>
    <w:next w:val="Normal"/>
    <w:qFormat/>
    <w:rsid w:val="0050209E"/>
    <w:pPr>
      <w:adjustRightInd w:val="0"/>
      <w:snapToGrid w:val="0"/>
      <w:spacing w:before="240" w:line="260" w:lineRule="atLeast"/>
      <w:ind w:left="2608"/>
      <w:jc w:val="both"/>
    </w:pPr>
    <w:rPr>
      <w:rFonts w:ascii="Palatino Linotype" w:eastAsia="Times New Roman" w:hAnsi="Palatino Linotype"/>
      <w:snapToGrid w:val="0"/>
      <w:color w:val="000000"/>
      <w:kern w:val="2"/>
      <w:sz w:val="18"/>
      <w:szCs w:val="22"/>
      <w:lang w:eastAsia="de-DE" w:bidi="en-US"/>
      <w14:ligatures w14:val="standardContextual"/>
    </w:rPr>
  </w:style>
  <w:style w:type="paragraph" w:customStyle="1" w:styleId="MDPI19line">
    <w:name w:val="MDPI_1.9_line"/>
    <w:qFormat/>
    <w:rsid w:val="00862DC6"/>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kern w:val="2"/>
      <w:szCs w:val="24"/>
      <w:lang w:eastAsia="de-DE" w:bidi="en-US"/>
      <w14:ligatures w14:val="standardContextual"/>
    </w:rPr>
  </w:style>
  <w:style w:type="table" w:customStyle="1" w:styleId="Mdeck5tablebodythreelines">
    <w:name w:val="M_deck_5_table_body_three_lines"/>
    <w:basedOn w:val="TableNormal"/>
    <w:uiPriority w:val="99"/>
    <w:rsid w:val="00D77B5F"/>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937EA2"/>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37EA2"/>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937EA2"/>
    <w:rPr>
      <w:rFonts w:ascii="Palatino Linotype" w:hAnsi="Palatino Linotype"/>
      <w:noProof/>
      <w:color w:val="000000"/>
      <w:szCs w:val="18"/>
    </w:rPr>
  </w:style>
  <w:style w:type="paragraph" w:styleId="Header">
    <w:name w:val="header"/>
    <w:basedOn w:val="Normal"/>
    <w:link w:val="HeaderChar"/>
    <w:uiPriority w:val="99"/>
    <w:rsid w:val="00937EA2"/>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937EA2"/>
    <w:rPr>
      <w:rFonts w:ascii="Palatino Linotype" w:hAnsi="Palatino Linotype"/>
      <w:noProof/>
      <w:color w:val="000000"/>
      <w:szCs w:val="18"/>
    </w:rPr>
  </w:style>
  <w:style w:type="paragraph" w:customStyle="1" w:styleId="MDPIheaderjournallogo">
    <w:name w:val="MDPI_header_journal_logo"/>
    <w:qFormat/>
    <w:rsid w:val="0050209E"/>
    <w:pPr>
      <w:adjustRightInd w:val="0"/>
      <w:snapToGrid w:val="0"/>
      <w:spacing w:line="260" w:lineRule="atLeast"/>
      <w:jc w:val="both"/>
    </w:pPr>
    <w:rPr>
      <w:rFonts w:ascii="Palatino Linotype" w:eastAsia="Times New Roman" w:hAnsi="Palatino Linotype"/>
      <w:i/>
      <w:color w:val="000000"/>
      <w:kern w:val="2"/>
      <w:sz w:val="24"/>
      <w:szCs w:val="22"/>
      <w:lang w:eastAsia="de-CH"/>
      <w14:ligatures w14:val="standardContextual"/>
    </w:rPr>
  </w:style>
  <w:style w:type="paragraph" w:customStyle="1" w:styleId="MDPI32textnoindent">
    <w:name w:val="MDPI_3.2_text_no_indent"/>
    <w:basedOn w:val="MDPI31text"/>
    <w:qFormat/>
    <w:rsid w:val="0050209E"/>
    <w:pPr>
      <w:ind w:firstLine="0"/>
    </w:pPr>
  </w:style>
  <w:style w:type="paragraph" w:customStyle="1" w:styleId="MDPI31text">
    <w:name w:val="MDPI_3.1_text"/>
    <w:qFormat/>
    <w:rsid w:val="0050209E"/>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3textspaceafter">
    <w:name w:val="MDPI_3.3_text_space_after"/>
    <w:qFormat/>
    <w:rsid w:val="0050209E"/>
    <w:pPr>
      <w:adjustRightInd w:val="0"/>
      <w:snapToGrid w:val="0"/>
      <w:spacing w:after="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5textbeforelist">
    <w:name w:val="MDPI_3.5_text_before_list"/>
    <w:qFormat/>
    <w:rsid w:val="0050209E"/>
    <w:pPr>
      <w:adjustRightInd w:val="0"/>
      <w:snapToGrid w:val="0"/>
      <w:spacing w:line="228" w:lineRule="auto"/>
      <w:ind w:left="2608" w:firstLine="425"/>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6textafterlist">
    <w:name w:val="MDPI_3.6_text_after_list"/>
    <w:qFormat/>
    <w:rsid w:val="0050209E"/>
    <w:pPr>
      <w:adjustRightInd w:val="0"/>
      <w:snapToGrid w:val="0"/>
      <w:spacing w:before="12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7itemize">
    <w:name w:val="MDPI_3.7_itemize"/>
    <w:qFormat/>
    <w:rsid w:val="0050209E"/>
    <w:pPr>
      <w:numPr>
        <w:numId w:val="27"/>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8bullet">
    <w:name w:val="MDPI_3.8_bullet"/>
    <w:qFormat/>
    <w:rsid w:val="0050209E"/>
    <w:pPr>
      <w:numPr>
        <w:numId w:val="28"/>
      </w:numPr>
      <w:adjustRightInd w:val="0"/>
      <w:snapToGrid w:val="0"/>
      <w:spacing w:line="228" w:lineRule="auto"/>
      <w:jc w:val="both"/>
    </w:pPr>
    <w:rPr>
      <w:rFonts w:ascii="Palatino Linotype" w:eastAsia="Times New Roman" w:hAnsi="Palatino Linotype"/>
      <w:color w:val="000000"/>
      <w:kern w:val="2"/>
      <w:szCs w:val="22"/>
      <w:lang w:eastAsia="de-DE" w:bidi="en-US"/>
      <w14:ligatures w14:val="standardContextual"/>
    </w:rPr>
  </w:style>
  <w:style w:type="paragraph" w:customStyle="1" w:styleId="MDPI39equation">
    <w:name w:val="MDPI_3.9_equation"/>
    <w:qFormat/>
    <w:rsid w:val="0050209E"/>
    <w:pPr>
      <w:adjustRightInd w:val="0"/>
      <w:snapToGrid w:val="0"/>
      <w:spacing w:before="120" w:after="120" w:line="260" w:lineRule="atLeast"/>
      <w:ind w:left="709"/>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3aequationnumber">
    <w:name w:val="MDPI_3.a_equation_number"/>
    <w:qFormat/>
    <w:rsid w:val="0050209E"/>
    <w:pPr>
      <w:spacing w:before="120" w:after="120"/>
      <w:jc w:val="right"/>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41tablecaption">
    <w:name w:val="MDPI_4.1_table_caption"/>
    <w:qFormat/>
    <w:rsid w:val="0050209E"/>
    <w:pPr>
      <w:adjustRightInd w:val="0"/>
      <w:snapToGrid w:val="0"/>
      <w:spacing w:before="240" w:after="120" w:line="228" w:lineRule="auto"/>
      <w:ind w:left="2608"/>
    </w:pPr>
    <w:rPr>
      <w:rFonts w:ascii="Palatino Linotype" w:eastAsia="Times New Roman" w:hAnsi="Palatino Linotype" w:cstheme="minorBidi"/>
      <w:color w:val="000000"/>
      <w:kern w:val="2"/>
      <w:sz w:val="18"/>
      <w:szCs w:val="22"/>
      <w:lang w:eastAsia="de-DE" w:bidi="en-US"/>
      <w14:ligatures w14:val="standardContextual"/>
    </w:rPr>
  </w:style>
  <w:style w:type="paragraph" w:customStyle="1" w:styleId="MDPI42tablebody">
    <w:name w:val="MDPI_4.2_table_body"/>
    <w:qFormat/>
    <w:rsid w:val="0050209E"/>
    <w:pPr>
      <w:adjustRightInd w:val="0"/>
      <w:snapToGrid w:val="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43tablefooter">
    <w:name w:val="MDPI_4.3_table_footer"/>
    <w:next w:val="MDPI31text"/>
    <w:qFormat/>
    <w:rsid w:val="0050209E"/>
    <w:pPr>
      <w:adjustRightInd w:val="0"/>
      <w:snapToGrid w:val="0"/>
      <w:spacing w:line="228" w:lineRule="auto"/>
      <w:ind w:left="2608"/>
    </w:pPr>
    <w:rPr>
      <w:rFonts w:ascii="Palatino Linotype" w:eastAsia="Times New Roman" w:hAnsi="Palatino Linotype" w:cs="Cordia New"/>
      <w:color w:val="000000"/>
      <w:kern w:val="2"/>
      <w:sz w:val="18"/>
      <w:szCs w:val="22"/>
      <w:lang w:eastAsia="de-DE" w:bidi="en-US"/>
      <w14:ligatures w14:val="standardContextual"/>
    </w:rPr>
  </w:style>
  <w:style w:type="paragraph" w:customStyle="1" w:styleId="MDPI51figurecaption">
    <w:name w:val="MDPI_5.1_figure_caption"/>
    <w:qFormat/>
    <w:rsid w:val="0050209E"/>
    <w:pPr>
      <w:adjustRightInd w:val="0"/>
      <w:snapToGrid w:val="0"/>
      <w:spacing w:before="120" w:after="240" w:line="228" w:lineRule="auto"/>
      <w:ind w:left="2608"/>
    </w:pPr>
    <w:rPr>
      <w:rFonts w:ascii="Palatino Linotype" w:eastAsia="Times New Roman" w:hAnsi="Palatino Linotype"/>
      <w:color w:val="000000"/>
      <w:kern w:val="2"/>
      <w:sz w:val="18"/>
      <w:lang w:eastAsia="de-DE" w:bidi="en-US"/>
      <w14:ligatures w14:val="standardContextual"/>
    </w:rPr>
  </w:style>
  <w:style w:type="paragraph" w:customStyle="1" w:styleId="MDPI52figure">
    <w:name w:val="MDPI_5.2_figure"/>
    <w:qFormat/>
    <w:rsid w:val="0050209E"/>
    <w:pPr>
      <w:adjustRightInd w:val="0"/>
      <w:snapToGrid w:val="0"/>
      <w:spacing w:before="240" w:after="120"/>
      <w:jc w:val="center"/>
    </w:pPr>
    <w:rPr>
      <w:rFonts w:ascii="Palatino Linotype" w:eastAsia="Times New Roman" w:hAnsi="Palatino Linotype"/>
      <w:snapToGrid w:val="0"/>
      <w:color w:val="000000"/>
      <w:kern w:val="2"/>
      <w:lang w:eastAsia="de-DE" w:bidi="en-US"/>
      <w14:ligatures w14:val="standardContextual"/>
    </w:rPr>
  </w:style>
  <w:style w:type="paragraph" w:customStyle="1" w:styleId="MDPI23heading3">
    <w:name w:val="MDPI_2.3_heading3"/>
    <w:qFormat/>
    <w:rsid w:val="0050209E"/>
    <w:pPr>
      <w:adjustRightInd w:val="0"/>
      <w:snapToGrid w:val="0"/>
      <w:spacing w:before="60" w:after="60" w:line="228" w:lineRule="auto"/>
      <w:ind w:left="2608"/>
      <w:outlineLvl w:val="2"/>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21heading1">
    <w:name w:val="MDPI_2.1_heading1"/>
    <w:qFormat/>
    <w:rsid w:val="0050209E"/>
    <w:pPr>
      <w:adjustRightInd w:val="0"/>
      <w:snapToGrid w:val="0"/>
      <w:spacing w:before="240" w:after="60" w:line="228" w:lineRule="auto"/>
      <w:ind w:left="2608"/>
      <w:outlineLvl w:val="0"/>
    </w:pPr>
    <w:rPr>
      <w:rFonts w:ascii="Palatino Linotype" w:eastAsia="Times New Roman" w:hAnsi="Palatino Linotype"/>
      <w:b/>
      <w:snapToGrid w:val="0"/>
      <w:color w:val="000000"/>
      <w:kern w:val="2"/>
      <w:szCs w:val="22"/>
      <w:lang w:eastAsia="de-DE" w:bidi="en-US"/>
      <w14:ligatures w14:val="standardContextual"/>
    </w:rPr>
  </w:style>
  <w:style w:type="paragraph" w:customStyle="1" w:styleId="MDPI22heading2">
    <w:name w:val="MDPI_2.2_heading2"/>
    <w:qFormat/>
    <w:rsid w:val="0050209E"/>
    <w:pPr>
      <w:adjustRightInd w:val="0"/>
      <w:snapToGrid w:val="0"/>
      <w:spacing w:before="60" w:after="60" w:line="228" w:lineRule="auto"/>
      <w:ind w:left="2608"/>
      <w:outlineLvl w:val="1"/>
    </w:pPr>
    <w:rPr>
      <w:rFonts w:ascii="Palatino Linotype" w:eastAsia="Times New Roman" w:hAnsi="Palatino Linotype"/>
      <w:i/>
      <w:noProof/>
      <w:snapToGrid w:val="0"/>
      <w:color w:val="000000"/>
      <w:kern w:val="2"/>
      <w:szCs w:val="22"/>
      <w:lang w:eastAsia="de-DE" w:bidi="en-US"/>
      <w14:ligatures w14:val="standardContextual"/>
    </w:rPr>
  </w:style>
  <w:style w:type="paragraph" w:customStyle="1" w:styleId="MDPI71References">
    <w:name w:val="MDPI_7.1_References"/>
    <w:qFormat/>
    <w:rsid w:val="0050209E"/>
    <w:pPr>
      <w:numPr>
        <w:numId w:val="30"/>
      </w:numPr>
      <w:adjustRightInd w:val="0"/>
      <w:snapToGrid w:val="0"/>
      <w:spacing w:line="228" w:lineRule="auto"/>
      <w:jc w:val="both"/>
    </w:pPr>
    <w:rPr>
      <w:rFonts w:ascii="Palatino Linotype" w:eastAsia="Times New Roman" w:hAnsi="Palatino Linotype"/>
      <w:color w:val="000000"/>
      <w:kern w:val="2"/>
      <w:sz w:val="18"/>
      <w:lang w:eastAsia="de-DE" w:bidi="en-US"/>
      <w14:ligatures w14:val="standardContextual"/>
    </w:rPr>
  </w:style>
  <w:style w:type="paragraph" w:styleId="BalloonText">
    <w:name w:val="Balloon Text"/>
    <w:basedOn w:val="Normal"/>
    <w:link w:val="BalloonTextChar"/>
    <w:uiPriority w:val="99"/>
    <w:rsid w:val="00937EA2"/>
    <w:rPr>
      <w:rFonts w:cs="Tahoma"/>
      <w:szCs w:val="18"/>
    </w:rPr>
  </w:style>
  <w:style w:type="character" w:customStyle="1" w:styleId="BalloonTextChar">
    <w:name w:val="Balloon Text Char"/>
    <w:link w:val="BalloonText"/>
    <w:uiPriority w:val="99"/>
    <w:rsid w:val="00937EA2"/>
    <w:rPr>
      <w:rFonts w:ascii="Palatino Linotype" w:hAnsi="Palatino Linotype" w:cs="Tahoma"/>
      <w:noProof/>
      <w:color w:val="000000"/>
      <w:szCs w:val="18"/>
    </w:rPr>
  </w:style>
  <w:style w:type="character" w:styleId="LineNumber">
    <w:name w:val="line number"/>
    <w:uiPriority w:val="99"/>
    <w:rsid w:val="000779E3"/>
    <w:rPr>
      <w:rFonts w:ascii="Palatino Linotype" w:hAnsi="Palatino Linotype"/>
      <w:sz w:val="16"/>
    </w:rPr>
  </w:style>
  <w:style w:type="table" w:customStyle="1" w:styleId="MDPI41threelinetable">
    <w:name w:val="MDPI_4.1_three_line_table"/>
    <w:basedOn w:val="TableNormal"/>
    <w:uiPriority w:val="99"/>
    <w:rsid w:val="0050209E"/>
    <w:pPr>
      <w:adjustRightInd w:val="0"/>
      <w:snapToGrid w:val="0"/>
      <w:jc w:val="center"/>
    </w:pPr>
    <w:rPr>
      <w:rFonts w:ascii="Palatino Linotype" w:eastAsiaTheme="minorHAnsi" w:hAnsi="Palatino Linotype"/>
      <w:color w:val="000000"/>
      <w:kern w:val="2"/>
      <w:lang w:eastAsia="en-US"/>
      <w14:ligatures w14:val="standardContextual"/>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937EA2"/>
    <w:rPr>
      <w:color w:val="0000FF"/>
      <w:u w:val="single"/>
    </w:rPr>
  </w:style>
  <w:style w:type="character" w:styleId="UnresolvedMention">
    <w:name w:val="Unresolved Mention"/>
    <w:uiPriority w:val="99"/>
    <w:semiHidden/>
    <w:unhideWhenUsed/>
    <w:rsid w:val="007907E9"/>
    <w:rPr>
      <w:color w:val="605E5C"/>
      <w:shd w:val="clear" w:color="auto" w:fill="E1DFDD"/>
    </w:rPr>
  </w:style>
  <w:style w:type="table" w:styleId="PlainTable4">
    <w:name w:val="Plain Table 4"/>
    <w:basedOn w:val="TableNormal"/>
    <w:uiPriority w:val="44"/>
    <w:rsid w:val="0081267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50209E"/>
    <w:pPr>
      <w:adjustRightInd w:val="0"/>
      <w:snapToGrid w:val="0"/>
      <w:spacing w:before="240"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81theorem">
    <w:name w:val="MDPI_8.1_theorem"/>
    <w:qFormat/>
    <w:rsid w:val="0050209E"/>
    <w:pPr>
      <w:adjustRightInd w:val="0"/>
      <w:snapToGrid w:val="0"/>
      <w:spacing w:line="228" w:lineRule="auto"/>
      <w:ind w:left="2608"/>
      <w:jc w:val="both"/>
    </w:pPr>
    <w:rPr>
      <w:rFonts w:ascii="Palatino Linotype" w:eastAsia="Times New Roman" w:hAnsi="Palatino Linotype"/>
      <w:i/>
      <w:snapToGrid w:val="0"/>
      <w:color w:val="000000"/>
      <w:kern w:val="2"/>
      <w:szCs w:val="22"/>
      <w:lang w:eastAsia="de-DE" w:bidi="en-US"/>
      <w14:ligatures w14:val="standardContextual"/>
    </w:rPr>
  </w:style>
  <w:style w:type="paragraph" w:customStyle="1" w:styleId="MDPI82proof">
    <w:name w:val="MDPI_8.2_proof"/>
    <w:qFormat/>
    <w:rsid w:val="0050209E"/>
    <w:pPr>
      <w:adjustRightInd w:val="0"/>
      <w:snapToGrid w:val="0"/>
      <w:spacing w:line="228" w:lineRule="auto"/>
      <w:ind w:left="2608"/>
      <w:jc w:val="both"/>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61Citation">
    <w:name w:val="MDPI_6.1_Citation"/>
    <w:qFormat/>
    <w:rsid w:val="0050209E"/>
    <w:pPr>
      <w:adjustRightInd w:val="0"/>
      <w:snapToGrid w:val="0"/>
      <w:spacing w:line="240" w:lineRule="atLeast"/>
      <w:ind w:right="113"/>
    </w:pPr>
    <w:rPr>
      <w:rFonts w:ascii="Palatino Linotype" w:hAnsi="Palatino Linotype" w:cs="Cordia New"/>
      <w:kern w:val="2"/>
      <w:sz w:val="14"/>
      <w:szCs w:val="22"/>
      <w:lang w:eastAsia="en-US"/>
      <w14:ligatures w14:val="standardContextual"/>
    </w:rPr>
  </w:style>
  <w:style w:type="paragraph" w:customStyle="1" w:styleId="MDPI62BackMatter">
    <w:name w:val="MDPI_6.2_BackMatter"/>
    <w:qFormat/>
    <w:rsid w:val="0050209E"/>
    <w:pPr>
      <w:adjustRightInd w:val="0"/>
      <w:snapToGrid w:val="0"/>
      <w:spacing w:after="120" w:line="228" w:lineRule="auto"/>
      <w:ind w:left="2608"/>
      <w:jc w:val="both"/>
    </w:pPr>
    <w:rPr>
      <w:rFonts w:ascii="Palatino Linotype" w:eastAsia="Times New Roman" w:hAnsi="Palatino Linotype"/>
      <w:snapToGrid w:val="0"/>
      <w:color w:val="000000"/>
      <w:kern w:val="2"/>
      <w:sz w:val="18"/>
      <w:lang w:eastAsia="en-US" w:bidi="en-US"/>
      <w14:ligatures w14:val="standardContextual"/>
    </w:rPr>
  </w:style>
  <w:style w:type="paragraph" w:customStyle="1" w:styleId="MDPI63Notes">
    <w:name w:val="MDPI_6.3_Notes"/>
    <w:qFormat/>
    <w:rsid w:val="0050209E"/>
    <w:pPr>
      <w:adjustRightInd w:val="0"/>
      <w:snapToGrid w:val="0"/>
      <w:spacing w:after="120" w:line="240" w:lineRule="atLeast"/>
      <w:ind w:right="113"/>
    </w:pPr>
    <w:rPr>
      <w:rFonts w:ascii="Palatino Linotype" w:hAnsi="Palatino Linotype"/>
      <w:snapToGrid w:val="0"/>
      <w:color w:val="000000"/>
      <w:kern w:val="2"/>
      <w:sz w:val="14"/>
      <w:lang w:eastAsia="en-US" w:bidi="en-US"/>
      <w14:ligatures w14:val="standardContextual"/>
    </w:rPr>
  </w:style>
  <w:style w:type="paragraph" w:customStyle="1" w:styleId="MDPI15academiceditor">
    <w:name w:val="MDPI_1.5_academic_editor"/>
    <w:qFormat/>
    <w:rsid w:val="0050209E"/>
    <w:pPr>
      <w:adjustRightInd w:val="0"/>
      <w:snapToGrid w:val="0"/>
      <w:spacing w:before="120" w:line="240" w:lineRule="atLeast"/>
      <w:ind w:right="113"/>
    </w:pPr>
    <w:rPr>
      <w:rFonts w:ascii="Palatino Linotype" w:eastAsia="Times New Roman" w:hAnsi="Palatino Linotype"/>
      <w:color w:val="000000"/>
      <w:kern w:val="2"/>
      <w:sz w:val="14"/>
      <w:szCs w:val="22"/>
      <w:lang w:eastAsia="de-DE" w:bidi="en-US"/>
      <w14:ligatures w14:val="standardContextual"/>
    </w:rPr>
  </w:style>
  <w:style w:type="paragraph" w:customStyle="1" w:styleId="MDPI19classification">
    <w:name w:val="MDPI_1.9_classification"/>
    <w:qFormat/>
    <w:rsid w:val="0050209E"/>
    <w:pPr>
      <w:spacing w:before="240" w:line="260" w:lineRule="atLeast"/>
      <w:ind w:left="113"/>
      <w:jc w:val="both"/>
    </w:pPr>
    <w:rPr>
      <w:rFonts w:ascii="Palatino Linotype" w:eastAsia="Times New Roman" w:hAnsi="Palatino Linotype"/>
      <w:b/>
      <w:color w:val="000000"/>
      <w:kern w:val="2"/>
      <w:szCs w:val="22"/>
      <w:lang w:eastAsia="de-DE" w:bidi="en-US"/>
      <w14:ligatures w14:val="standardContextual"/>
    </w:rPr>
  </w:style>
  <w:style w:type="paragraph" w:customStyle="1" w:styleId="MDPI411onetablecaption">
    <w:name w:val="MDPI_4.1.1_one_table_caption"/>
    <w:qFormat/>
    <w:rsid w:val="0050209E"/>
    <w:pPr>
      <w:adjustRightInd w:val="0"/>
      <w:snapToGrid w:val="0"/>
      <w:spacing w:before="240" w:after="120" w:line="260" w:lineRule="atLeast"/>
      <w:jc w:val="center"/>
    </w:pPr>
    <w:rPr>
      <w:rFonts w:ascii="Palatino Linotype" w:eastAsiaTheme="minorHAnsi" w:hAnsi="Palatino Linotype" w:cstheme="minorBidi"/>
      <w:noProof/>
      <w:color w:val="000000"/>
      <w:kern w:val="2"/>
      <w:sz w:val="18"/>
      <w:szCs w:val="22"/>
      <w:lang w:eastAsia="en-US" w:bidi="en-US"/>
      <w14:ligatures w14:val="standardContextual"/>
    </w:rPr>
  </w:style>
  <w:style w:type="paragraph" w:customStyle="1" w:styleId="MDPI511onefigurecaption">
    <w:name w:val="MDPI_5.1.1_one_figure_caption"/>
    <w:qFormat/>
    <w:rsid w:val="0050209E"/>
    <w:pPr>
      <w:adjustRightInd w:val="0"/>
      <w:snapToGrid w:val="0"/>
      <w:spacing w:before="240" w:after="120" w:line="260" w:lineRule="atLeast"/>
      <w:jc w:val="center"/>
    </w:pPr>
    <w:rPr>
      <w:rFonts w:ascii="Palatino Linotype" w:eastAsiaTheme="minorHAnsi" w:hAnsi="Palatino Linotype"/>
      <w:noProof/>
      <w:color w:val="000000"/>
      <w:kern w:val="2"/>
      <w:sz w:val="18"/>
      <w:lang w:eastAsia="en-US" w:bidi="en-US"/>
      <w14:ligatures w14:val="standardContextual"/>
    </w:rPr>
  </w:style>
  <w:style w:type="paragraph" w:customStyle="1" w:styleId="MDPI72Copyright">
    <w:name w:val="MDPI_7.2_Copyright"/>
    <w:qFormat/>
    <w:rsid w:val="0050209E"/>
    <w:pPr>
      <w:adjustRightInd w:val="0"/>
      <w:snapToGrid w:val="0"/>
      <w:spacing w:before="240" w:line="240" w:lineRule="atLeast"/>
      <w:ind w:right="113"/>
    </w:pPr>
    <w:rPr>
      <w:rFonts w:ascii="Palatino Linotype" w:eastAsia="Times New Roman" w:hAnsi="Palatino Linotype"/>
      <w:noProof/>
      <w:snapToGrid w:val="0"/>
      <w:color w:val="000000"/>
      <w:spacing w:val="-2"/>
      <w:kern w:val="2"/>
      <w:sz w:val="14"/>
      <w:lang w:val="en-GB" w:eastAsia="en-GB"/>
      <w14:ligatures w14:val="standardContextual"/>
    </w:rPr>
  </w:style>
  <w:style w:type="paragraph" w:customStyle="1" w:styleId="MDPI73CopyrightImage">
    <w:name w:val="MDPI_7.3_CopyrightImage"/>
    <w:rsid w:val="0050209E"/>
    <w:pPr>
      <w:adjustRightInd w:val="0"/>
      <w:snapToGrid w:val="0"/>
      <w:spacing w:after="100" w:line="260" w:lineRule="atLeast"/>
      <w:jc w:val="right"/>
    </w:pPr>
    <w:rPr>
      <w:rFonts w:ascii="Palatino Linotype" w:eastAsia="Times New Roman" w:hAnsi="Palatino Linotype"/>
      <w:color w:val="000000"/>
      <w:kern w:val="2"/>
      <w:lang w:eastAsia="de-CH"/>
      <w14:ligatures w14:val="standardContextual"/>
    </w:rPr>
  </w:style>
  <w:style w:type="paragraph" w:customStyle="1" w:styleId="MDPIequationFram">
    <w:name w:val="MDPI_equationFram"/>
    <w:qFormat/>
    <w:rsid w:val="0050209E"/>
    <w:pPr>
      <w:adjustRightInd w:val="0"/>
      <w:snapToGrid w:val="0"/>
      <w:spacing w:before="120" w:after="120"/>
      <w:jc w:val="center"/>
    </w:pPr>
    <w:rPr>
      <w:rFonts w:ascii="Palatino Linotype" w:eastAsia="Times New Roman" w:hAnsi="Palatino Linotype"/>
      <w:snapToGrid w:val="0"/>
      <w:color w:val="000000"/>
      <w:kern w:val="2"/>
      <w:szCs w:val="22"/>
      <w:lang w:eastAsia="de-DE" w:bidi="en-US"/>
      <w14:ligatures w14:val="standardContextual"/>
    </w:rPr>
  </w:style>
  <w:style w:type="paragraph" w:customStyle="1" w:styleId="MDPIfooter">
    <w:name w:val="MDPI_footer"/>
    <w:qFormat/>
    <w:rsid w:val="0050209E"/>
    <w:pPr>
      <w:adjustRightInd w:val="0"/>
      <w:snapToGrid w:val="0"/>
      <w:spacing w:before="120" w:line="260" w:lineRule="atLeast"/>
      <w:jc w:val="center"/>
    </w:pPr>
    <w:rPr>
      <w:rFonts w:ascii="Palatino Linotype" w:eastAsia="Times New Roman" w:hAnsi="Palatino Linotype"/>
      <w:color w:val="000000"/>
      <w:kern w:val="2"/>
      <w:lang w:eastAsia="de-DE"/>
      <w14:ligatures w14:val="standardContextual"/>
    </w:rPr>
  </w:style>
  <w:style w:type="paragraph" w:customStyle="1" w:styleId="MDPIfooterfirstpage">
    <w:name w:val="MDPI_footer_firstpage"/>
    <w:qFormat/>
    <w:rsid w:val="0050209E"/>
    <w:pPr>
      <w:tabs>
        <w:tab w:val="right" w:pos="8845"/>
      </w:tabs>
      <w:spacing w:line="160" w:lineRule="exact"/>
    </w:pPr>
    <w:rPr>
      <w:rFonts w:ascii="Palatino Linotype" w:eastAsia="Times New Roman" w:hAnsi="Palatino Linotype"/>
      <w:color w:val="000000"/>
      <w:kern w:val="2"/>
      <w:sz w:val="16"/>
      <w:lang w:eastAsia="de-DE"/>
      <w14:ligatures w14:val="standardContextual"/>
    </w:rPr>
  </w:style>
  <w:style w:type="paragraph" w:customStyle="1" w:styleId="MDPIheader">
    <w:name w:val="MDPI_header"/>
    <w:qFormat/>
    <w:rsid w:val="0050209E"/>
    <w:pPr>
      <w:adjustRightInd w:val="0"/>
      <w:snapToGrid w:val="0"/>
      <w:spacing w:after="240" w:line="260" w:lineRule="atLeast"/>
      <w:jc w:val="both"/>
    </w:pPr>
    <w:rPr>
      <w:rFonts w:ascii="Palatino Linotype" w:eastAsia="Times New Roman" w:hAnsi="Palatino Linotype"/>
      <w:iCs/>
      <w:color w:val="000000"/>
      <w:kern w:val="2"/>
      <w:sz w:val="16"/>
      <w:lang w:eastAsia="de-DE"/>
      <w14:ligatures w14:val="standardContextual"/>
    </w:rPr>
  </w:style>
  <w:style w:type="paragraph" w:customStyle="1" w:styleId="MDPIheadercitation">
    <w:name w:val="MDPI_header_citation"/>
    <w:rsid w:val="0050209E"/>
    <w:pPr>
      <w:spacing w:after="240"/>
    </w:pPr>
    <w:rPr>
      <w:rFonts w:ascii="Palatino Linotype" w:eastAsia="Times New Roman" w:hAnsi="Palatino Linotype"/>
      <w:snapToGrid w:val="0"/>
      <w:color w:val="000000"/>
      <w:kern w:val="2"/>
      <w:sz w:val="18"/>
      <w:lang w:eastAsia="de-DE" w:bidi="en-US"/>
      <w14:ligatures w14:val="standardContextual"/>
    </w:rPr>
  </w:style>
  <w:style w:type="paragraph" w:customStyle="1" w:styleId="MDPIheadermdpilogo">
    <w:name w:val="MDPI_header_mdpi_logo"/>
    <w:qFormat/>
    <w:rsid w:val="0050209E"/>
    <w:pPr>
      <w:adjustRightInd w:val="0"/>
      <w:snapToGrid w:val="0"/>
      <w:spacing w:line="260" w:lineRule="atLeast"/>
      <w:jc w:val="right"/>
    </w:pPr>
    <w:rPr>
      <w:rFonts w:ascii="Palatino Linotype" w:eastAsia="Times New Roman" w:hAnsi="Palatino Linotype"/>
      <w:color w:val="000000"/>
      <w:kern w:val="2"/>
      <w:sz w:val="24"/>
      <w:szCs w:val="22"/>
      <w:lang w:eastAsia="de-CH"/>
      <w14:ligatures w14:val="standardContextual"/>
    </w:rPr>
  </w:style>
  <w:style w:type="table" w:customStyle="1" w:styleId="MDPITable">
    <w:name w:val="MDPI_Table"/>
    <w:basedOn w:val="TableNormal"/>
    <w:uiPriority w:val="99"/>
    <w:rsid w:val="0050209E"/>
    <w:rPr>
      <w:rFonts w:ascii="Palatino Linotype" w:hAnsi="Palatino Linotype"/>
      <w:color w:val="000000" w:themeColor="text1"/>
      <w:kern w:val="2"/>
      <w:lang w:val="en-CA" w:eastAsia="en-US"/>
      <w14:ligatures w14:val="standardContextual"/>
    </w:rPr>
    <w:tblPr>
      <w:tblCellMar>
        <w:left w:w="0" w:type="dxa"/>
        <w:right w:w="0" w:type="dxa"/>
      </w:tblCellMar>
    </w:tblPr>
  </w:style>
  <w:style w:type="paragraph" w:customStyle="1" w:styleId="MDPItext">
    <w:name w:val="MDPI_text"/>
    <w:qFormat/>
    <w:rsid w:val="0050209E"/>
    <w:pPr>
      <w:spacing w:line="260" w:lineRule="atLeast"/>
      <w:ind w:left="425" w:right="425" w:firstLine="284"/>
      <w:jc w:val="both"/>
    </w:pPr>
    <w:rPr>
      <w:rFonts w:ascii="Times New Roman" w:eastAsia="Times New Roman" w:hAnsi="Times New Roman"/>
      <w:noProof/>
      <w:snapToGrid w:val="0"/>
      <w:color w:val="000000"/>
      <w:kern w:val="2"/>
      <w:sz w:val="22"/>
      <w:szCs w:val="22"/>
      <w:lang w:eastAsia="de-DE" w:bidi="en-US"/>
      <w14:ligatures w14:val="standardContextual"/>
    </w:rPr>
  </w:style>
  <w:style w:type="paragraph" w:customStyle="1" w:styleId="MDPItitle">
    <w:name w:val="MDPI_title"/>
    <w:qFormat/>
    <w:rsid w:val="0050209E"/>
    <w:pPr>
      <w:adjustRightInd w:val="0"/>
      <w:snapToGrid w:val="0"/>
      <w:spacing w:after="240" w:line="260" w:lineRule="atLeast"/>
      <w:jc w:val="both"/>
    </w:pPr>
    <w:rPr>
      <w:rFonts w:ascii="Palatino Linotype" w:eastAsia="Times New Roman" w:hAnsi="Palatino Linotype"/>
      <w:b/>
      <w:snapToGrid w:val="0"/>
      <w:color w:val="000000"/>
      <w:kern w:val="2"/>
      <w:sz w:val="36"/>
      <w:lang w:eastAsia="de-DE" w:bidi="en-US"/>
      <w14:ligatures w14:val="standardContextual"/>
    </w:rPr>
  </w:style>
  <w:style w:type="character" w:customStyle="1" w:styleId="apple-converted-space">
    <w:name w:val="apple-converted-space"/>
    <w:rsid w:val="00937EA2"/>
  </w:style>
  <w:style w:type="paragraph" w:styleId="Bibliography">
    <w:name w:val="Bibliography"/>
    <w:basedOn w:val="Normal"/>
    <w:next w:val="Normal"/>
    <w:uiPriority w:val="37"/>
    <w:semiHidden/>
    <w:unhideWhenUsed/>
    <w:rsid w:val="00937EA2"/>
  </w:style>
  <w:style w:type="paragraph" w:styleId="BodyText">
    <w:name w:val="Body Text"/>
    <w:link w:val="BodyTextChar"/>
    <w:rsid w:val="00937EA2"/>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937EA2"/>
    <w:rPr>
      <w:rFonts w:ascii="Palatino Linotype" w:hAnsi="Palatino Linotype"/>
      <w:color w:val="000000"/>
      <w:sz w:val="24"/>
      <w:lang w:eastAsia="de-DE"/>
    </w:rPr>
  </w:style>
  <w:style w:type="character" w:styleId="CommentReference">
    <w:name w:val="annotation reference"/>
    <w:rsid w:val="00937EA2"/>
    <w:rPr>
      <w:sz w:val="21"/>
      <w:szCs w:val="21"/>
    </w:rPr>
  </w:style>
  <w:style w:type="paragraph" w:styleId="CommentText">
    <w:name w:val="annotation text"/>
    <w:basedOn w:val="Normal"/>
    <w:link w:val="CommentTextChar"/>
    <w:rsid w:val="00937EA2"/>
  </w:style>
  <w:style w:type="character" w:customStyle="1" w:styleId="CommentTextChar">
    <w:name w:val="Comment Text Char"/>
    <w:link w:val="CommentText"/>
    <w:rsid w:val="00937EA2"/>
    <w:rPr>
      <w:rFonts w:ascii="Palatino Linotype" w:hAnsi="Palatino Linotype"/>
      <w:noProof/>
      <w:color w:val="000000"/>
    </w:rPr>
  </w:style>
  <w:style w:type="paragraph" w:styleId="CommentSubject">
    <w:name w:val="annotation subject"/>
    <w:basedOn w:val="CommentText"/>
    <w:next w:val="CommentText"/>
    <w:link w:val="CommentSubjectChar"/>
    <w:rsid w:val="00937EA2"/>
    <w:rPr>
      <w:b/>
      <w:bCs/>
    </w:rPr>
  </w:style>
  <w:style w:type="character" w:customStyle="1" w:styleId="CommentSubjectChar">
    <w:name w:val="Comment Subject Char"/>
    <w:link w:val="CommentSubject"/>
    <w:rsid w:val="00937EA2"/>
    <w:rPr>
      <w:rFonts w:ascii="Palatino Linotype" w:hAnsi="Palatino Linotype"/>
      <w:b/>
      <w:bCs/>
      <w:noProof/>
      <w:color w:val="000000"/>
    </w:rPr>
  </w:style>
  <w:style w:type="character" w:styleId="EndnoteReference">
    <w:name w:val="endnote reference"/>
    <w:rsid w:val="00937EA2"/>
    <w:rPr>
      <w:vertAlign w:val="superscript"/>
    </w:rPr>
  </w:style>
  <w:style w:type="paragraph" w:styleId="EndnoteText">
    <w:name w:val="endnote text"/>
    <w:basedOn w:val="Normal"/>
    <w:link w:val="EndnoteTextChar"/>
    <w:semiHidden/>
    <w:unhideWhenUsed/>
    <w:rsid w:val="00937EA2"/>
    <w:pPr>
      <w:spacing w:line="240" w:lineRule="auto"/>
    </w:pPr>
  </w:style>
  <w:style w:type="character" w:customStyle="1" w:styleId="EndnoteTextChar">
    <w:name w:val="Endnote Text Char"/>
    <w:link w:val="EndnoteText"/>
    <w:semiHidden/>
    <w:rsid w:val="00937EA2"/>
    <w:rPr>
      <w:rFonts w:ascii="Palatino Linotype" w:hAnsi="Palatino Linotype"/>
      <w:noProof/>
      <w:color w:val="000000"/>
    </w:rPr>
  </w:style>
  <w:style w:type="character" w:styleId="FollowedHyperlink">
    <w:name w:val="FollowedHyperlink"/>
    <w:rsid w:val="00937EA2"/>
    <w:rPr>
      <w:color w:val="954F72"/>
      <w:u w:val="single"/>
    </w:rPr>
  </w:style>
  <w:style w:type="paragraph" w:styleId="FootnoteText">
    <w:name w:val="footnote text"/>
    <w:basedOn w:val="Normal"/>
    <w:link w:val="FootnoteTextChar"/>
    <w:semiHidden/>
    <w:unhideWhenUsed/>
    <w:rsid w:val="00937EA2"/>
    <w:pPr>
      <w:spacing w:line="240" w:lineRule="auto"/>
    </w:pPr>
  </w:style>
  <w:style w:type="character" w:customStyle="1" w:styleId="FootnoteTextChar">
    <w:name w:val="Footnote Text Char"/>
    <w:link w:val="FootnoteText"/>
    <w:semiHidden/>
    <w:rsid w:val="00937EA2"/>
    <w:rPr>
      <w:rFonts w:ascii="Palatino Linotype" w:hAnsi="Palatino Linotype"/>
      <w:noProof/>
      <w:color w:val="000000"/>
    </w:rPr>
  </w:style>
  <w:style w:type="paragraph" w:styleId="NormalWeb">
    <w:name w:val="Normal (Web)"/>
    <w:basedOn w:val="Normal"/>
    <w:uiPriority w:val="99"/>
    <w:rsid w:val="00937EA2"/>
    <w:rPr>
      <w:szCs w:val="24"/>
    </w:rPr>
  </w:style>
  <w:style w:type="paragraph" w:customStyle="1" w:styleId="MsoFootnoteText0">
    <w:name w:val="MsoFootnoteText"/>
    <w:basedOn w:val="NormalWeb"/>
    <w:qFormat/>
    <w:rsid w:val="00937EA2"/>
    <w:rPr>
      <w:rFonts w:ascii="Times New Roman" w:hAnsi="Times New Roman"/>
    </w:rPr>
  </w:style>
  <w:style w:type="character" w:styleId="PageNumber">
    <w:name w:val="page number"/>
    <w:rsid w:val="00937EA2"/>
  </w:style>
  <w:style w:type="character" w:styleId="PlaceholderText">
    <w:name w:val="Placeholder Text"/>
    <w:uiPriority w:val="99"/>
    <w:semiHidden/>
    <w:rsid w:val="00937EA2"/>
    <w:rPr>
      <w:color w:val="808080"/>
    </w:rPr>
  </w:style>
  <w:style w:type="paragraph" w:customStyle="1" w:styleId="MDPI71FootNotes">
    <w:name w:val="MDPI_7.1_FootNotes"/>
    <w:qFormat/>
    <w:rsid w:val="0050209E"/>
    <w:pPr>
      <w:numPr>
        <w:numId w:val="31"/>
      </w:numPr>
      <w:adjustRightInd w:val="0"/>
      <w:snapToGrid w:val="0"/>
      <w:spacing w:line="228" w:lineRule="auto"/>
    </w:pPr>
    <w:rPr>
      <w:rFonts w:ascii="Palatino Linotype" w:eastAsiaTheme="minorHAnsi" w:hAnsi="Palatino Linotype"/>
      <w:noProof/>
      <w:color w:val="000000"/>
      <w:kern w:val="2"/>
      <w:sz w:val="18"/>
      <w:lang w:eastAsia="en-US"/>
      <w14:ligatures w14:val="standardContextual"/>
    </w:rPr>
  </w:style>
  <w:style w:type="character" w:customStyle="1" w:styleId="Heading2Char">
    <w:name w:val="Heading 2 Char"/>
    <w:basedOn w:val="DefaultParagraphFont"/>
    <w:link w:val="Heading2"/>
    <w:uiPriority w:val="9"/>
    <w:rsid w:val="00310F2C"/>
    <w:rPr>
      <w:rFonts w:ascii="Times New Roman" w:eastAsia="Times New Roman" w:hAnsi="Times New Roman"/>
      <w:b/>
      <w:bCs/>
      <w:sz w:val="36"/>
      <w:szCs w:val="36"/>
      <w:lang w:val="en-GB" w:eastAsia="en-GB"/>
    </w:rPr>
  </w:style>
  <w:style w:type="paragraph" w:styleId="ListParagraph">
    <w:name w:val="List Paragraph"/>
    <w:basedOn w:val="Normal"/>
    <w:uiPriority w:val="34"/>
    <w:qFormat/>
    <w:rsid w:val="00310F2C"/>
    <w:pPr>
      <w:ind w:left="720"/>
      <w:contextualSpacing/>
    </w:pPr>
    <w:rPr>
      <w:rFonts w:eastAsiaTheme="minorEastAsia"/>
    </w:rPr>
  </w:style>
  <w:style w:type="paragraph" w:customStyle="1" w:styleId="pf0">
    <w:name w:val="pf0"/>
    <w:basedOn w:val="Normal"/>
    <w:rsid w:val="00310F2C"/>
    <w:pPr>
      <w:spacing w:before="100" w:beforeAutospacing="1" w:after="100" w:afterAutospacing="1" w:line="240" w:lineRule="auto"/>
      <w:jc w:val="left"/>
    </w:pPr>
    <w:rPr>
      <w:rFonts w:ascii="Times New Roman" w:eastAsia="Times New Roman" w:hAnsi="Times New Roman"/>
      <w:noProof w:val="0"/>
      <w:color w:val="auto"/>
      <w:sz w:val="24"/>
      <w:szCs w:val="24"/>
      <w:lang w:val="en-GB" w:eastAsia="en-GB"/>
    </w:rPr>
  </w:style>
  <w:style w:type="character" w:customStyle="1" w:styleId="cf01">
    <w:name w:val="cf01"/>
    <w:basedOn w:val="DefaultParagraphFont"/>
    <w:rsid w:val="00310F2C"/>
    <w:rPr>
      <w:rFonts w:ascii="Segoe UI" w:hAnsi="Segoe UI" w:cs="Segoe UI" w:hint="default"/>
      <w:sz w:val="18"/>
      <w:szCs w:val="18"/>
    </w:rPr>
  </w:style>
  <w:style w:type="character" w:styleId="Emphasis">
    <w:name w:val="Emphasis"/>
    <w:basedOn w:val="DefaultParagraphFont"/>
    <w:uiPriority w:val="20"/>
    <w:qFormat/>
    <w:rsid w:val="00310F2C"/>
    <w:rPr>
      <w:i/>
      <w:iCs/>
    </w:rPr>
  </w:style>
  <w:style w:type="paragraph" w:customStyle="1" w:styleId="c-bibliographic-informationcitation">
    <w:name w:val="c-bibliographic-information__citation"/>
    <w:basedOn w:val="Normal"/>
    <w:rsid w:val="00310F2C"/>
    <w:pPr>
      <w:spacing w:before="100" w:beforeAutospacing="1" w:after="100" w:afterAutospacing="1" w:line="240" w:lineRule="auto"/>
      <w:jc w:val="left"/>
    </w:pPr>
    <w:rPr>
      <w:rFonts w:ascii="Times New Roman" w:eastAsia="Times New Roman" w:hAnsi="Times New Roman"/>
      <w:noProof w:val="0"/>
      <w:color w:val="auto"/>
      <w:sz w:val="24"/>
      <w:szCs w:val="24"/>
      <w:lang w:val="en-GB" w:eastAsia="en-GB"/>
    </w:rPr>
  </w:style>
  <w:style w:type="paragraph" w:styleId="Revision">
    <w:name w:val="Revision"/>
    <w:hidden/>
    <w:uiPriority w:val="99"/>
    <w:semiHidden/>
    <w:rsid w:val="00310F2C"/>
    <w:rPr>
      <w:rFonts w:ascii="Palatino Linotype" w:eastAsiaTheme="minorEastAsia" w:hAnsi="Palatino Linotype"/>
      <w:noProof/>
      <w:color w:val="000000"/>
    </w:rPr>
  </w:style>
  <w:style w:type="character" w:customStyle="1" w:styleId="lrzxr">
    <w:name w:val="lrzxr"/>
    <w:basedOn w:val="DefaultParagraphFont"/>
    <w:rsid w:val="004B3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401316">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pdsa.org.uk/what-we-do/pdsa-animal-wellbeing-report/uk-pet-populations-of-dogs-cats-and-rabbits" TargetMode="External"/><Relationship Id="rId18" Type="http://schemas.openxmlformats.org/officeDocument/2006/relationships/hyperlink" Target="https://www.statista.com/statistics/875940/pet-ownership-by-region-uk/"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statista.com/statistics/308218/leading-ten-pets-ranked-by-household-ownership-in-the-united-kingdom-uk/" TargetMode="External"/><Relationship Id="rId17" Type="http://schemas.openxmlformats.org/officeDocument/2006/relationships/hyperlink" Target="https://doi.org/10.1093/gerona/glaa01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who.int/news-room/fact-sheets/detail/physical-activity"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36/bmj.j555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pps.who.int/iris/bitstream/handle/10665/337001/9789240014886-eng.pdf" TargetMode="External"/><Relationship Id="rId23" Type="http://schemas.openxmlformats.org/officeDocument/2006/relationships/footer" Target="footer2.xml"/><Relationship Id="rId10" Type="http://schemas.openxmlformats.org/officeDocument/2006/relationships/hyperlink" Target="https://www.healthforanimals.org/reports/pet-care-report/global-trends-in-the-pet-popul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080/08927936.2019.1569906"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odora%20Pana\Desktop\Word%20templates\jal-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jal-template</Template>
  <TotalTime>2</TotalTime>
  <Pages>11</Pages>
  <Words>6656</Words>
  <Characters>37945</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44512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Smith, Lee</cp:lastModifiedBy>
  <cp:revision>2</cp:revision>
  <dcterms:created xsi:type="dcterms:W3CDTF">2023-03-29T11:22:00Z</dcterms:created>
  <dcterms:modified xsi:type="dcterms:W3CDTF">2023-03-29T11:22:00Z</dcterms:modified>
</cp:coreProperties>
</file>