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75434" w14:textId="77777777" w:rsidR="00D00950" w:rsidRPr="00192D6E" w:rsidRDefault="00D00950" w:rsidP="00D00950">
      <w:pPr>
        <w:jc w:val="both"/>
        <w:rPr>
          <w:b/>
          <w:bCs/>
          <w:sz w:val="28"/>
          <w:szCs w:val="28"/>
        </w:rPr>
      </w:pPr>
      <w:r w:rsidRPr="00192D6E">
        <w:rPr>
          <w:b/>
          <w:bCs/>
          <w:sz w:val="28"/>
          <w:szCs w:val="28"/>
        </w:rPr>
        <w:t xml:space="preserve">Statins synergize with phosphodiesterase type 5 inhibitors </w:t>
      </w:r>
      <w:r>
        <w:rPr>
          <w:b/>
          <w:bCs/>
          <w:sz w:val="28"/>
          <w:szCs w:val="28"/>
        </w:rPr>
        <w:t>but not with</w:t>
      </w:r>
      <w:r w:rsidRPr="00192D6E">
        <w:rPr>
          <w:b/>
          <w:bCs/>
          <w:sz w:val="28"/>
          <w:szCs w:val="28"/>
        </w:rPr>
        <w:t xml:space="preserve"> selective </w:t>
      </w:r>
      <w:proofErr w:type="spellStart"/>
      <w:r w:rsidRPr="00192D6E">
        <w:rPr>
          <w:b/>
          <w:bCs/>
          <w:sz w:val="28"/>
          <w:szCs w:val="28"/>
        </w:rPr>
        <w:t>estrogen</w:t>
      </w:r>
      <w:proofErr w:type="spellEnd"/>
      <w:r w:rsidRPr="00192D6E">
        <w:rPr>
          <w:b/>
          <w:bCs/>
          <w:sz w:val="28"/>
          <w:szCs w:val="28"/>
        </w:rPr>
        <w:t xml:space="preserve"> receptor modulators to prevent myofibroblast transformation in an </w:t>
      </w:r>
      <w:r w:rsidRPr="00AD6560">
        <w:rPr>
          <w:b/>
          <w:bCs/>
          <w:i/>
          <w:iCs/>
          <w:sz w:val="28"/>
          <w:szCs w:val="28"/>
        </w:rPr>
        <w:t>in vitro</w:t>
      </w:r>
      <w:r w:rsidRPr="00192D6E">
        <w:rPr>
          <w:b/>
          <w:bCs/>
          <w:sz w:val="28"/>
          <w:szCs w:val="28"/>
        </w:rPr>
        <w:t xml:space="preserve"> model of Peyronie’s </w:t>
      </w:r>
      <w:proofErr w:type="gramStart"/>
      <w:r w:rsidRPr="00192D6E">
        <w:rPr>
          <w:b/>
          <w:bCs/>
          <w:sz w:val="28"/>
          <w:szCs w:val="28"/>
        </w:rPr>
        <w:t>disease</w:t>
      </w:r>
      <w:proofErr w:type="gramEnd"/>
    </w:p>
    <w:p w14:paraId="5F661758" w14:textId="77777777" w:rsidR="00D00950" w:rsidRPr="00192D6E" w:rsidRDefault="00D00950" w:rsidP="00D00950">
      <w:pPr>
        <w:rPr>
          <w:sz w:val="26"/>
          <w:szCs w:val="26"/>
        </w:rPr>
      </w:pPr>
      <w:r w:rsidRPr="00192D6E">
        <w:rPr>
          <w:sz w:val="26"/>
          <w:szCs w:val="26"/>
        </w:rPr>
        <w:t>Marcus M. Ilg</w:t>
      </w:r>
      <w:r w:rsidRPr="00192D6E">
        <w:rPr>
          <w:sz w:val="26"/>
          <w:szCs w:val="26"/>
          <w:vertAlign w:val="superscript"/>
        </w:rPr>
        <w:t>1</w:t>
      </w:r>
      <w:r w:rsidRPr="009F141A">
        <w:rPr>
          <w:sz w:val="26"/>
          <w:szCs w:val="26"/>
        </w:rPr>
        <w:t>*</w:t>
      </w:r>
      <w:r w:rsidRPr="00192D6E">
        <w:rPr>
          <w:sz w:val="26"/>
          <w:szCs w:val="26"/>
        </w:rPr>
        <w:t>, David J. Ralph</w:t>
      </w:r>
      <w:r w:rsidRPr="00192D6E">
        <w:rPr>
          <w:sz w:val="26"/>
          <w:szCs w:val="26"/>
          <w:vertAlign w:val="superscript"/>
        </w:rPr>
        <w:t>1,2</w:t>
      </w:r>
      <w:r w:rsidRPr="00192D6E">
        <w:rPr>
          <w:sz w:val="26"/>
          <w:szCs w:val="26"/>
        </w:rPr>
        <w:t>, Selim Cellek</w:t>
      </w:r>
      <w:r w:rsidRPr="00192D6E">
        <w:rPr>
          <w:sz w:val="26"/>
          <w:szCs w:val="26"/>
          <w:vertAlign w:val="superscript"/>
        </w:rPr>
        <w:t>1</w:t>
      </w:r>
    </w:p>
    <w:p w14:paraId="6A9A7D9B" w14:textId="77777777" w:rsidR="00D00950" w:rsidRPr="00154963" w:rsidRDefault="00D00950" w:rsidP="00D00950">
      <w:pPr>
        <w:pStyle w:val="ListParagraph"/>
        <w:numPr>
          <w:ilvl w:val="0"/>
          <w:numId w:val="2"/>
        </w:numPr>
        <w:ind w:left="425" w:hanging="357"/>
      </w:pPr>
      <w:r w:rsidRPr="00154963">
        <w:t xml:space="preserve">Medical Technology Research Centre, </w:t>
      </w:r>
      <w:r>
        <w:t xml:space="preserve">School of Allied Health, Faculty of Health, Education, Medicine and Social Care, </w:t>
      </w:r>
      <w:r w:rsidRPr="00154963">
        <w:t>Anglia Ruskin University, Chelmsford, UK</w:t>
      </w:r>
    </w:p>
    <w:p w14:paraId="43D1A010" w14:textId="77777777" w:rsidR="00D00950" w:rsidRDefault="00D00950" w:rsidP="00D00950">
      <w:pPr>
        <w:pStyle w:val="ListParagraph"/>
        <w:numPr>
          <w:ilvl w:val="0"/>
          <w:numId w:val="2"/>
        </w:numPr>
        <w:ind w:left="425" w:hanging="357"/>
      </w:pPr>
      <w:r w:rsidRPr="00154963">
        <w:t>Urology Department, University College London Hospital, London, UK</w:t>
      </w:r>
    </w:p>
    <w:p w14:paraId="5BF67036" w14:textId="77777777" w:rsidR="00D00950" w:rsidRDefault="00D00950" w:rsidP="00D00950">
      <w:r>
        <w:t>*Corresponding author: Marcus.ilg@aru.ac.uk</w:t>
      </w:r>
    </w:p>
    <w:p w14:paraId="183B9EC3" w14:textId="77777777" w:rsidR="00D00950" w:rsidRDefault="00D00950" w:rsidP="00D00950"/>
    <w:p w14:paraId="42465BD5" w14:textId="77777777" w:rsidR="00D00950" w:rsidRDefault="00D00950" w:rsidP="00D00950">
      <w:r>
        <w:t xml:space="preserve">Running header: Statins synergize with PDE5 </w:t>
      </w:r>
      <w:proofErr w:type="gramStart"/>
      <w:r>
        <w:t>inhibitors</w:t>
      </w:r>
      <w:proofErr w:type="gramEnd"/>
    </w:p>
    <w:p w14:paraId="33CB902A" w14:textId="77777777" w:rsidR="00D00950" w:rsidRDefault="00D00950" w:rsidP="00D00950"/>
    <w:p w14:paraId="3FF5CE16" w14:textId="77777777" w:rsidR="00D00950" w:rsidRDefault="00D00950" w:rsidP="00D00950"/>
    <w:p w14:paraId="35445297" w14:textId="77777777" w:rsidR="00D00950" w:rsidRDefault="00D00950" w:rsidP="00D00950"/>
    <w:p w14:paraId="4B3CEEC3" w14:textId="77777777" w:rsidR="00D00950" w:rsidRDefault="00D00950" w:rsidP="00D00950"/>
    <w:p w14:paraId="7159611C" w14:textId="77777777" w:rsidR="00D00950" w:rsidRDefault="00D00950" w:rsidP="00D00950"/>
    <w:p w14:paraId="5FA60A9C" w14:textId="77777777" w:rsidR="00D00950" w:rsidRDefault="00D00950" w:rsidP="00D00950"/>
    <w:p w14:paraId="636AF2D4" w14:textId="77777777" w:rsidR="00D00950" w:rsidRDefault="00D00950" w:rsidP="00D00950"/>
    <w:p w14:paraId="1E76D7F8" w14:textId="77777777" w:rsidR="00D00950" w:rsidRDefault="00D00950" w:rsidP="00D00950"/>
    <w:p w14:paraId="29FD3B18" w14:textId="77777777" w:rsidR="00D00950" w:rsidRDefault="00D00950" w:rsidP="00D00950"/>
    <w:p w14:paraId="341D6E3D" w14:textId="738EB77A" w:rsidR="00D00950" w:rsidRDefault="00D00950" w:rsidP="00D00950"/>
    <w:p w14:paraId="103A6606" w14:textId="77777777" w:rsidR="00D00950" w:rsidRDefault="00D00950" w:rsidP="00D00950"/>
    <w:p w14:paraId="5B70009A" w14:textId="77777777" w:rsidR="00D00950" w:rsidRDefault="00D00950" w:rsidP="00D00950"/>
    <w:p w14:paraId="6E82D923" w14:textId="77777777" w:rsidR="00D00950" w:rsidRDefault="00D00950" w:rsidP="00D00950"/>
    <w:p w14:paraId="2BE7E97D" w14:textId="77777777" w:rsidR="00D00950" w:rsidRDefault="00D00950" w:rsidP="00D00950"/>
    <w:p w14:paraId="1C364C60" w14:textId="77777777" w:rsidR="00D00950" w:rsidRDefault="00D00950" w:rsidP="00D00950"/>
    <w:p w14:paraId="0DA0DCB9" w14:textId="77777777" w:rsidR="00D00950" w:rsidRDefault="00D00950" w:rsidP="00D00950"/>
    <w:p w14:paraId="707EFC18" w14:textId="77777777" w:rsidR="00D00950" w:rsidRDefault="00D00950" w:rsidP="00D00950"/>
    <w:p w14:paraId="661254B9" w14:textId="77777777" w:rsidR="00D00950" w:rsidRDefault="00D00950" w:rsidP="00D00950"/>
    <w:p w14:paraId="657B9102" w14:textId="77777777" w:rsidR="00D00950" w:rsidRDefault="00D00950" w:rsidP="00D00950"/>
    <w:p w14:paraId="523A3B84" w14:textId="77777777" w:rsidR="00D00950" w:rsidRDefault="00D00950" w:rsidP="00D00950"/>
    <w:p w14:paraId="05B7E00F" w14:textId="77777777" w:rsidR="00D00950" w:rsidRDefault="00D00950" w:rsidP="00D00950"/>
    <w:p w14:paraId="4791C040" w14:textId="77777777" w:rsidR="00D00950" w:rsidRDefault="00D00950" w:rsidP="00D00950"/>
    <w:p w14:paraId="571641A2" w14:textId="37F03560" w:rsidR="00A52322" w:rsidRPr="00695061" w:rsidRDefault="00154963" w:rsidP="00154963">
      <w:pPr>
        <w:jc w:val="both"/>
        <w:rPr>
          <w:b/>
          <w:bCs/>
          <w:sz w:val="28"/>
          <w:szCs w:val="28"/>
        </w:rPr>
      </w:pPr>
      <w:r w:rsidRPr="00695061">
        <w:rPr>
          <w:b/>
          <w:bCs/>
          <w:sz w:val="28"/>
          <w:szCs w:val="28"/>
        </w:rPr>
        <w:lastRenderedPageBreak/>
        <w:t xml:space="preserve">Statins synergize with phosphodiesterase type 5 inhibitors </w:t>
      </w:r>
      <w:r w:rsidR="009851C1" w:rsidRPr="00695061">
        <w:rPr>
          <w:b/>
          <w:bCs/>
          <w:sz w:val="28"/>
          <w:szCs w:val="28"/>
        </w:rPr>
        <w:t xml:space="preserve">but not with </w:t>
      </w:r>
      <w:r w:rsidRPr="00695061">
        <w:rPr>
          <w:b/>
          <w:bCs/>
          <w:sz w:val="28"/>
          <w:szCs w:val="28"/>
        </w:rPr>
        <w:t xml:space="preserve">selective </w:t>
      </w:r>
      <w:proofErr w:type="spellStart"/>
      <w:r w:rsidRPr="00695061">
        <w:rPr>
          <w:b/>
          <w:bCs/>
          <w:sz w:val="28"/>
          <w:szCs w:val="28"/>
        </w:rPr>
        <w:t>estrogen</w:t>
      </w:r>
      <w:proofErr w:type="spellEnd"/>
      <w:r w:rsidRPr="00695061">
        <w:rPr>
          <w:b/>
          <w:bCs/>
          <w:sz w:val="28"/>
          <w:szCs w:val="28"/>
        </w:rPr>
        <w:t xml:space="preserve"> receptor modulators to prevent myofibroblast transformation in an </w:t>
      </w:r>
      <w:r w:rsidRPr="00695061">
        <w:rPr>
          <w:b/>
          <w:bCs/>
          <w:i/>
          <w:iCs/>
          <w:sz w:val="28"/>
          <w:szCs w:val="28"/>
        </w:rPr>
        <w:t>in vitro</w:t>
      </w:r>
      <w:r w:rsidRPr="00695061">
        <w:rPr>
          <w:b/>
          <w:bCs/>
          <w:sz w:val="28"/>
          <w:szCs w:val="28"/>
        </w:rPr>
        <w:t xml:space="preserve"> model of Peyronie’s </w:t>
      </w:r>
      <w:proofErr w:type="gramStart"/>
      <w:r w:rsidRPr="00695061">
        <w:rPr>
          <w:b/>
          <w:bCs/>
          <w:sz w:val="28"/>
          <w:szCs w:val="28"/>
        </w:rPr>
        <w:t>disease</w:t>
      </w:r>
      <w:proofErr w:type="gramEnd"/>
    </w:p>
    <w:p w14:paraId="1927DD04" w14:textId="5A9D4E3D" w:rsidR="00060A15" w:rsidRPr="00695061" w:rsidRDefault="00060A15" w:rsidP="00154963">
      <w:pPr>
        <w:rPr>
          <w:b/>
          <w:bCs/>
          <w:sz w:val="26"/>
          <w:szCs w:val="26"/>
        </w:rPr>
      </w:pPr>
    </w:p>
    <w:p w14:paraId="7051BE2A" w14:textId="78636BB4" w:rsidR="00154963" w:rsidRPr="00695061" w:rsidRDefault="00154963" w:rsidP="00154963">
      <w:pPr>
        <w:rPr>
          <w:b/>
          <w:bCs/>
          <w:sz w:val="26"/>
          <w:szCs w:val="26"/>
        </w:rPr>
      </w:pPr>
      <w:r w:rsidRPr="00695061">
        <w:rPr>
          <w:b/>
          <w:bCs/>
          <w:sz w:val="26"/>
          <w:szCs w:val="26"/>
        </w:rPr>
        <w:t>Abstract (400):</w:t>
      </w:r>
    </w:p>
    <w:p w14:paraId="7D5CD127" w14:textId="50BC5460" w:rsidR="00154963" w:rsidRPr="00695061" w:rsidRDefault="00154963" w:rsidP="00A31CBA">
      <w:pPr>
        <w:jc w:val="both"/>
        <w:rPr>
          <w:sz w:val="24"/>
          <w:szCs w:val="24"/>
        </w:rPr>
      </w:pPr>
      <w:r w:rsidRPr="00695061">
        <w:rPr>
          <w:b/>
          <w:bCs/>
          <w:sz w:val="24"/>
          <w:szCs w:val="24"/>
        </w:rPr>
        <w:t>Background:</w:t>
      </w:r>
      <w:r w:rsidR="00A005E9" w:rsidRPr="00695061">
        <w:rPr>
          <w:sz w:val="24"/>
          <w:szCs w:val="24"/>
        </w:rPr>
        <w:t xml:space="preserve"> Peyronie’s disease (PD) is a fibrotic disorder characterised by </w:t>
      </w:r>
      <w:r w:rsidR="00260BD5" w:rsidRPr="00695061">
        <w:rPr>
          <w:sz w:val="24"/>
          <w:szCs w:val="24"/>
        </w:rPr>
        <w:t>plaque</w:t>
      </w:r>
      <w:r w:rsidR="00A005E9" w:rsidRPr="00695061">
        <w:rPr>
          <w:sz w:val="24"/>
          <w:szCs w:val="24"/>
        </w:rPr>
        <w:t xml:space="preserve"> formation in the tunica albuginea (TA) of the penis</w:t>
      </w:r>
      <w:r w:rsidR="009F5302" w:rsidRPr="00695061">
        <w:rPr>
          <w:sz w:val="24"/>
          <w:szCs w:val="24"/>
        </w:rPr>
        <w:t>.</w:t>
      </w:r>
      <w:r w:rsidR="005F7DD2" w:rsidRPr="00695061">
        <w:rPr>
          <w:sz w:val="24"/>
          <w:szCs w:val="24"/>
        </w:rPr>
        <w:t xml:space="preserve"> We have previously shown that </w:t>
      </w:r>
      <w:r w:rsidR="00D54D05" w:rsidRPr="00695061">
        <w:rPr>
          <w:sz w:val="24"/>
          <w:szCs w:val="24"/>
        </w:rPr>
        <w:t>inhibition of transformation</w:t>
      </w:r>
      <w:r w:rsidR="009F5302" w:rsidRPr="00695061">
        <w:rPr>
          <w:sz w:val="24"/>
          <w:szCs w:val="24"/>
        </w:rPr>
        <w:t xml:space="preserve"> of </w:t>
      </w:r>
      <w:r w:rsidR="00B9351A" w:rsidRPr="00695061">
        <w:rPr>
          <w:sz w:val="24"/>
          <w:szCs w:val="24"/>
        </w:rPr>
        <w:t xml:space="preserve">TA-derived </w:t>
      </w:r>
      <w:r w:rsidR="009F5302" w:rsidRPr="00695061">
        <w:rPr>
          <w:sz w:val="24"/>
          <w:szCs w:val="24"/>
        </w:rPr>
        <w:t xml:space="preserve">fibroblasts to </w:t>
      </w:r>
      <w:r w:rsidR="00D54D05" w:rsidRPr="00695061">
        <w:rPr>
          <w:sz w:val="24"/>
          <w:szCs w:val="24"/>
        </w:rPr>
        <w:t xml:space="preserve">myofibroblasts </w:t>
      </w:r>
      <w:r w:rsidR="00A21763" w:rsidRPr="00695061">
        <w:rPr>
          <w:sz w:val="24"/>
          <w:szCs w:val="24"/>
        </w:rPr>
        <w:t>using a combination</w:t>
      </w:r>
      <w:r w:rsidR="005F7DD2" w:rsidRPr="00695061">
        <w:rPr>
          <w:sz w:val="24"/>
          <w:szCs w:val="24"/>
        </w:rPr>
        <w:t xml:space="preserve"> phosphodiesterase type 5 inhibitors</w:t>
      </w:r>
      <w:r w:rsidR="00A21763" w:rsidRPr="00695061">
        <w:rPr>
          <w:sz w:val="24"/>
          <w:szCs w:val="24"/>
        </w:rPr>
        <w:t xml:space="preserve"> </w:t>
      </w:r>
      <w:r w:rsidR="005F7DD2" w:rsidRPr="00695061">
        <w:rPr>
          <w:sz w:val="24"/>
          <w:szCs w:val="24"/>
        </w:rPr>
        <w:t xml:space="preserve">(PDE5i) and </w:t>
      </w:r>
      <w:r w:rsidR="002E237A" w:rsidRPr="00695061">
        <w:rPr>
          <w:sz w:val="24"/>
          <w:szCs w:val="24"/>
        </w:rPr>
        <w:t xml:space="preserve">selective </w:t>
      </w:r>
      <w:proofErr w:type="spellStart"/>
      <w:r w:rsidR="002E237A" w:rsidRPr="00695061">
        <w:rPr>
          <w:sz w:val="24"/>
          <w:szCs w:val="24"/>
        </w:rPr>
        <w:t>estrogen</w:t>
      </w:r>
      <w:proofErr w:type="spellEnd"/>
      <w:r w:rsidR="002E237A" w:rsidRPr="00695061">
        <w:rPr>
          <w:sz w:val="24"/>
          <w:szCs w:val="24"/>
        </w:rPr>
        <w:t xml:space="preserve"> receptor modulators (SERM) is</w:t>
      </w:r>
      <w:r w:rsidR="00D54D05" w:rsidRPr="00695061">
        <w:rPr>
          <w:sz w:val="24"/>
          <w:szCs w:val="24"/>
        </w:rPr>
        <w:t xml:space="preserve"> effective in slowing the progression of early PD.</w:t>
      </w:r>
    </w:p>
    <w:p w14:paraId="0C12F07A" w14:textId="28DE4C52" w:rsidR="00154963" w:rsidRPr="00695061" w:rsidRDefault="00154963" w:rsidP="00A31CBA">
      <w:pPr>
        <w:jc w:val="both"/>
        <w:rPr>
          <w:sz w:val="24"/>
          <w:szCs w:val="24"/>
        </w:rPr>
      </w:pPr>
      <w:r w:rsidRPr="00695061">
        <w:rPr>
          <w:b/>
          <w:bCs/>
          <w:sz w:val="24"/>
          <w:szCs w:val="24"/>
        </w:rPr>
        <w:t>Aim:</w:t>
      </w:r>
      <w:r w:rsidR="00A21763" w:rsidRPr="00695061">
        <w:rPr>
          <w:sz w:val="24"/>
          <w:szCs w:val="24"/>
        </w:rPr>
        <w:t xml:space="preserve"> To investigate whether co</w:t>
      </w:r>
      <w:r w:rsidR="00F80422" w:rsidRPr="00695061">
        <w:rPr>
          <w:sz w:val="24"/>
          <w:szCs w:val="24"/>
        </w:rPr>
        <w:t xml:space="preserve">mbinations of </w:t>
      </w:r>
      <w:r w:rsidR="00DF6656" w:rsidRPr="00695061">
        <w:rPr>
          <w:sz w:val="24"/>
          <w:szCs w:val="24"/>
        </w:rPr>
        <w:t xml:space="preserve">statins with </w:t>
      </w:r>
      <w:r w:rsidR="00F80422" w:rsidRPr="00695061">
        <w:rPr>
          <w:sz w:val="24"/>
          <w:szCs w:val="24"/>
        </w:rPr>
        <w:t xml:space="preserve">PDE5i or SERM would </w:t>
      </w:r>
      <w:r w:rsidR="00B80F4E" w:rsidRPr="00695061">
        <w:rPr>
          <w:sz w:val="24"/>
          <w:szCs w:val="24"/>
        </w:rPr>
        <w:t>affect</w:t>
      </w:r>
      <w:r w:rsidR="00DE3819" w:rsidRPr="00695061">
        <w:rPr>
          <w:sz w:val="24"/>
          <w:szCs w:val="24"/>
        </w:rPr>
        <w:t xml:space="preserve"> myofibroblast transformation</w:t>
      </w:r>
      <w:r w:rsidR="00B80F4E" w:rsidRPr="00695061">
        <w:rPr>
          <w:sz w:val="24"/>
          <w:szCs w:val="24"/>
        </w:rPr>
        <w:t xml:space="preserve"> </w:t>
      </w:r>
      <w:r w:rsidR="00B80F4E" w:rsidRPr="00695061">
        <w:rPr>
          <w:i/>
          <w:iCs/>
          <w:sz w:val="24"/>
          <w:szCs w:val="24"/>
        </w:rPr>
        <w:t>in vitro</w:t>
      </w:r>
      <w:r w:rsidR="00DE3819" w:rsidRPr="00695061">
        <w:rPr>
          <w:sz w:val="24"/>
          <w:szCs w:val="24"/>
        </w:rPr>
        <w:t>.</w:t>
      </w:r>
    </w:p>
    <w:p w14:paraId="1F842705" w14:textId="3ABA0562" w:rsidR="00154963" w:rsidRPr="00695061" w:rsidRDefault="00154963" w:rsidP="00A31CBA">
      <w:pPr>
        <w:jc w:val="both"/>
        <w:rPr>
          <w:sz w:val="24"/>
          <w:szCs w:val="24"/>
        </w:rPr>
      </w:pPr>
      <w:r w:rsidRPr="00695061">
        <w:rPr>
          <w:b/>
          <w:bCs/>
          <w:sz w:val="24"/>
          <w:szCs w:val="24"/>
        </w:rPr>
        <w:t>Methods:</w:t>
      </w:r>
      <w:r w:rsidR="00DE3819" w:rsidRPr="00695061">
        <w:rPr>
          <w:sz w:val="24"/>
          <w:szCs w:val="24"/>
        </w:rPr>
        <w:t xml:space="preserve"> Primary fibr</w:t>
      </w:r>
      <w:r w:rsidR="00DA0A3A" w:rsidRPr="00695061">
        <w:rPr>
          <w:sz w:val="24"/>
          <w:szCs w:val="24"/>
        </w:rPr>
        <w:t xml:space="preserve">oblasts were isolated from TA of patients with PD and stimulated with </w:t>
      </w:r>
      <w:r w:rsidR="00475BA4" w:rsidRPr="00695061">
        <w:rPr>
          <w:sz w:val="24"/>
          <w:szCs w:val="24"/>
        </w:rPr>
        <w:t xml:space="preserve">transforming growth factor-ß1 (TGF-β1) </w:t>
      </w:r>
      <w:r w:rsidR="00B80F4E" w:rsidRPr="00695061">
        <w:rPr>
          <w:sz w:val="24"/>
          <w:szCs w:val="24"/>
        </w:rPr>
        <w:t xml:space="preserve">in the absence and presence of </w:t>
      </w:r>
      <w:r w:rsidR="00475BA4" w:rsidRPr="00695061">
        <w:rPr>
          <w:sz w:val="24"/>
          <w:szCs w:val="24"/>
        </w:rPr>
        <w:t>a range of concentrations of statins, PDE5i, SERM, and their combinations for 72h before quantifying α-smooth muscle actin (α-SMA) using In-Cell ELISA.</w:t>
      </w:r>
    </w:p>
    <w:p w14:paraId="111A51EB" w14:textId="6A8A2ACD" w:rsidR="00154963" w:rsidRPr="00695061" w:rsidRDefault="00154963" w:rsidP="00A31CBA">
      <w:pPr>
        <w:jc w:val="both"/>
        <w:rPr>
          <w:sz w:val="24"/>
          <w:szCs w:val="24"/>
        </w:rPr>
      </w:pPr>
      <w:r w:rsidRPr="00695061">
        <w:rPr>
          <w:b/>
          <w:bCs/>
          <w:sz w:val="24"/>
          <w:szCs w:val="24"/>
        </w:rPr>
        <w:t>Results:</w:t>
      </w:r>
      <w:r w:rsidR="004F469A" w:rsidRPr="00695061">
        <w:rPr>
          <w:b/>
          <w:bCs/>
          <w:sz w:val="24"/>
          <w:szCs w:val="24"/>
        </w:rPr>
        <w:t xml:space="preserve"> </w:t>
      </w:r>
      <w:r w:rsidR="004F469A" w:rsidRPr="00695061">
        <w:rPr>
          <w:sz w:val="24"/>
          <w:szCs w:val="24"/>
        </w:rPr>
        <w:t xml:space="preserve">Statins (simvastatin, lovastatin) inhibited </w:t>
      </w:r>
      <w:r w:rsidR="004B207C" w:rsidRPr="00695061">
        <w:rPr>
          <w:sz w:val="24"/>
          <w:szCs w:val="24"/>
        </w:rPr>
        <w:t>myofibroblast transformation</w:t>
      </w:r>
      <w:r w:rsidR="004F469A" w:rsidRPr="00695061">
        <w:rPr>
          <w:sz w:val="24"/>
          <w:szCs w:val="24"/>
        </w:rPr>
        <w:t xml:space="preserve"> </w:t>
      </w:r>
      <w:r w:rsidR="004B207C" w:rsidRPr="00695061">
        <w:rPr>
          <w:sz w:val="24"/>
          <w:szCs w:val="24"/>
        </w:rPr>
        <w:t>in</w:t>
      </w:r>
      <w:r w:rsidR="004F469A" w:rsidRPr="00695061">
        <w:rPr>
          <w:sz w:val="24"/>
          <w:szCs w:val="24"/>
        </w:rPr>
        <w:t xml:space="preserve"> a concentration</w:t>
      </w:r>
      <w:r w:rsidR="004B207C" w:rsidRPr="00695061">
        <w:rPr>
          <w:sz w:val="24"/>
          <w:szCs w:val="24"/>
        </w:rPr>
        <w:t>-</w:t>
      </w:r>
      <w:r w:rsidR="004F469A" w:rsidRPr="00695061">
        <w:rPr>
          <w:sz w:val="24"/>
          <w:szCs w:val="24"/>
        </w:rPr>
        <w:t xml:space="preserve">dependent </w:t>
      </w:r>
      <w:r w:rsidR="004B207C" w:rsidRPr="00695061">
        <w:rPr>
          <w:sz w:val="24"/>
          <w:szCs w:val="24"/>
        </w:rPr>
        <w:t xml:space="preserve">manner </w:t>
      </w:r>
      <w:r w:rsidR="004F469A" w:rsidRPr="00695061">
        <w:rPr>
          <w:sz w:val="24"/>
          <w:szCs w:val="24"/>
        </w:rPr>
        <w:t>with IC</w:t>
      </w:r>
      <w:r w:rsidR="004F469A" w:rsidRPr="00695061">
        <w:rPr>
          <w:sz w:val="24"/>
          <w:szCs w:val="24"/>
          <w:vertAlign w:val="subscript"/>
        </w:rPr>
        <w:t>50</w:t>
      </w:r>
      <w:r w:rsidR="004F469A" w:rsidRPr="00695061">
        <w:rPr>
          <w:sz w:val="24"/>
          <w:szCs w:val="24"/>
        </w:rPr>
        <w:t xml:space="preserve"> values of 0.77</w:t>
      </w:r>
      <w:r w:rsidR="004B207C" w:rsidRPr="00695061">
        <w:rPr>
          <w:rFonts w:cstheme="minorHAnsi"/>
          <w:sz w:val="24"/>
          <w:szCs w:val="24"/>
        </w:rPr>
        <w:t>±</w:t>
      </w:r>
      <w:r w:rsidR="00F86F44" w:rsidRPr="00695061">
        <w:rPr>
          <w:sz w:val="24"/>
          <w:szCs w:val="24"/>
        </w:rPr>
        <w:t>0.07</w:t>
      </w:r>
      <w:r w:rsidR="004F469A" w:rsidRPr="00695061">
        <w:rPr>
          <w:sz w:val="24"/>
          <w:szCs w:val="24"/>
        </w:rPr>
        <w:t xml:space="preserve"> µM and 0.8</w:t>
      </w:r>
      <w:r w:rsidR="004B207C" w:rsidRPr="00695061">
        <w:rPr>
          <w:rFonts w:cstheme="minorHAnsi"/>
          <w:sz w:val="24"/>
          <w:szCs w:val="24"/>
        </w:rPr>
        <w:t>±</w:t>
      </w:r>
      <w:r w:rsidR="00FF6A6D" w:rsidRPr="00695061">
        <w:rPr>
          <w:sz w:val="24"/>
          <w:szCs w:val="24"/>
        </w:rPr>
        <w:t>0.1</w:t>
      </w:r>
      <w:r w:rsidR="00F86F44" w:rsidRPr="00695061">
        <w:rPr>
          <w:sz w:val="24"/>
          <w:szCs w:val="24"/>
        </w:rPr>
        <w:t>3</w:t>
      </w:r>
      <w:r w:rsidR="004F469A" w:rsidRPr="00695061">
        <w:rPr>
          <w:sz w:val="24"/>
          <w:szCs w:val="24"/>
        </w:rPr>
        <w:t xml:space="preserve"> µM </w:t>
      </w:r>
      <w:r w:rsidR="004B207C" w:rsidRPr="00695061">
        <w:rPr>
          <w:sz w:val="24"/>
          <w:szCs w:val="24"/>
        </w:rPr>
        <w:t xml:space="preserve">respectively. </w:t>
      </w:r>
      <w:r w:rsidR="00B35D39" w:rsidRPr="00695061">
        <w:rPr>
          <w:sz w:val="24"/>
          <w:szCs w:val="24"/>
        </w:rPr>
        <w:t>Simvastati</w:t>
      </w:r>
      <w:r w:rsidR="00412236" w:rsidRPr="00695061">
        <w:rPr>
          <w:sz w:val="24"/>
          <w:szCs w:val="24"/>
        </w:rPr>
        <w:t>n inhibited myofibr</w:t>
      </w:r>
      <w:r w:rsidR="00200540" w:rsidRPr="00695061">
        <w:rPr>
          <w:sz w:val="24"/>
          <w:szCs w:val="24"/>
        </w:rPr>
        <w:t>oblast</w:t>
      </w:r>
      <w:r w:rsidR="00412236" w:rsidRPr="00695061">
        <w:rPr>
          <w:sz w:val="24"/>
          <w:szCs w:val="24"/>
        </w:rPr>
        <w:t xml:space="preserve"> transfo</w:t>
      </w:r>
      <w:r w:rsidR="00200540" w:rsidRPr="00695061">
        <w:rPr>
          <w:sz w:val="24"/>
          <w:szCs w:val="24"/>
        </w:rPr>
        <w:t>rm</w:t>
      </w:r>
      <w:r w:rsidR="00412236" w:rsidRPr="00695061">
        <w:rPr>
          <w:sz w:val="24"/>
          <w:szCs w:val="24"/>
        </w:rPr>
        <w:t xml:space="preserve">ation in a synergistic fashion when combined with </w:t>
      </w:r>
      <w:r w:rsidR="00200540" w:rsidRPr="00695061">
        <w:rPr>
          <w:sz w:val="24"/>
          <w:szCs w:val="24"/>
        </w:rPr>
        <w:t>vardenafil (a PDE5i</w:t>
      </w:r>
      <w:r w:rsidR="00BB48CD" w:rsidRPr="00695061">
        <w:rPr>
          <w:sz w:val="24"/>
          <w:szCs w:val="24"/>
        </w:rPr>
        <w:t>; log alpha &gt;</w:t>
      </w:r>
      <w:r w:rsidR="005B66AA" w:rsidRPr="00695061">
        <w:rPr>
          <w:sz w:val="24"/>
          <w:szCs w:val="24"/>
        </w:rPr>
        <w:t>0</w:t>
      </w:r>
      <w:r w:rsidR="00200540" w:rsidRPr="00695061">
        <w:rPr>
          <w:sz w:val="24"/>
          <w:szCs w:val="24"/>
        </w:rPr>
        <w:t>)</w:t>
      </w:r>
      <w:r w:rsidR="005B66AA" w:rsidRPr="00695061">
        <w:rPr>
          <w:sz w:val="24"/>
          <w:szCs w:val="24"/>
        </w:rPr>
        <w:t>. Combination of tamoxifen</w:t>
      </w:r>
      <w:r w:rsidR="00200540" w:rsidRPr="00695061">
        <w:rPr>
          <w:sz w:val="24"/>
          <w:szCs w:val="24"/>
        </w:rPr>
        <w:t xml:space="preserve"> (a SERM)</w:t>
      </w:r>
      <w:r w:rsidR="005B66AA" w:rsidRPr="00695061">
        <w:rPr>
          <w:sz w:val="24"/>
          <w:szCs w:val="24"/>
        </w:rPr>
        <w:t xml:space="preserve"> and simvastatin did not show synergy (log alpha &lt;0)</w:t>
      </w:r>
      <w:r w:rsidR="004F469A" w:rsidRPr="00695061">
        <w:rPr>
          <w:sz w:val="24"/>
          <w:szCs w:val="24"/>
        </w:rPr>
        <w:t>.</w:t>
      </w:r>
      <w:r w:rsidR="0072611F" w:rsidRPr="00695061">
        <w:rPr>
          <w:sz w:val="24"/>
          <w:szCs w:val="24"/>
        </w:rPr>
        <w:t xml:space="preserve"> When three drugs (simvastatin, vardenafil and tamoxifen) were combined</w:t>
      </w:r>
      <w:r w:rsidR="00ED3CD4" w:rsidRPr="00695061">
        <w:rPr>
          <w:sz w:val="24"/>
          <w:szCs w:val="24"/>
        </w:rPr>
        <w:t xml:space="preserve">, the effect was not </w:t>
      </w:r>
      <w:r w:rsidR="00C3350E" w:rsidRPr="00695061">
        <w:rPr>
          <w:sz w:val="24"/>
          <w:szCs w:val="24"/>
        </w:rPr>
        <w:t>synergistic but</w:t>
      </w:r>
      <w:r w:rsidR="00E2720A" w:rsidRPr="00695061">
        <w:rPr>
          <w:sz w:val="24"/>
          <w:szCs w:val="24"/>
        </w:rPr>
        <w:t xml:space="preserve"> </w:t>
      </w:r>
      <w:r w:rsidR="00363B36" w:rsidRPr="00695061">
        <w:rPr>
          <w:sz w:val="24"/>
          <w:szCs w:val="24"/>
        </w:rPr>
        <w:t>additive</w:t>
      </w:r>
      <w:r w:rsidR="00444AEB" w:rsidRPr="00695061">
        <w:rPr>
          <w:sz w:val="24"/>
          <w:szCs w:val="24"/>
        </w:rPr>
        <w:t>.</w:t>
      </w:r>
      <w:r w:rsidR="0072611F" w:rsidRPr="00695061">
        <w:rPr>
          <w:sz w:val="24"/>
          <w:szCs w:val="24"/>
        </w:rPr>
        <w:t xml:space="preserve"> </w:t>
      </w:r>
    </w:p>
    <w:p w14:paraId="05C5D6CD" w14:textId="2B2F27F7" w:rsidR="00154963" w:rsidRPr="00695061" w:rsidRDefault="00154963" w:rsidP="00A31CBA">
      <w:pPr>
        <w:jc w:val="both"/>
        <w:rPr>
          <w:sz w:val="24"/>
          <w:szCs w:val="24"/>
        </w:rPr>
      </w:pPr>
      <w:r w:rsidRPr="00695061">
        <w:rPr>
          <w:b/>
          <w:bCs/>
          <w:sz w:val="24"/>
          <w:szCs w:val="24"/>
        </w:rPr>
        <w:t>Clinical translation:</w:t>
      </w:r>
      <w:r w:rsidR="00790043" w:rsidRPr="00695061">
        <w:rPr>
          <w:sz w:val="24"/>
          <w:szCs w:val="24"/>
        </w:rPr>
        <w:t xml:space="preserve"> A combination of </w:t>
      </w:r>
      <w:r w:rsidR="00003AFB" w:rsidRPr="00695061">
        <w:rPr>
          <w:sz w:val="24"/>
          <w:szCs w:val="24"/>
        </w:rPr>
        <w:t xml:space="preserve">a statin </w:t>
      </w:r>
      <w:r w:rsidR="00B33F4D" w:rsidRPr="00695061">
        <w:rPr>
          <w:sz w:val="24"/>
          <w:szCs w:val="24"/>
        </w:rPr>
        <w:t xml:space="preserve">with </w:t>
      </w:r>
      <w:r w:rsidR="00003AFB" w:rsidRPr="00695061">
        <w:rPr>
          <w:sz w:val="24"/>
          <w:szCs w:val="24"/>
        </w:rPr>
        <w:t xml:space="preserve">a </w:t>
      </w:r>
      <w:r w:rsidR="00C73585" w:rsidRPr="00695061">
        <w:rPr>
          <w:sz w:val="24"/>
          <w:szCs w:val="24"/>
        </w:rPr>
        <w:t>PDE5i</w:t>
      </w:r>
      <w:r w:rsidR="00003AFB" w:rsidRPr="00695061">
        <w:rPr>
          <w:sz w:val="24"/>
          <w:szCs w:val="24"/>
        </w:rPr>
        <w:t xml:space="preserve"> might be useful in the clinic to slow the progression of the disease in patients with early PD</w:t>
      </w:r>
      <w:r w:rsidR="002E4C9B" w:rsidRPr="00695061">
        <w:rPr>
          <w:sz w:val="24"/>
          <w:szCs w:val="24"/>
        </w:rPr>
        <w:t>.</w:t>
      </w:r>
      <w:r w:rsidR="007B2345" w:rsidRPr="00695061">
        <w:rPr>
          <w:sz w:val="24"/>
          <w:szCs w:val="24"/>
        </w:rPr>
        <w:t xml:space="preserve"> </w:t>
      </w:r>
      <w:r w:rsidR="00C73585" w:rsidRPr="00695061">
        <w:rPr>
          <w:sz w:val="24"/>
          <w:szCs w:val="24"/>
        </w:rPr>
        <w:t xml:space="preserve">Caution should be taken </w:t>
      </w:r>
      <w:r w:rsidR="002A7B71" w:rsidRPr="00695061">
        <w:rPr>
          <w:sz w:val="24"/>
          <w:szCs w:val="24"/>
        </w:rPr>
        <w:t xml:space="preserve">with such </w:t>
      </w:r>
      <w:r w:rsidR="004D25C4" w:rsidRPr="00695061">
        <w:rPr>
          <w:sz w:val="24"/>
          <w:szCs w:val="24"/>
        </w:rPr>
        <w:t>a combination</w:t>
      </w:r>
      <w:r w:rsidR="00DA51B7" w:rsidRPr="00695061">
        <w:rPr>
          <w:sz w:val="24"/>
          <w:szCs w:val="24"/>
        </w:rPr>
        <w:t xml:space="preserve"> </w:t>
      </w:r>
      <w:r w:rsidR="00C73585" w:rsidRPr="00695061">
        <w:rPr>
          <w:sz w:val="24"/>
          <w:szCs w:val="24"/>
        </w:rPr>
        <w:t>because of the reported myopathy as a side effect</w:t>
      </w:r>
      <w:r w:rsidR="00B35918" w:rsidRPr="00695061">
        <w:rPr>
          <w:sz w:val="24"/>
          <w:szCs w:val="24"/>
        </w:rPr>
        <w:t>.</w:t>
      </w:r>
    </w:p>
    <w:p w14:paraId="6B995069" w14:textId="380024EC" w:rsidR="00154963" w:rsidRPr="00695061" w:rsidRDefault="00154963" w:rsidP="00A31CBA">
      <w:pPr>
        <w:jc w:val="both"/>
        <w:rPr>
          <w:sz w:val="24"/>
          <w:szCs w:val="24"/>
        </w:rPr>
      </w:pPr>
      <w:r w:rsidRPr="00695061">
        <w:rPr>
          <w:b/>
          <w:bCs/>
          <w:sz w:val="24"/>
          <w:szCs w:val="24"/>
        </w:rPr>
        <w:t>Strengths and limitations:</w:t>
      </w:r>
      <w:r w:rsidR="0065595F" w:rsidRPr="00695061">
        <w:rPr>
          <w:b/>
          <w:bCs/>
          <w:sz w:val="24"/>
          <w:szCs w:val="24"/>
        </w:rPr>
        <w:t xml:space="preserve"> </w:t>
      </w:r>
      <w:r w:rsidR="005048F3" w:rsidRPr="00695061">
        <w:rPr>
          <w:sz w:val="24"/>
          <w:szCs w:val="24"/>
        </w:rPr>
        <w:t xml:space="preserve">The use of primary human cells from patients with PD is </w:t>
      </w:r>
      <w:r w:rsidR="00AB6D67" w:rsidRPr="00695061">
        <w:rPr>
          <w:sz w:val="24"/>
          <w:szCs w:val="24"/>
        </w:rPr>
        <w:t xml:space="preserve">a strength of this study. </w:t>
      </w:r>
      <w:r w:rsidR="00582062" w:rsidRPr="00695061">
        <w:rPr>
          <w:sz w:val="24"/>
          <w:szCs w:val="24"/>
        </w:rPr>
        <w:t xml:space="preserve">The </w:t>
      </w:r>
      <w:r w:rsidR="005048F3" w:rsidRPr="00695061">
        <w:rPr>
          <w:sz w:val="24"/>
          <w:szCs w:val="24"/>
        </w:rPr>
        <w:t>mechanisms</w:t>
      </w:r>
      <w:r w:rsidR="00582062" w:rsidRPr="00695061">
        <w:rPr>
          <w:sz w:val="24"/>
          <w:szCs w:val="24"/>
        </w:rPr>
        <w:t xml:space="preserve"> by which these drug classes</w:t>
      </w:r>
      <w:r w:rsidR="00AB6D67" w:rsidRPr="00695061">
        <w:rPr>
          <w:sz w:val="24"/>
          <w:szCs w:val="24"/>
        </w:rPr>
        <w:t xml:space="preserve"> exert synergy when used in combination was not investigated. </w:t>
      </w:r>
      <w:r w:rsidR="00582062" w:rsidRPr="00695061">
        <w:rPr>
          <w:sz w:val="24"/>
          <w:szCs w:val="24"/>
        </w:rPr>
        <w:t xml:space="preserve"> </w:t>
      </w:r>
    </w:p>
    <w:p w14:paraId="5003F83C" w14:textId="5CA3F484" w:rsidR="00154963" w:rsidRPr="00695061" w:rsidRDefault="00154963" w:rsidP="00A31CBA">
      <w:pPr>
        <w:jc w:val="both"/>
        <w:rPr>
          <w:sz w:val="24"/>
          <w:szCs w:val="24"/>
        </w:rPr>
      </w:pPr>
      <w:r w:rsidRPr="00695061">
        <w:rPr>
          <w:b/>
          <w:bCs/>
          <w:sz w:val="24"/>
          <w:szCs w:val="24"/>
        </w:rPr>
        <w:t>Conclusion:</w:t>
      </w:r>
      <w:r w:rsidR="0021723A" w:rsidRPr="00695061">
        <w:rPr>
          <w:sz w:val="24"/>
          <w:szCs w:val="24"/>
        </w:rPr>
        <w:t xml:space="preserve"> This is the first demonstration of an anti-fibrotic synergy between </w:t>
      </w:r>
      <w:r w:rsidR="00277D91" w:rsidRPr="00695061">
        <w:rPr>
          <w:sz w:val="24"/>
          <w:szCs w:val="24"/>
        </w:rPr>
        <w:t>statins</w:t>
      </w:r>
      <w:r w:rsidR="00DA51B7" w:rsidRPr="00695061">
        <w:rPr>
          <w:sz w:val="24"/>
          <w:szCs w:val="24"/>
        </w:rPr>
        <w:t xml:space="preserve"> and </w:t>
      </w:r>
      <w:r w:rsidR="00277D91" w:rsidRPr="00695061">
        <w:rPr>
          <w:sz w:val="24"/>
          <w:szCs w:val="24"/>
        </w:rPr>
        <w:t>PDE5i</w:t>
      </w:r>
      <w:r w:rsidR="00DA51B7" w:rsidRPr="00695061">
        <w:rPr>
          <w:sz w:val="24"/>
          <w:szCs w:val="24"/>
        </w:rPr>
        <w:t>.</w:t>
      </w:r>
    </w:p>
    <w:p w14:paraId="17ED372A" w14:textId="77777777" w:rsidR="00154963" w:rsidRPr="00695061" w:rsidRDefault="00154963" w:rsidP="00154963">
      <w:pPr>
        <w:rPr>
          <w:sz w:val="24"/>
          <w:szCs w:val="24"/>
        </w:rPr>
      </w:pPr>
    </w:p>
    <w:p w14:paraId="5E217F23" w14:textId="64B07B87" w:rsidR="00B0708F" w:rsidRPr="00695061" w:rsidRDefault="00154963" w:rsidP="00154963">
      <w:pPr>
        <w:rPr>
          <w:sz w:val="24"/>
          <w:szCs w:val="24"/>
        </w:rPr>
      </w:pPr>
      <w:r w:rsidRPr="00695061">
        <w:rPr>
          <w:b/>
          <w:bCs/>
          <w:sz w:val="24"/>
          <w:szCs w:val="24"/>
        </w:rPr>
        <w:t>Keywords:</w:t>
      </w:r>
      <w:r w:rsidR="004043BB" w:rsidRPr="00695061">
        <w:rPr>
          <w:b/>
          <w:bCs/>
          <w:sz w:val="24"/>
          <w:szCs w:val="24"/>
        </w:rPr>
        <w:t xml:space="preserve"> </w:t>
      </w:r>
      <w:r w:rsidR="00B0708F" w:rsidRPr="00695061">
        <w:rPr>
          <w:sz w:val="24"/>
          <w:szCs w:val="24"/>
        </w:rPr>
        <w:t>Peyronie’s disease, fibrosis, myofibroblast, drug discovery, pharmacology</w:t>
      </w:r>
    </w:p>
    <w:p w14:paraId="27AA3FEB" w14:textId="4962D44A" w:rsidR="00154963" w:rsidRPr="00695061" w:rsidRDefault="00154963" w:rsidP="00154963"/>
    <w:p w14:paraId="27A9A559" w14:textId="77777777" w:rsidR="00BE75BC" w:rsidRPr="00695061" w:rsidRDefault="00BE75BC" w:rsidP="00154963"/>
    <w:p w14:paraId="5272E0E9" w14:textId="77777777" w:rsidR="00BE75BC" w:rsidRPr="00695061" w:rsidRDefault="00BE75BC" w:rsidP="00154963"/>
    <w:p w14:paraId="3CF5A84C" w14:textId="77777777" w:rsidR="00BE75BC" w:rsidRPr="00695061" w:rsidRDefault="00BE75BC" w:rsidP="00154963"/>
    <w:p w14:paraId="6F770461" w14:textId="2E9D3E10" w:rsidR="00154963" w:rsidRPr="00695061" w:rsidRDefault="00154963" w:rsidP="00154963">
      <w:pPr>
        <w:rPr>
          <w:b/>
          <w:bCs/>
          <w:sz w:val="28"/>
          <w:szCs w:val="28"/>
        </w:rPr>
      </w:pPr>
      <w:r w:rsidRPr="00695061">
        <w:rPr>
          <w:b/>
          <w:bCs/>
          <w:sz w:val="28"/>
          <w:szCs w:val="28"/>
        </w:rPr>
        <w:lastRenderedPageBreak/>
        <w:t>Introduction:</w:t>
      </w:r>
    </w:p>
    <w:p w14:paraId="0F2AC5A7" w14:textId="7308C8CF" w:rsidR="0083784F" w:rsidRPr="00695061" w:rsidRDefault="0083784F" w:rsidP="00AA6BAA">
      <w:pPr>
        <w:jc w:val="both"/>
        <w:rPr>
          <w:sz w:val="24"/>
          <w:szCs w:val="24"/>
        </w:rPr>
      </w:pPr>
      <w:r w:rsidRPr="00695061">
        <w:rPr>
          <w:sz w:val="24"/>
          <w:szCs w:val="24"/>
        </w:rPr>
        <w:t xml:space="preserve">Peyronie’s disease (PD) affects </w:t>
      </w:r>
      <w:r w:rsidR="007570E2" w:rsidRPr="00695061">
        <w:rPr>
          <w:sz w:val="24"/>
          <w:szCs w:val="24"/>
        </w:rPr>
        <w:t xml:space="preserve">3-9% of men and </w:t>
      </w:r>
      <w:r w:rsidRPr="00695061">
        <w:rPr>
          <w:sz w:val="24"/>
          <w:szCs w:val="24"/>
        </w:rPr>
        <w:t>is characterised by a fibrotic plaque in the penile tunica albuginea, that can lead to pain, curvature, and erectile dysfunction</w:t>
      </w:r>
      <w:r w:rsidR="00BE5888" w:rsidRPr="00695061">
        <w:rPr>
          <w:sz w:val="24"/>
          <w:szCs w:val="24"/>
        </w:rPr>
        <w:fldChar w:fldCharType="begin" w:fldLock="1"/>
      </w:r>
      <w:r w:rsidR="00C26F71" w:rsidRPr="00695061">
        <w:rPr>
          <w:sz w:val="24"/>
          <w:szCs w:val="24"/>
        </w:rPr>
        <w:instrText>ADDIN CSL_CITATION {"citationItems":[{"id":"ITEM-1","itemData":{"DOI":"10.1016/S0022-5347(06)00270-9","ISSN":"0022-5347","abstract":"PURPOSE\nLittle information exists on the natural history of PD. We defined the course of PD in a group of men with this condition who received no treatment. \n\nMATERIALS AND METHODS\nThe study population comprised patients with PD who presented within 6 months of disease onset, had no medical treatment and were followed until at least 12 months after disease onset. At baseline and followup penile abnormality was determined following intracavernous injection and by measurement at maximum penile rigidity. \n\nRESULTS\nA total of 246 patients met inclusion criteria. At presentation mean age ± SD was 52 ± 22 years and the duration of PD was 3.5 ± 1.5 months. At baseline in men with documented curvature 72% had dorsal, 17% had ventral and 11% had lateral curvature. Mean curvature at baseline was 42 ± 22 degrees. Mean stretched flaccid penile length was 12.2 cm. The mean duration of PD at the followup assessment was 18 ± 7 months. At followup stretched flaccid length had decreased to 11.4 cm (p = 0.035). Of the patients 32% complained of some degree of erectile dysfunction at baseline. All patients who reported penile pain had improvement and 89% reported complete resolution at followup. Of men with curvature 12% had improved, 40% remained stable and 48% had worsened at followup. In those in whom curvature improved the mean change was 15 degrees, while in those in whom curvature worsened the mean change was 22 degrees. \n\nCONCLUSIONS\nTo our knowledge this is the largest study to explore the natural history of PD. A minority of men experienced improvement in penile abnormality, while penile length decreased during the 1-year followup. This information will permit clinicians to provide patients with realistic expectations at presentation for the evaluation of PD.","author":[{"dropping-particle":"","family":"Mulhall","given":"John P.","non-dropping-particle":"","parse-names":false,"suffix":""},{"dropping-particle":"","family":"Schiff","given":"Jonathan","non-dropping-particle":"","parse-names":false,"suffix":""},{"dropping-particle":"","family":"Guhring","given":"Patricia","non-dropping-particle":"","parse-names":false,"suffix":""}],"container-title":"The Journal of Urology","id":"ITEM-1","issue":"6","issued":{"date-parts":[["2006","6","1"]]},"page":"2115-2118","publisher":"Elsevier","title":"An Analysis of the Natural History of Peyronie’s Disease","type":"article-journal","volume":"175"},"uris":["http://www.mendeley.com/documents/?uuid=e7e2a897-5b09-3977-a655-e89ab303e7f5"]}],"mendeley":{"formattedCitation":"[1]","plainTextFormattedCitation":"[1]","previouslyFormattedCitation":"[1]"},"properties":{"noteIndex":0},"schema":"https://github.com/citation-style-language/schema/raw/master/csl-citation.json"}</w:instrText>
      </w:r>
      <w:r w:rsidR="00BE5888" w:rsidRPr="00695061">
        <w:rPr>
          <w:sz w:val="24"/>
          <w:szCs w:val="24"/>
        </w:rPr>
        <w:fldChar w:fldCharType="separate"/>
      </w:r>
      <w:r w:rsidR="00BE5888" w:rsidRPr="00695061">
        <w:rPr>
          <w:noProof/>
          <w:sz w:val="24"/>
          <w:szCs w:val="24"/>
        </w:rPr>
        <w:t>[1]</w:t>
      </w:r>
      <w:r w:rsidR="00BE5888" w:rsidRPr="00695061">
        <w:rPr>
          <w:sz w:val="24"/>
          <w:szCs w:val="24"/>
        </w:rPr>
        <w:fldChar w:fldCharType="end"/>
      </w:r>
      <w:r w:rsidRPr="00695061">
        <w:rPr>
          <w:sz w:val="24"/>
          <w:szCs w:val="24"/>
        </w:rPr>
        <w:t xml:space="preserve">. </w:t>
      </w:r>
    </w:p>
    <w:p w14:paraId="602EB090" w14:textId="74476795" w:rsidR="001C0C6D" w:rsidRPr="00695061" w:rsidRDefault="0083784F" w:rsidP="00AA6BAA">
      <w:pPr>
        <w:jc w:val="both"/>
        <w:rPr>
          <w:sz w:val="24"/>
          <w:szCs w:val="24"/>
        </w:rPr>
      </w:pPr>
      <w:r w:rsidRPr="00695061">
        <w:rPr>
          <w:sz w:val="24"/>
          <w:szCs w:val="24"/>
        </w:rPr>
        <w:t xml:space="preserve">PD </w:t>
      </w:r>
      <w:r w:rsidR="00F238BC" w:rsidRPr="00695061">
        <w:rPr>
          <w:sz w:val="24"/>
          <w:szCs w:val="24"/>
        </w:rPr>
        <w:t xml:space="preserve">presents </w:t>
      </w:r>
      <w:r w:rsidR="0068772D" w:rsidRPr="00695061">
        <w:rPr>
          <w:sz w:val="24"/>
          <w:szCs w:val="24"/>
        </w:rPr>
        <w:t xml:space="preserve">in two phases: </w:t>
      </w:r>
      <w:r w:rsidRPr="00695061">
        <w:rPr>
          <w:sz w:val="24"/>
          <w:szCs w:val="24"/>
        </w:rPr>
        <w:t>an acute phase (usually within the first 6 months after the first symptoms, pain during erection and appearance and gradual worsening of the curvature) and a chronic phase (after ~12 months, stable plaque and curvature)</w:t>
      </w:r>
      <w:r w:rsidR="00C26F71" w:rsidRPr="00695061">
        <w:rPr>
          <w:sz w:val="24"/>
          <w:szCs w:val="24"/>
        </w:rPr>
        <w:fldChar w:fldCharType="begin" w:fldLock="1"/>
      </w:r>
      <w:r w:rsidR="00D01CDC" w:rsidRPr="00695061">
        <w:rPr>
          <w:sz w:val="24"/>
          <w:szCs w:val="24"/>
        </w:rPr>
        <w:instrText>ADDIN CSL_CITATION {"citationItems":[{"id":"ITEM-1","itemData":{"DOI":"10.1016/S0022-5347(06)00270-9","ISSN":"0022-5347","abstract":"PURPOSE\nLittle information exists on the natural history of PD. We defined the course of PD in a group of men with this condition who received no treatment. \n\nMATERIALS AND METHODS\nThe study population comprised patients with PD who presented within 6 months of disease onset, had no medical treatment and were followed until at least 12 months after disease onset. At baseline and followup penile abnormality was determined following intracavernous injection and by measurement at maximum penile rigidity. \n\nRESULTS\nA total of 246 patients met inclusion criteria. At presentation mean age ± SD was 52 ± 22 years and the duration of PD was 3.5 ± 1.5 months. At baseline in men with documented curvature 72% had dorsal, 17% had ventral and 11% had lateral curvature. Mean curvature at baseline was 42 ± 22 degrees. Mean stretched flaccid penile length was 12.2 cm. The mean duration of PD at the followup assessment was 18 ± 7 months. At followup stretched flaccid length had decreased to 11.4 cm (p = 0.035). Of the patients 32% complained of some degree of erectile dysfunction at baseline. All patients who reported penile pain had improvement and 89% reported complete resolution at followup. Of men with curvature 12% had improved, 40% remained stable and 48% had worsened at followup. In those in whom curvature improved the mean change was 15 degrees, while in those in whom curvature worsened the mean change was 22 degrees. \n\nCONCLUSIONS\nTo our knowledge this is the largest study to explore the natural history of PD. A minority of men experienced improvement in penile abnormality, while penile length decreased during the 1-year followup. This information will permit clinicians to provide patients with realistic expectations at presentation for the evaluation of PD.","author":[{"dropping-particle":"","family":"Mulhall","given":"John P.","non-dropping-particle":"","parse-names":false,"suffix":""},{"dropping-particle":"","family":"Schiff","given":"Jonathan","non-dropping-particle":"","parse-names":false,"suffix":""},{"dropping-particle":"","family":"Guhring","given":"Patricia","non-dropping-particle":"","parse-names":false,"suffix":""}],"container-title":"The Journal of Urology","id":"ITEM-1","issue":"6","issued":{"date-parts":[["2006","6","1"]]},"page":"2115-2118","publisher":"Elsevier","title":"An Analysis of the Natural History of Peyronie’s Disease","type":"article-journal","volume":"175"},"uris":["http://www.mendeley.com/documents/?uuid=e7e2a897-5b09-3977-a655-e89ab303e7f5"]},{"id":"ITEM-2","itemData":{"DOI":"10.1016/j.ajur.2015.04.019","ISSN":"2214-3882","abstract":"Peyronie's disease (PD) is an acquired connective tissue disorder of the tunica albuginea of the corpus cavernosum, characterized by excessive fibrosis and plaque formation. PD can result in significant physical and psychological morbidity; as it may prevent intercourse and cause adverse impacts on partner relationships. The exact etiology and pathophysiology remain unclear, and many misconceptions about the disease associations, course and treatment exist. The disease has two distinct stages. The acute stage is characterized by pain, and disease may progress during this stage. Non-surgical managements at this stage aim to alleviate pain and stabilize the disease. Results for non-surgical treatment are often conflicting. The chronic stage occurs 6e12 months later, where pain disappears and the deformity stabilizes. Surgical treatment is reserved for significant deformity or with inability to penetrative intercourse. The choice of the surgical technique depends on the length of the penis, degree of deformity, erectile function, patients' expectations and surgeon's preference.","author":[{"dropping-particle":"","family":"Hussein","given":"Ahmed A.","non-dropping-particle":"","parse-names":false,"suffix":""},{"dropping-particle":"","family":"Alwaal","given":"Amjad","non-dropping-particle":"","parse-names":false,"suffix":""},{"dropping-particle":"","family":"Lue","given":"Tom F.","non-dropping-particle":"","parse-names":false,"suffix":""}],"container-title":"Asian Journal of Urology","id":"ITEM-2","issue":"2","issued":{"date-parts":[["2015"]]},"page":"70-78","title":"ScienceDirect All about Peyronie ’ s disease","type":"article-journal","volume":"2"},"uris":["http://www.mendeley.com/documents/?uuid=e2cb3c39-9f07-33e0-a89a-b9a274571f76"]}],"mendeley":{"formattedCitation":"[1,2]","plainTextFormattedCitation":"[1,2]","previouslyFormattedCitation":"[1,2]"},"properties":{"noteIndex":0},"schema":"https://github.com/citation-style-language/schema/raw/master/csl-citation.json"}</w:instrText>
      </w:r>
      <w:r w:rsidR="00C26F71" w:rsidRPr="00695061">
        <w:rPr>
          <w:sz w:val="24"/>
          <w:szCs w:val="24"/>
        </w:rPr>
        <w:fldChar w:fldCharType="separate"/>
      </w:r>
      <w:r w:rsidR="00C26F71" w:rsidRPr="00695061">
        <w:rPr>
          <w:noProof/>
          <w:sz w:val="24"/>
          <w:szCs w:val="24"/>
        </w:rPr>
        <w:t>[1,2]</w:t>
      </w:r>
      <w:r w:rsidR="00C26F71" w:rsidRPr="00695061">
        <w:rPr>
          <w:sz w:val="24"/>
          <w:szCs w:val="24"/>
        </w:rPr>
        <w:fldChar w:fldCharType="end"/>
      </w:r>
      <w:r w:rsidRPr="00695061">
        <w:rPr>
          <w:sz w:val="24"/>
          <w:szCs w:val="24"/>
        </w:rPr>
        <w:t xml:space="preserve">. </w:t>
      </w:r>
      <w:r w:rsidR="001C0C6D" w:rsidRPr="00695061">
        <w:rPr>
          <w:sz w:val="24"/>
          <w:szCs w:val="24"/>
        </w:rPr>
        <w:t xml:space="preserve">Current treatment is limited to surgery as non-surgical medical treatment has demonstrated limited efficacy </w:t>
      </w:r>
      <w:r w:rsidR="00D01CDC" w:rsidRPr="00695061">
        <w:rPr>
          <w:sz w:val="24"/>
          <w:szCs w:val="24"/>
        </w:rPr>
        <w:fldChar w:fldCharType="begin" w:fldLock="1"/>
      </w:r>
      <w:r w:rsidR="00F84101" w:rsidRPr="00695061">
        <w:rPr>
          <w:sz w:val="24"/>
          <w:szCs w:val="24"/>
        </w:rPr>
        <w:instrText>ADDIN CSL_CITATION {"citationItems":[{"id":"ITEM-1","itemData":{"author":[{"dropping-particle":"","family":"Tsambarlis","given":"Peter","non-dropping-particle":"","parse-names":false,"suffix":""},{"dropping-particle":"","family":"Levine","given":"Laurence A.","non-dropping-particle":"","parse-names":false,"suffix":""}],"container-title":"Nature reviews ur","id":"ITEM-1","issue":"3","issued":{"date-parts":[["2018"]]},"title":"Nonsurgical Management of Peyronie's Disease","type":"article","volume":"4"},"uris":["http://www.mendeley.com/documents/?uuid=db128acc-7581-3f8e-bac5-b030d2cdb6b6"]}],"mendeley":{"formattedCitation":"[3]","plainTextFormattedCitation":"[3]","previouslyFormattedCitation":"[3]"},"properties":{"noteIndex":0},"schema":"https://github.com/citation-style-language/schema/raw/master/csl-citation.json"}</w:instrText>
      </w:r>
      <w:r w:rsidR="00D01CDC" w:rsidRPr="00695061">
        <w:rPr>
          <w:sz w:val="24"/>
          <w:szCs w:val="24"/>
        </w:rPr>
        <w:fldChar w:fldCharType="separate"/>
      </w:r>
      <w:r w:rsidR="00D01CDC" w:rsidRPr="00695061">
        <w:rPr>
          <w:noProof/>
          <w:sz w:val="24"/>
          <w:szCs w:val="24"/>
        </w:rPr>
        <w:t>[3]</w:t>
      </w:r>
      <w:r w:rsidR="00D01CDC" w:rsidRPr="00695061">
        <w:rPr>
          <w:sz w:val="24"/>
          <w:szCs w:val="24"/>
        </w:rPr>
        <w:fldChar w:fldCharType="end"/>
      </w:r>
      <w:r w:rsidR="001C0C6D" w:rsidRPr="00695061">
        <w:rPr>
          <w:sz w:val="24"/>
          <w:szCs w:val="24"/>
        </w:rPr>
        <w:t xml:space="preserve"> whilst the only other non-surgical therapy intralesional injection of collagenase has been withdrawn from the </w:t>
      </w:r>
      <w:r w:rsidR="004D5C26" w:rsidRPr="00695061">
        <w:rPr>
          <w:sz w:val="24"/>
          <w:szCs w:val="24"/>
        </w:rPr>
        <w:t xml:space="preserve">European </w:t>
      </w:r>
      <w:r w:rsidR="001C0C6D" w:rsidRPr="00695061">
        <w:rPr>
          <w:sz w:val="24"/>
          <w:szCs w:val="24"/>
        </w:rPr>
        <w:t xml:space="preserve">market recently </w:t>
      </w:r>
      <w:r w:rsidR="00D01CDC" w:rsidRPr="00695061">
        <w:rPr>
          <w:sz w:val="24"/>
          <w:szCs w:val="24"/>
        </w:rPr>
        <w:fldChar w:fldCharType="begin" w:fldLock="1"/>
      </w:r>
      <w:r w:rsidR="00F84101" w:rsidRPr="00695061">
        <w:rPr>
          <w:sz w:val="24"/>
          <w:szCs w:val="24"/>
        </w:rPr>
        <w:instrText>ADDIN CSL_CITATION {"citationItems":[{"id":"ITEM-1","itemData":{"DOI":"10.1038/s41443-021-00469-w","ISSN":"1476-5489","abstract":"Peyronie’s disease treatments is changing again due the interruption of Xiapex® distrubution in Europe. There are many reasons that can be referred to this event. In this editorial we would like to shed light on the current cost items relating to treatment with collagenase clostridium histolyticum (CCH). The inaccessibility of the drug has seen both an increase in surgery for the treatments of both PD and Dupuytren’s disease and an interruption of therapies in patients who had not completed their therapeutic cycle. Considering the aforementioned concerns, we would like to invite researchers dealing with PD to conduct studies with the available CCH products in collaboration with the drug companies in order to give again an efficacious treatment for PD.","author":[{"dropping-particle":"","family":"Cocci","given":"Andrea","non-dropping-particle":"","parse-names":false,"suffix":""},{"dropping-particle":"","family":"Russo","given":"Giorgio Ivan","non-dropping-particle":"","parse-names":false,"suffix":""},{"dropping-particle":"","family":"Martinez-Salamanca","given":"Juan Ignacio","non-dropping-particle":"","parse-names":false,"suffix":""},{"dropping-particle":"","family":"Ralph","given":"David","non-dropping-particle":"","parse-names":false,"suffix":""},{"dropping-particle":"","family":"Djinovic","given":"Rados","non-dropping-particle":"","parse-names":false,"suffix":""},{"dropping-particle":"","family":"Şerefoğlu","given":"Ege Can","non-dropping-particle":"","parse-names":false,"suffix":""},{"dropping-particle":"","family":"Mondaini","given":"Nicola","non-dropping-particle":"","parse-names":false,"suffix":""}],"container-title":"International Journal of Impotence Research","id":"ITEM-1","issued":{"date-parts":[["2021"]]},"title":"Is there a line between ethics and market competition? Lights and shades of the withdrawal of collagenase treatment for Peyronie’s disease","type":"article-journal"},"uris":["http://www.mendeley.com/documents/?uuid=4609027c-2389-3ad0-adbd-4b674c391e7a"]}],"mendeley":{"formattedCitation":"[4]","plainTextFormattedCitation":"[4]","previouslyFormattedCitation":"[4]"},"properties":{"noteIndex":0},"schema":"https://github.com/citation-style-language/schema/raw/master/csl-citation.json"}</w:instrText>
      </w:r>
      <w:r w:rsidR="00D01CDC" w:rsidRPr="00695061">
        <w:rPr>
          <w:sz w:val="24"/>
          <w:szCs w:val="24"/>
        </w:rPr>
        <w:fldChar w:fldCharType="separate"/>
      </w:r>
      <w:r w:rsidR="00D01CDC" w:rsidRPr="00695061">
        <w:rPr>
          <w:noProof/>
          <w:sz w:val="24"/>
          <w:szCs w:val="24"/>
        </w:rPr>
        <w:t>[4]</w:t>
      </w:r>
      <w:r w:rsidR="00D01CDC" w:rsidRPr="00695061">
        <w:rPr>
          <w:sz w:val="24"/>
          <w:szCs w:val="24"/>
        </w:rPr>
        <w:fldChar w:fldCharType="end"/>
      </w:r>
      <w:r w:rsidR="001C0C6D" w:rsidRPr="00695061">
        <w:rPr>
          <w:sz w:val="24"/>
          <w:szCs w:val="24"/>
        </w:rPr>
        <w:t>.</w:t>
      </w:r>
      <w:r w:rsidR="003A01B2" w:rsidRPr="00695061">
        <w:rPr>
          <w:sz w:val="24"/>
          <w:szCs w:val="24"/>
        </w:rPr>
        <w:t xml:space="preserve"> Collagenase and surgery are usually offered to men with PD </w:t>
      </w:r>
      <w:r w:rsidR="00910ED9" w:rsidRPr="00695061">
        <w:rPr>
          <w:sz w:val="24"/>
          <w:szCs w:val="24"/>
        </w:rPr>
        <w:t xml:space="preserve">in chronic phase after the inflammation subsided and the plaque is stabilised. </w:t>
      </w:r>
      <w:r w:rsidR="0075157F" w:rsidRPr="00695061">
        <w:rPr>
          <w:sz w:val="24"/>
          <w:szCs w:val="24"/>
        </w:rPr>
        <w:t>Traction devices are also</w:t>
      </w:r>
      <w:r w:rsidR="006B084D" w:rsidRPr="00695061">
        <w:rPr>
          <w:sz w:val="24"/>
          <w:szCs w:val="24"/>
        </w:rPr>
        <w:t xml:space="preserve"> indic</w:t>
      </w:r>
      <w:r w:rsidR="00CC1C9F" w:rsidRPr="00695061">
        <w:rPr>
          <w:sz w:val="24"/>
          <w:szCs w:val="24"/>
        </w:rPr>
        <w:t>a</w:t>
      </w:r>
      <w:r w:rsidR="006B084D" w:rsidRPr="00695061">
        <w:rPr>
          <w:sz w:val="24"/>
          <w:szCs w:val="24"/>
        </w:rPr>
        <w:t xml:space="preserve">ted for men with curvature or to correct lost penile </w:t>
      </w:r>
      <w:r w:rsidR="00CC1C9F" w:rsidRPr="00695061">
        <w:rPr>
          <w:sz w:val="24"/>
          <w:szCs w:val="24"/>
        </w:rPr>
        <w:t xml:space="preserve">length from surgery or chronic PD </w:t>
      </w:r>
      <w:r w:rsidR="00813D10" w:rsidRPr="00695061">
        <w:rPr>
          <w:sz w:val="24"/>
          <w:szCs w:val="24"/>
        </w:rPr>
        <w:fldChar w:fldCharType="begin" w:fldLock="1"/>
      </w:r>
      <w:r w:rsidR="00813D10" w:rsidRPr="00695061">
        <w:rPr>
          <w:sz w:val="24"/>
          <w:szCs w:val="24"/>
        </w:rPr>
        <w:instrText>ADDIN CSL_CITATION {"citationItems":[{"id":"ITEM-1","itemData":{"DOI":"10.1097/JU.0000000000000245","ISSN":"15273792","PMID":"30916626","abstract":"Purpose: Current penile traction therapy devices have significant limitations, including the need to use them for 3 to 8 hours per day. Given these issues, the novel RestoreX penile traction therapy device was developed in cooperation with Mayo Clinic. Materials and Methods: We performed a randomized, controlled, single-blind, intent to treat trial (ClinicalTrials.gov NCT03389854) in men with Peyronie's disease who were assigned to the penile traction therapy device for 30 to 90 minutes per day or to no therapy for 3 months. Study inclusion criteria were curvature 30 degrees or greater with no study exclusions due to complex curvature, hourglass deformity, prior Peyronie's disease therapy or surgery, or calcification. The primary outcome was safety and secondary outcomes were penile length and curvature, and questionnaire responses. Results: A total of 110 men were randomized 3:1 to the penile traction therapy group or the control group. The cohorts were well matched with a mean age of 58.4 years, a 49.7-month Peyronie's disease history and 59.3 degree curvature. Overall penile traction therapy was well tolerated with only transient and mild adverse events reported. At 3 months men undergoing penile traction therapy demonstrated significant improvements over controls in penile length (1.5 vs 0 cm, p &lt;0.001), curvature (e11.7 vs 1.3 degrees, p &lt;0.01) and erectile function (4.3 vs e0.7, p [ 0.01) according to the International Index of Erectile Function-Erectile Function among men with erectile dysfunction. Overall 77% of the men on penile traction therapy experienced improved curvature (mean e17.2 degrees in 28.2% of responders) while 94% achieved increased length (1.6 cm in 10.9%). Counter bending and the white line indicator improved efficacy, validating key device innovations. Of men who had previously used other penile traction therapy devices 100% preferred the RestoreX device. Conclusions: Penile traction therapy with the RestoreX device for 30 to 90 minutes per day was safe, and resulted in significant and clinically meaningful improvements in penile curvature and length in men with Peyronie's disease, and in erectile function in men with erectile dysfunction and Peyronie's disease with no significant adverse events. To our knowledge these data represent the only reported improvements for any device used less than 3 to 8 hours per day.","author":[{"dropping-particle":"","family":"Ziegelmann","given":"Matthew","non-dropping-particle":"","parse-names":false,"suffix":""},{"dropping-particle":"","family":"Savage","given":"Josh","non-dropping-particle":"","parse-names":false,"suffix":""},{"dropping-particle":"","family":"Toussi","given":"Amir","non-dropping-particle":"","parse-names":false,"suffix":""},{"dropping-particle":"","family":"Alom","given":"Manaf","non-dropping-particle":"","parse-names":false,"suffix":""},{"dropping-particle":"","family":"Yang","given":"David","non-dropping-particle":"","parse-names":false,"suffix":""},{"dropping-particle":"","family":"Kohler","given":"Tobias","non-dropping-particle":"","parse-names":false,"suffix":""},{"dropping-particle":"","family":"Trost","given":"Landon","non-dropping-particle":"","parse-names":false,"suffix":""}],"container-title":"Journal of Urology","id":"ITEM-1","issue":"3","issued":{"date-parts":[["2019","9","1"]]},"page":"599-609","publisher":"Lippincott Williams and Wilkins","title":"Outcomes of a novel penile traction device in men with peyronie's disease: A randomized, single-blind, controlled trial","type":"article-journal","volume":"202"},"uris":["http://www.mendeley.com/documents/?uuid=8bf53db3-d834-3c16-8164-789e70716b9d"]}],"mendeley":{"formattedCitation":"[5]","plainTextFormattedCitation":"[5]","previouslyFormattedCitation":"[5]"},"properties":{"noteIndex":0},"schema":"https://github.com/citation-style-language/schema/raw/master/csl-citation.json"}</w:instrText>
      </w:r>
      <w:r w:rsidR="00813D10" w:rsidRPr="00695061">
        <w:rPr>
          <w:sz w:val="24"/>
          <w:szCs w:val="24"/>
        </w:rPr>
        <w:fldChar w:fldCharType="separate"/>
      </w:r>
      <w:r w:rsidR="00813D10" w:rsidRPr="00695061">
        <w:rPr>
          <w:noProof/>
          <w:sz w:val="24"/>
          <w:szCs w:val="24"/>
        </w:rPr>
        <w:t>[5]</w:t>
      </w:r>
      <w:r w:rsidR="00813D10" w:rsidRPr="00695061">
        <w:rPr>
          <w:sz w:val="24"/>
          <w:szCs w:val="24"/>
        </w:rPr>
        <w:fldChar w:fldCharType="end"/>
      </w:r>
      <w:r w:rsidR="00813D10" w:rsidRPr="00695061">
        <w:rPr>
          <w:sz w:val="24"/>
          <w:szCs w:val="24"/>
        </w:rPr>
        <w:t>.</w:t>
      </w:r>
      <w:r w:rsidR="00CC091A" w:rsidRPr="00695061">
        <w:rPr>
          <w:sz w:val="24"/>
          <w:szCs w:val="24"/>
        </w:rPr>
        <w:t xml:space="preserve"> </w:t>
      </w:r>
      <w:r w:rsidR="00910ED9" w:rsidRPr="00695061">
        <w:rPr>
          <w:sz w:val="24"/>
          <w:szCs w:val="24"/>
        </w:rPr>
        <w:t xml:space="preserve">There are no </w:t>
      </w:r>
      <w:r w:rsidR="00F61E1E" w:rsidRPr="00695061">
        <w:rPr>
          <w:sz w:val="24"/>
          <w:szCs w:val="24"/>
        </w:rPr>
        <w:t>effective medications</w:t>
      </w:r>
      <w:r w:rsidR="00910ED9" w:rsidRPr="00695061">
        <w:rPr>
          <w:sz w:val="24"/>
          <w:szCs w:val="24"/>
        </w:rPr>
        <w:t xml:space="preserve"> </w:t>
      </w:r>
      <w:r w:rsidR="00CA4E0D" w:rsidRPr="00695061">
        <w:rPr>
          <w:sz w:val="24"/>
          <w:szCs w:val="24"/>
        </w:rPr>
        <w:t>that can be offered to patients who are in the acute phase.</w:t>
      </w:r>
    </w:p>
    <w:p w14:paraId="76ED4F1D" w14:textId="0E9C1610" w:rsidR="0083784F" w:rsidRPr="00695061" w:rsidRDefault="0083784F" w:rsidP="00AA6BAA">
      <w:pPr>
        <w:jc w:val="both"/>
        <w:rPr>
          <w:sz w:val="24"/>
          <w:szCs w:val="24"/>
        </w:rPr>
      </w:pPr>
      <w:r w:rsidRPr="00695061">
        <w:rPr>
          <w:sz w:val="24"/>
          <w:szCs w:val="24"/>
        </w:rPr>
        <w:t xml:space="preserve">The pathophysiological mechanism suggested for PD is repetitive trauma to the tunica albuginea </w:t>
      </w:r>
      <w:r w:rsidR="00EB59BE" w:rsidRPr="00695061">
        <w:rPr>
          <w:sz w:val="24"/>
          <w:szCs w:val="24"/>
        </w:rPr>
        <w:fldChar w:fldCharType="begin" w:fldLock="1"/>
      </w:r>
      <w:r w:rsidR="00813D10" w:rsidRPr="00695061">
        <w:rPr>
          <w:sz w:val="24"/>
          <w:szCs w:val="24"/>
        </w:rPr>
        <w:instrText>ADDIN CSL_CITATION {"citationItems":[{"id":"ITEM-1","itemData":{"DOI":"10.1016/S0022-5347(01)65361-8","ISSN":"0022-5347","abstract":"PURPOSE\nWe define the cause of the occurrence of Peyronie's disease. \n\nMATERIALS AND METHODS\nClinical evaluation of a large number of patients with Peyronie's disease, while taking into account the pathological and biochemical findings of the penis in patients who have been treated by surgery, has led to an understanding of the relationship of the anatomical structure of the penis to its rigidity during erection, and how the effect of the stress imposed upon those structures during intercourse is modified by the loss of compliance resulting from aging of the collagen composing those structures. Peyronie's disease occurs most frequently in middle-aged men, less frequently in older men and infrequently in younger men who have more elastic tissues. During erection, when full tumescence has occurred and the elastic tissues of the penis have reached the limit of their compliance, the strands of the septum give vertical rigidity to the penis. Bending the erect penis out of column stresses the attachment of the septal strands to the tunica albuginea. \n\nRESULTS\nPlaques of Peyronie's disease are found where the strands of the septum are attached in the dorsal or ventral aspect of the penis. The pathological scar in the tunica albuginea of the corpora cavernosa in Peyronie's disease is characterized by excessive collagen accumulation, fibrin deposition and disordered elastic fibers in the plaque. \n\nCONCLUSIONS\nWe suggest that Peyronie's disease results from repetitive microvascular injury, with fibrin deposition and trapping in the tissue space that is not adequately cleared during the normal remodeling and repair of the tear in the tunica. Fibroblast activation and proliferation, enhanced vessel permeability and generation of chemotactic factors for leukocytes are stimulated by fibrin deposited in the normal process of wound healing. However, in Peyronie's disease the lesion fails to resolve either due to an inability to clear the original stimulus or due to further deposition of fibrin subsequent to repeated trauma. Collagen is also trapped and pathological fibrosis ensues.","author":[{"dropping-particle":"","family":"Devine","given":"Charles J. Jr.","non-dropping-particle":"","parse-names":false,"suffix":""},{"dropping-particle":"","family":"Somers","given":"Kenneth D.","non-dropping-particle":"","parse-names":false,"suffix":""},{"dropping-particle":"","family":"Jordan","given":"Gerald H.","non-dropping-particle":"","parse-names":false,"suffix":""},{"dropping-particle":"","family":"Schlossberg","given":"Steven M.","non-dropping-particle":"","parse-names":false,"suffix":""}],"container-title":"The Journal of Urology","id":"ITEM-1","issue":"1","issued":{"date-parts":[["1997","1","1"]]},"page":"285-290","publisher":"Elsevier","title":"Proposal: Trauma as the Cause of the Peyronie's Lesion","type":"article-journal","volume":"157"},"uris":["http://www.mendeley.com/documents/?uuid=0e52ab84-dfc1-3af0-a8b9-861e6e0bdda0"]},{"id":"ITEM-2","itemData":{"DOI":"10.1038/sj.ijir.3900876","ISBN":"0955-9930 (Print)\\r0955-9930 (Linking)","ISSN":"09559930","PMID":"12454694","abstract":"In my opinion, Peyronie's disease is aberrant wound healing in response\\nto an inflammation trapped within the layers of tunica albuginea. The\\narrangement of the vessels traversing the tunica albuginea is unique in\\nthat a cuff of loose areolar tissue cushions the arteries while the\\nveins are in direct contact with the fibrous tunica. As a result, the\\narterial flow into the erectile tissue continues during erection (except\\nin the rigid phase when the intracavernous pressure exceeds the systolic\\nblood pressure) while the venous channels are compressed. When a blunt\\ntrauma breaks the fibers of the tunica with extravasation, the resulting\\ninflammatory response creates an area of edema and cell infiltration\\nwhich compress the nearby venous channels and forming a `trapped'\\ninflammatory response. While the secretions from leukocytes and\\nmacrophages such as elastases break the elastic fibers, the cytokines\\nsuch as transforming growth factor beta (TGFb) released by the same\\ncells stimulate production of intercellular matrix and collagen fibers.\\nMeanwhile, because the inflammation is trapped, TGFb and other cytokines\\ncannot be dispersed and degraded, they stimulate the production of more\\nTGFb, which in turn produces more matrix and collagen. In our cultured\\nPeyronie's fibroblasts, but to a much lesser degree on normal tunical\\nfibroblasts, we also found that TGFb stimulates the production of\\nmonocyte chemotaxic protein 1 (MCP-1) and connective tissue growth\\nfactor (CTGF). MCP-1 would attract more monocytes to the area and CTGF\\nwould produce more fibrosis. Rajfer et al. recently performed microarray\\ngene profiles and showed that osteoblast stimulating factor 1 was\\nupregulated in Peyronie's plaque, which explains the reported incidence\\nof calcification in up to 1/3 of patients with Peyronie's disease. All\\nof the 3 above `aberrations' can be attributed to the unique anatomy of\\nthe tunica albuginea where the densely packed tunical layers trapped the\\ninflammatory process, the venous outflow channels are compressed by the\\nfocal area of edema and cell infiltration while the immigration of\\nleukocytes and macrophages continues because the arterial flow is not\\nimpeded. The unique ability of TGFb to produce more of itself forms a\\nvicious cycle within this microenvironment and results in excessive\\nproduction of intercellular matrix and collagen fibers.(1) The final\\noutcome is a prolonged inflammatory response with total breakdown of the\\ndelic…","author":[{"dropping-particle":"","family":"Lue","given":"T F","non-dropping-particle":"","parse-names":false,"suffix":""}],"container-title":"International Journal of Impotence Research","id":"ITEM-2","issue":"5","issued":{"date-parts":[["2002","10","18"]]},"page":"411-413","publisher":"Nature Publishing Group","title":"Peyronie's disease: An anatomically-based hypothesis and beyond","type":"article","volume":"14"},"uris":["http://www.mendeley.com/documents/?uuid=7b01bdf2-db17-37bb-b82e-a961b2f38b5d"]}],"mendeley":{"formattedCitation":"[6,7]","plainTextFormattedCitation":"[6,7]","previouslyFormattedCitation":"[6,7]"},"properties":{"noteIndex":0},"schema":"https://github.com/citation-style-language/schema/raw/master/csl-citation.json"}</w:instrText>
      </w:r>
      <w:r w:rsidR="00EB59BE" w:rsidRPr="00695061">
        <w:rPr>
          <w:sz w:val="24"/>
          <w:szCs w:val="24"/>
        </w:rPr>
        <w:fldChar w:fldCharType="separate"/>
      </w:r>
      <w:r w:rsidR="00813D10" w:rsidRPr="00695061">
        <w:rPr>
          <w:noProof/>
          <w:sz w:val="24"/>
          <w:szCs w:val="24"/>
        </w:rPr>
        <w:t>[6,7]</w:t>
      </w:r>
      <w:r w:rsidR="00EB59BE" w:rsidRPr="00695061">
        <w:rPr>
          <w:sz w:val="24"/>
          <w:szCs w:val="24"/>
        </w:rPr>
        <w:fldChar w:fldCharType="end"/>
      </w:r>
      <w:r w:rsidRPr="00695061">
        <w:rPr>
          <w:sz w:val="24"/>
          <w:szCs w:val="24"/>
        </w:rPr>
        <w:t xml:space="preserve">, resulting from fibrinogen extravasation which in turn leads to </w:t>
      </w:r>
      <w:r w:rsidR="009E69A3" w:rsidRPr="00695061">
        <w:rPr>
          <w:sz w:val="24"/>
          <w:szCs w:val="24"/>
        </w:rPr>
        <w:t xml:space="preserve">inflammation and </w:t>
      </w:r>
      <w:r w:rsidR="00A030A4" w:rsidRPr="00695061">
        <w:rPr>
          <w:sz w:val="24"/>
          <w:szCs w:val="24"/>
        </w:rPr>
        <w:t xml:space="preserve">increased </w:t>
      </w:r>
      <w:r w:rsidRPr="00695061">
        <w:rPr>
          <w:sz w:val="24"/>
          <w:szCs w:val="24"/>
        </w:rPr>
        <w:t xml:space="preserve">expression of TGF-β1 </w:t>
      </w:r>
      <w:r w:rsidR="008360DC" w:rsidRPr="00695061">
        <w:rPr>
          <w:sz w:val="24"/>
          <w:szCs w:val="24"/>
        </w:rPr>
        <w:fldChar w:fldCharType="begin" w:fldLock="1"/>
      </w:r>
      <w:r w:rsidR="00813D10" w:rsidRPr="00695061">
        <w:rPr>
          <w:sz w:val="24"/>
          <w:szCs w:val="24"/>
        </w:rPr>
        <w:instrText>ADDIN CSL_CITATION {"citationItems":[{"id":"ITEM-1","itemData":{"DOI":"https://doi.org/10.1016/j.sxmr.2015.10.002","ISSN":"2050-0521","abstract":"Introduction\nPeyronie disease (PD) is a progressive fibrotic disorder of the penile tunica albuginea that results in fibrotic penile plaques and can lead to penile deformity. Characterized by aberrant fibrosis resulting in part from the persistence of myofibroblasts and altered gene expression, the molecular factors underpinning PD and other related fibrotic diatheses are just being elucidated. A genetic link to PD was first identified three decades ago using pedigree analyses. However, the specific genetic factors that predispose patients to aberrant fibrosis remain unknown, and the relations between these fibrotic conditions and other heritable diseases, including malignancy, are uncharacterized.\nAim\nTo review the current landscape linking molecular and genetic factors to aberrant fibrosis in PD and related fibrotic diatheses, including Dupuytren disease.\nMethods\nReview and evaluation of the literature from 1970 to the present for genetic factors associated with PD were performed.\nMain Outcome Measures\nData describing the genetic factors associated with PD were obtained.\nResults\nWe describe the known structural chromosomal abnormalities and single-nucleotide polymorphisms associated with fibrotic diatheses and discuss the spectrum of differential gene expression data comparing normal tissues with those derived from men with PD or Dupuytren disease. We discuss epigenetic mechanisms that might regulate gene expression and alter predisposition to fibrosis.\nConclusion\nAlthough the current understanding of the genetic factors associated with PD is limited, significant advances have been made during the past three decades. Further research is necessary to provide a more comprehensive understanding of the landscape of genetic factors responsible for the development of PD.","author":[{"dropping-particle":"","family":"Herati","given":"Amin S","non-dropping-particle":"","parse-names":false,"suffix":""},{"dropping-particle":"","family":"Pastuszak","given":"Alexander W","non-dropping-particle":"","parse-names":false,"suffix":""}],"container-title":"Sexual Medicine Reviews","id":"ITEM-1","issue":"1","issued":{"date-parts":[["2016"]]},"page":"85-94","title":"The Genetic Basis of Peyronie Disease: A Review","type":"article-journal","volume":"4"},"uris":["http://www.mendeley.com/documents/?uuid=6249432f-14f5-3630-b6b0-d839063b9f0f"]}],"mendeley":{"formattedCitation":"[8]","plainTextFormattedCitation":"[8]","previouslyFormattedCitation":"[8]"},"properties":{"noteIndex":0},"schema":"https://github.com/citation-style-language/schema/raw/master/csl-citation.json"}</w:instrText>
      </w:r>
      <w:r w:rsidR="008360DC" w:rsidRPr="00695061">
        <w:rPr>
          <w:sz w:val="24"/>
          <w:szCs w:val="24"/>
        </w:rPr>
        <w:fldChar w:fldCharType="separate"/>
      </w:r>
      <w:r w:rsidR="00813D10" w:rsidRPr="00695061">
        <w:rPr>
          <w:noProof/>
          <w:sz w:val="24"/>
          <w:szCs w:val="24"/>
        </w:rPr>
        <w:t>[8]</w:t>
      </w:r>
      <w:r w:rsidR="008360DC" w:rsidRPr="00695061">
        <w:rPr>
          <w:sz w:val="24"/>
          <w:szCs w:val="24"/>
        </w:rPr>
        <w:fldChar w:fldCharType="end"/>
      </w:r>
      <w:r w:rsidRPr="00695061">
        <w:rPr>
          <w:sz w:val="24"/>
          <w:szCs w:val="24"/>
        </w:rPr>
        <w:t>. Overexpression of TGF-β1 is considered a key factor in PD</w:t>
      </w:r>
      <w:r w:rsidR="009E69A3" w:rsidRPr="00695061">
        <w:rPr>
          <w:sz w:val="24"/>
          <w:szCs w:val="24"/>
        </w:rPr>
        <w:t xml:space="preserve"> </w:t>
      </w:r>
      <w:r w:rsidR="004A326C" w:rsidRPr="00695061">
        <w:rPr>
          <w:sz w:val="24"/>
          <w:szCs w:val="24"/>
        </w:rPr>
        <w:fldChar w:fldCharType="begin" w:fldLock="1"/>
      </w:r>
      <w:r w:rsidR="00813D10" w:rsidRPr="00695061">
        <w:rPr>
          <w:sz w:val="24"/>
          <w:szCs w:val="24"/>
        </w:rPr>
        <w:instrText>ADDIN CSL_CITATION {"citationItems":[{"id":"ITEM-1","itemData":{"DOI":"10.1016/j.sxmr.2019.02.004","ISSN":"20500521","PMID":"30962046","abstract":"Introduction: Peyronie's disease (PD) is a debilitating affliction for the male population, causing severe curvatures to the erect penis and erectile dysfunction in about 50% of men. This deviation of the penis significantly impairs sexual intercourse and causes depression and strains in the relationship. As of today, medical treatment options are few and far between, with surgery remaining as the sole reliable treatment. Aim: To give a general overview regarding fibrosis and the specific role of extracellular matrix, macrophages, and myofibroblasts in PD. Additionally, we will provide an overview of past and present research and how this has shaped our vision concerning the pathophysiology of PD. Methods: We performed a non-systematic literature review using the search terms “fibrosis,” “pathophysiology,” “myofibroblast,” “extracellular matrix,” “Peyronie's disease,” and “drug discovery.” Main Outcome Measure: We assessed current knowledge regarding fibrosis in PD and the possibility to use this knowledge for new treatment options. Results: Interpreting findings from the most recent next-generation sequencing, in vitro and in vivo PD research, we provide novel insights for the pathophysiology of PD. Using this knowledge, we will attempt to provide future directions for PD research and drug discovery, which is urgently needed, because its treatment has essentially been stagnating for about 30 years. Conclusion: Historically, PD has not been studied as widely as kidney, lung, or hepatic fibrosis, and our knowledge of its pathophysiology still remains relatively obscure. Nonetheless, recent breakthroughs using stem cells, next-generation sequencing, and phenotypical screening assays bring us several steps closer to filling the gaps in our knowledge. In the near future, clinical trials will prove essential to translate this plethora of preclinical data into usable tools that can improve the lives of many of our patients. Milenkovic U, Ilg MM, Cellek S, et al. Pathophysiology and Future Therapeutic Perspectives for Resolving Fibrosis in Peyronie's Disease. Sex Med Rev 2019;7:679–689.","author":[{"dropping-particle":"","family":"Milenkovic","given":"Uros","non-dropping-particle":"","parse-names":false,"suffix":""},{"dropping-particle":"","family":"Ilg","given":"Marcus M.","non-dropping-particle":"","parse-names":false,"suffix":""},{"dropping-particle":"","family":"Cellek","given":"Selim","non-dropping-particle":"","parse-names":false,"suffix":""},{"dropping-particle":"","family":"Albersen","given":"Maarten","non-dropping-particle":"","parse-names":false,"suffix":""}],"container-title":"Sexual Medicine Reviews","id":"ITEM-1","issue":"4","issued":{"date-parts":[["2019"]]},"page":"679-689","publisher":"Elsevier B.V.","title":"Pathophysiology and Future Therapeutic Perspectives for Resolving Fibrosis in Peyronie's Disease","type":"article","volume":"7"},"uris":["http://www.mendeley.com/documents/?uuid=0ed5f192-fba5-3bbe-9424-08ca45770f06"]}],"mendeley":{"formattedCitation":"[9]","plainTextFormattedCitation":"[9]","previouslyFormattedCitation":"[9]"},"properties":{"noteIndex":0},"schema":"https://github.com/citation-style-language/schema/raw/master/csl-citation.json"}</w:instrText>
      </w:r>
      <w:r w:rsidR="004A326C" w:rsidRPr="00695061">
        <w:rPr>
          <w:sz w:val="24"/>
          <w:szCs w:val="24"/>
        </w:rPr>
        <w:fldChar w:fldCharType="separate"/>
      </w:r>
      <w:r w:rsidR="00813D10" w:rsidRPr="00695061">
        <w:rPr>
          <w:noProof/>
          <w:sz w:val="24"/>
          <w:szCs w:val="24"/>
        </w:rPr>
        <w:t>[9]</w:t>
      </w:r>
      <w:r w:rsidR="004A326C" w:rsidRPr="00695061">
        <w:rPr>
          <w:sz w:val="24"/>
          <w:szCs w:val="24"/>
        </w:rPr>
        <w:fldChar w:fldCharType="end"/>
      </w:r>
      <w:r w:rsidRPr="00695061">
        <w:rPr>
          <w:sz w:val="24"/>
          <w:szCs w:val="24"/>
        </w:rPr>
        <w:t xml:space="preserve"> and fibrosis in general </w:t>
      </w:r>
      <w:r w:rsidR="004A326C" w:rsidRPr="00695061">
        <w:rPr>
          <w:sz w:val="24"/>
          <w:szCs w:val="24"/>
        </w:rPr>
        <w:fldChar w:fldCharType="begin" w:fldLock="1"/>
      </w:r>
      <w:r w:rsidR="00813D10" w:rsidRPr="00695061">
        <w:rPr>
          <w:sz w:val="24"/>
          <w:szCs w:val="24"/>
        </w:rPr>
        <w:instrText>ADDIN CSL_CITATION {"citationItems":[{"id":"ITEM-1","itemData":{"DOI":"10.1096/fj.03-1273rev","ISBN":"1530-6860; 0892-6638","ISSN":"0892-6638","PMID":"15117886","abstract":"The cause of fibrotic diseases, pathologies characterized by excessive production, deposition, and contraction of extracellular matrix, is unknown. To understand the molecular basis of fibrotic disease, it is essential to appreciate how matrix deposition is normally controlled and how this process is dysregulated in fibrogenesis. This review discusses the current state of knowledge concerning interactions among the profibrotic proteins transforming growth factor-beta (TGF-beta), connective tissue growth factor (CTGF, CCN2), and ED-A fibronectin (ED-A FN) and the antifibrotic proteins tumor necrosis factor-alpha (TNF-alpha) and gamma-interferon (IFN-gamma).","author":[{"dropping-particle":"","family":"Leask","given":"A.","non-dropping-particle":"","parse-names":false,"suffix":""},{"dropping-particle":"","family":"Abraham","given":"D J","non-dropping-particle":"","parse-names":false,"suffix":""}],"container-title":"The FASEB Journal","id":"ITEM-1","issue":"7","issued":{"date-parts":[["2004"]]},"page":"816-827","title":"TGF-ß signaling and the fibrotic response","type":"article-journal","volume":"18"},"uris":["http://www.mendeley.com/documents/?uuid=268ff228-277b-339f-93a4-741f62633809"]},{"id":"ITEM-2","itemData":{"DOI":"10.3109/08977194.2011.595714","ISBN":"1029-2292 (Electronic)\\n0897-7194 (Linking)","ISSN":"08977194","PMID":"21740331","abstract":"Transforming growth factor β (TGF-β) is a central mediator of fibrogenesis. TGF-β is upregulated and activated in fibrotic diseases and modulates fibroblast phenotype and function, inducing myofibroblast transdifferentiation while promoting matrix preservation. Studies in a wide range of experimental models have demonstrated the involvement of the canonical activin receptor-like kinase 5/Smad3 pathway in fibrosis. Smad-independent pathways may regulate Smad activation and, under certain conditions, may directly transduce fibrogenic signals. The profibrotic actions of TGF-β are mediated, at least in part, through induction of its downstream effector, connective tissue growth factor. In light of its essential role in the pathogenesis of fibrosis, TGF-β has emerged as an attractive therapeutic target. However, the pleiotropic and multifunctional effects of TGF-β and its role in tissue homeostasis, immunity and cell proliferation raise concerns regarding potential side effects that may be caused by TGF-β blockade. This minireview summarizes the role of TGF-β signaling pathways in the fibrotic response.","author":[{"dropping-particle":"","family":"Biernacka","given":"Anna","non-dropping-particle":"","parse-names":false,"suffix":""},{"dropping-particle":"","family":"Dobaczewski","given":"Marcin","non-dropping-particle":"","parse-names":false,"suffix":""},{"dropping-particle":"","family":"Frangogiannis","given":"Nikolaos G.","non-dropping-particle":"","parse-names":false,"suffix":""}],"container-title":"Growth Factors","id":"ITEM-2","issue":"5","issued":{"date-parts":[["2011"]]},"page":"196-202","title":"TGF-β signaling in fibrosis","type":"article-journal","volume":"29"},"uris":["http://www.mendeley.com/documents/?uuid=ffbfa422-2f6c-3bb1-8d5c-ca99f4a496ab"]}],"mendeley":{"formattedCitation":"[10,11]","plainTextFormattedCitation":"[10,11]","previouslyFormattedCitation":"[10,11]"},"properties":{"noteIndex":0},"schema":"https://github.com/citation-style-language/schema/raw/master/csl-citation.json"}</w:instrText>
      </w:r>
      <w:r w:rsidR="004A326C" w:rsidRPr="00695061">
        <w:rPr>
          <w:sz w:val="24"/>
          <w:szCs w:val="24"/>
        </w:rPr>
        <w:fldChar w:fldCharType="separate"/>
      </w:r>
      <w:r w:rsidR="00813D10" w:rsidRPr="00695061">
        <w:rPr>
          <w:noProof/>
          <w:sz w:val="24"/>
          <w:szCs w:val="24"/>
        </w:rPr>
        <w:t>[10,11]</w:t>
      </w:r>
      <w:r w:rsidR="004A326C" w:rsidRPr="00695061">
        <w:rPr>
          <w:sz w:val="24"/>
          <w:szCs w:val="24"/>
        </w:rPr>
        <w:fldChar w:fldCharType="end"/>
      </w:r>
      <w:r w:rsidRPr="00695061">
        <w:rPr>
          <w:sz w:val="24"/>
          <w:szCs w:val="24"/>
        </w:rPr>
        <w:t xml:space="preserve">. </w:t>
      </w:r>
    </w:p>
    <w:p w14:paraId="0850E914" w14:textId="25684A4F" w:rsidR="00691FAB" w:rsidRPr="00695061" w:rsidRDefault="0083784F" w:rsidP="00AA6BAA">
      <w:pPr>
        <w:jc w:val="both"/>
        <w:rPr>
          <w:sz w:val="24"/>
          <w:szCs w:val="24"/>
        </w:rPr>
      </w:pPr>
      <w:r w:rsidRPr="00695061">
        <w:rPr>
          <w:sz w:val="24"/>
          <w:szCs w:val="24"/>
        </w:rPr>
        <w:t xml:space="preserve">A key player in PD and </w:t>
      </w:r>
      <w:r w:rsidR="005D6452" w:rsidRPr="00695061">
        <w:rPr>
          <w:sz w:val="24"/>
          <w:szCs w:val="24"/>
        </w:rPr>
        <w:t xml:space="preserve">other </w:t>
      </w:r>
      <w:r w:rsidRPr="00695061">
        <w:rPr>
          <w:sz w:val="24"/>
          <w:szCs w:val="24"/>
        </w:rPr>
        <w:t>fibro</w:t>
      </w:r>
      <w:r w:rsidR="005D6452" w:rsidRPr="00695061">
        <w:rPr>
          <w:sz w:val="24"/>
          <w:szCs w:val="24"/>
        </w:rPr>
        <w:t>tic diseases</w:t>
      </w:r>
      <w:r w:rsidRPr="00695061">
        <w:rPr>
          <w:sz w:val="24"/>
          <w:szCs w:val="24"/>
        </w:rPr>
        <w:t xml:space="preserve"> is the myofibroblast which is a contractile, extracellular matrix producing, α-SMA-expressing cell type that is differentiat</w:t>
      </w:r>
      <w:r w:rsidR="00733903" w:rsidRPr="00695061">
        <w:rPr>
          <w:sz w:val="24"/>
          <w:szCs w:val="24"/>
        </w:rPr>
        <w:t>ed</w:t>
      </w:r>
      <w:r w:rsidRPr="00695061">
        <w:rPr>
          <w:sz w:val="24"/>
          <w:szCs w:val="24"/>
        </w:rPr>
        <w:t xml:space="preserve"> from tissue resident fibroblasts </w:t>
      </w:r>
      <w:r w:rsidR="00733903" w:rsidRPr="00695061">
        <w:rPr>
          <w:sz w:val="24"/>
          <w:szCs w:val="24"/>
        </w:rPr>
        <w:t xml:space="preserve">following </w:t>
      </w:r>
      <w:r w:rsidR="005D6452" w:rsidRPr="00695061">
        <w:rPr>
          <w:sz w:val="24"/>
          <w:szCs w:val="24"/>
        </w:rPr>
        <w:t>activat</w:t>
      </w:r>
      <w:r w:rsidR="00733903" w:rsidRPr="00695061">
        <w:rPr>
          <w:sz w:val="24"/>
          <w:szCs w:val="24"/>
        </w:rPr>
        <w:t>ion</w:t>
      </w:r>
      <w:r w:rsidR="005D6452" w:rsidRPr="00695061">
        <w:rPr>
          <w:sz w:val="24"/>
          <w:szCs w:val="24"/>
        </w:rPr>
        <w:t xml:space="preserve"> by TGF-β1 </w:t>
      </w:r>
      <w:r w:rsidR="0070110B" w:rsidRPr="00695061">
        <w:rPr>
          <w:sz w:val="24"/>
          <w:szCs w:val="24"/>
        </w:rPr>
        <w:fldChar w:fldCharType="begin" w:fldLock="1"/>
      </w:r>
      <w:r w:rsidR="00813D10" w:rsidRPr="00695061">
        <w:rPr>
          <w:sz w:val="24"/>
          <w:szCs w:val="24"/>
        </w:rPr>
        <w:instrText>ADDIN CSL_CITATION {"citationItems":[{"id":"ITEM-1","itemData":{"DOI":"10.1007/s11934-004-0074-y","ISSN":"15272737","abstract":"Peyronie's disease is an acquired benign condition representing localized fibrosis of the penis. The disease is caused by microvascular trauma to the penis, with subsequent fibrin deposition resulting in aberrant wound healing and possibly other etiologies. Histopathologic studies of the Peyronie's plaque have demonstrated the role of transforming growth factor-beta 1 in the pathologic development of penile plaque. Animal models have been developed to test pathophysiology and therapeutics. The role of inducible nitric oxide synthase and nitric oxide has been established to limit and counteract fibrosis. Differential gene expression studies have identified candidate up-regulated or down-regulated genes that are involved in the pathophysiology of Peyronie's disease.","author":[{"dropping-particle":"","family":"Jalkut","given":"Mark","non-dropping-particle":"","parse-names":false,"suffix":""},{"dropping-particle":"","family":"Gonzalez-Cadavid","given":"Nestor","non-dropping-particle":"","parse-names":false,"suffix":""},{"dropping-particle":"","family":"Rajfer","given":"Jacob","non-dropping-particle":"","parse-names":false,"suffix":""}],"container-title":"Current urology reports","id":"ITEM-1","issued":{"date-parts":[["2004"]]},"title":"New discoveries in the basic science understanding of Peyronie's disease.","type":"article"},"uris":["http://www.mendeley.com/documents/?uuid=9c4e9b1c-6a43-3bfd-8cbe-07220b3f094e"]},{"id":"ITEM-2","itemData":{"DOI":"10.1111/jsm.12760","ISSN":"17436109","PMID":"25496134","abstract":"Introduction: The success of medical therapies for Peyronie's disease (PD) has not been optimal, possibly because many of them went directly to clinical application without sufficient preclinical scientific research. Previous studies revealed cellular and molecular pathways involved in the formation of the PD plaque and in particular the role of the myofibroblast. Aims: The current work aimed to determine under normal and fibrotic conditions what differentiates PD cells from tunica albuginea (TA) and corpora cavernosa (CC) cells by defining their global transcriptional signatures and testing in vivo whether PD cells can generate a PD-like plaque. Methods: Human TA, PD, and CC cells were grown with transforming growth factor beta 1 (TGFβ1; TA+, PD+, CC+) or without it (TA-, PD-, CC-) and assayed by (i) immunofluorescence, Western blot and RT-PCR for myofibroblast, smooth muscle cell and stem cell markers; (ii) collagen content; and (iii) DNA microarray analysis. The ability of PD+ cells to induce a PD-like plaque in an immuno-suppressed rat model was assessed by Masson trichrome and Picrosirius Red stainings. Main Outcomes Measures: Fibroproliferative features of PD cells and identification of related key genes as novel targets to reduce plaque size. Results: Upon TGFβ1stimulation, collagen levels were increased by myofibroblasts in the PD+ but not in the CC+ cells. The transcriptional signature of the PD- cells identified fibroproliferative, myogenic (myofibroblasts), inflammatory, and collagen turnover genes that differentiate them from TA- or CC- cells and respond to TGFβ1 with a PD+ fibrotic phenotype, by upregulation of IGF-1, ACTG2, MYF5, ACTC1, PSTN, COL III, MMP3, and others. The PD+ cells injected into the TA of the rat induce a PD-like plaque. Conclusions: This suggests a novel combination therapy to eliminate a PD plaque by targeting the identified genes to (i) improve collagenase action by stimulating endogenous metalloproteinases specific to key collagen types and (ii) counteract fibromatosis by inhibiting myofibroblast generation, proliferation, and/or apoptosis.","author":[{"dropping-particle":"","family":"Gelfand","given":"Robert A.","non-dropping-particle":"","parse-names":false,"suffix":""},{"dropping-particle":"","family":"Vernet","given":"Dolores","non-dropping-particle":"","parse-names":false,"suffix":""},{"dropping-particle":"","family":"Kovanecz","given":"Istvan","non-dropping-particle":"","parse-names":false,"suffix":""},{"dropping-particle":"","family":"Rajfer","given":"Jacob","non-dropping-particle":"","parse-names":false,"suffix":""},{"dropping-particle":"","family":"Gonzalez-Cadavid","given":"Nestor F.","non-dropping-particle":"","parse-names":false,"suffix":""}],"container-title":"Journal of Sexual Medicine","id":"ITEM-2","issue":"2","issued":{"date-parts":[["2015","2","1"]]},"page":"313-327","publisher":"Blackwell Publishing Ltd","title":"The Transcriptional Signatures of Cells from the Human Peyronie's Disease Plaque and the Ability of These Cells to Generate a Plaque in a Rat Model Suggest Potential Therapeutic Targets","type":"article-journal","volume":"12"},"uris":["http://www.mendeley.com/documents/?uuid=e8930878-0d0b-311f-b91a-d08ea8b6d1e0"]},{"id":"ITEM-3","itemData":{"DOI":"10.1016/j.matbio.2018.01.019","ISSN":"15691802","PMID":"29408013","abstract":"Scarring is part of the normal healing response to tissue injury in all organs and required to rapidly repair acute damages, mostly with extracellular matrix. A variety of different cells are activated into myofibroblasts to produce and remodel the scar matrix. Temporal and spatial coordination of myofibroblast activities with inflammatory macrophages is crucial for the controlled healing process. Miscommunication can result in either insufficient (chronic) or exacerbated (fibrotic) repair. In addition to soluble biochemical signals and intercellular contacts, cell-to-cell communication is mediated by biophysical and chemical signals transmitted through the extracellular matrix. Over the course of healing, the matrix takes over the role of a master coordinator; failure to do so produces poor healing outcomes that reduce organ function. Understanding the mechanical and chemical state of the matrix and its effects on cellular processes will be essential to address diseases that are characterized by dysfunctional matrix, such as fibrosis.","author":[{"dropping-particle":"","family":"Pakshir","given":"Pardis","non-dropping-particle":"","parse-names":false,"suffix":""},{"dropping-particle":"","family":"Hinz","given":"Boris","non-dropping-particle":"","parse-names":false,"suffix":""}],"container-title":"Matrix Biology","id":"ITEM-3","issued":{"date-parts":[["2018","8","1"]]},"page":"81-93","publisher":"Elsevier","title":"The big five in fibrosis: Macrophages, myofibroblasts, matrix, mechanics, and miscommunication","type":"article-journal","volume":"68-69"},"uris":["http://www.mendeley.com/documents/?uuid=2801113b-6e01-3e03-8113-c4e151c8d211"]}],"mendeley":{"formattedCitation":"[12–14]","plainTextFormattedCitation":"[12–14]","previouslyFormattedCitation":"[12–14]"},"properties":{"noteIndex":0},"schema":"https://github.com/citation-style-language/schema/raw/master/csl-citation.json"}</w:instrText>
      </w:r>
      <w:r w:rsidR="0070110B" w:rsidRPr="00695061">
        <w:rPr>
          <w:sz w:val="24"/>
          <w:szCs w:val="24"/>
        </w:rPr>
        <w:fldChar w:fldCharType="separate"/>
      </w:r>
      <w:r w:rsidR="00813D10" w:rsidRPr="00695061">
        <w:rPr>
          <w:noProof/>
          <w:sz w:val="24"/>
          <w:szCs w:val="24"/>
        </w:rPr>
        <w:t>[12–14]</w:t>
      </w:r>
      <w:r w:rsidR="0070110B" w:rsidRPr="00695061">
        <w:rPr>
          <w:sz w:val="24"/>
          <w:szCs w:val="24"/>
        </w:rPr>
        <w:fldChar w:fldCharType="end"/>
      </w:r>
      <w:r w:rsidRPr="00695061">
        <w:rPr>
          <w:sz w:val="24"/>
          <w:szCs w:val="24"/>
        </w:rPr>
        <w:t xml:space="preserve">. Targeting myofibroblasts has been described as a viable treatment option for fibrosis </w:t>
      </w:r>
      <w:r w:rsidR="00F84101" w:rsidRPr="00695061">
        <w:rPr>
          <w:sz w:val="24"/>
          <w:szCs w:val="24"/>
        </w:rPr>
        <w:fldChar w:fldCharType="begin" w:fldLock="1"/>
      </w:r>
      <w:r w:rsidR="00813D10" w:rsidRPr="00695061">
        <w:rPr>
          <w:sz w:val="24"/>
          <w:szCs w:val="24"/>
        </w:rPr>
        <w:instrText>ADDIN CSL_CITATION {"citationItems":[{"id":"ITEM-1","itemData":{"DOI":"10.1073/pnas.1702750114","ISSN":"0027-8424","abstract":"The treatment of fibrosis remains a critically important unmet medical need, as nearly 45% of all natural deaths in the Western world are attributed to chronic fibroproliferative disease complications. Fibrosis is characterized by the excessive deposition of extracellular matrix proteins by resident fibroblast-derived myofibroblasts. From an imaging-based screen, we identified the antifungal drug itraconazole as an inhibitor of myofibroblast transdifferentiation from multiple resident fibroblast populations. A derivative of this drug was found to inhibit fibrotic disease progression in mouse models of lung, liver, and skin fibrosis, demonstrating that inhibiting differentiation to the myofibroblast cell state is a practical strategy to treat a wide range of fibrosis-related diseases.","author":[{"dropping-particle":"","family":"Bollong","given":"Michael J","non-dropping-particle":"","parse-names":false,"suffix":""},{"dropping-particle":"","family":"Yang","given":"Baiyuan","non-dropping-particle":"","parse-names":false,"suffix":""},{"dropping-particle":"","family":"Vergani","given":"Naja","non-dropping-particle":"","parse-names":false,"suffix":""},{"dropping-particle":"","family":"Beyer","given":"Brittney A","non-dropping-particle":"","parse-names":false,"suffix":""},{"dropping-particle":"","family":"Chin","given":"Emily N","non-dropping-particle":"","parse-names":false,"suffix":""},{"dropping-particle":"","family":"Zambaldo","given":"Claudio","non-dropping-particle":"","parse-names":false,"suffix":""},{"dropping-particle":"","family":"Wang","given":"Danling","non-dropping-particle":"","parse-names":false,"suffix":""},{"dropping-particle":"","family":"Chatterjee","given":"Arnab K","non-dropping-particle":"","parse-names":false,"suffix":""},{"dropping-particle":"","family":"Lairson","given":"Luke L","non-dropping-particle":"","parse-names":false,"suffix":""},{"dropping-particle":"","family":"Schultz","given":"Peter G","non-dropping-particle":"","parse-names":false,"suffix":""}],"container-title":"Proceedings of the National Academy of Sciences of the United States of America","id":"ITEM-1","issue":"18","issued":{"date-parts":[["2017","5","2"]]},"page":"4679-4684","publisher":"National Academy of Sciences","title":"Small molecule-mediated inhibition of myofibroblast transdifferentiation for the treatment of fibrosis","type":"article-journal","volume":"114"},"uris":["http://www.mendeley.com/documents/?uuid=280f4939-f865-390f-bbdf-607a866dd04a"]}],"mendeley":{"formattedCitation":"[15]","plainTextFormattedCitation":"[15]","previouslyFormattedCitation":"[15]"},"properties":{"noteIndex":0},"schema":"https://github.com/citation-style-language/schema/raw/master/csl-citation.json"}</w:instrText>
      </w:r>
      <w:r w:rsidR="00F84101" w:rsidRPr="00695061">
        <w:rPr>
          <w:sz w:val="24"/>
          <w:szCs w:val="24"/>
        </w:rPr>
        <w:fldChar w:fldCharType="separate"/>
      </w:r>
      <w:r w:rsidR="00813D10" w:rsidRPr="00695061">
        <w:rPr>
          <w:noProof/>
          <w:sz w:val="24"/>
          <w:szCs w:val="24"/>
        </w:rPr>
        <w:t>[15]</w:t>
      </w:r>
      <w:r w:rsidR="00F84101" w:rsidRPr="00695061">
        <w:rPr>
          <w:sz w:val="24"/>
          <w:szCs w:val="24"/>
        </w:rPr>
        <w:fldChar w:fldCharType="end"/>
      </w:r>
      <w:r w:rsidRPr="00695061">
        <w:rPr>
          <w:sz w:val="24"/>
          <w:szCs w:val="24"/>
        </w:rPr>
        <w:t xml:space="preserve">, however, treatments to achieve this have been scarce. </w:t>
      </w:r>
      <w:r w:rsidR="00336D48" w:rsidRPr="00695061">
        <w:rPr>
          <w:sz w:val="24"/>
          <w:szCs w:val="24"/>
        </w:rPr>
        <w:t>Particularly</w:t>
      </w:r>
      <w:r w:rsidR="003128D4" w:rsidRPr="00695061">
        <w:rPr>
          <w:sz w:val="24"/>
          <w:szCs w:val="24"/>
        </w:rPr>
        <w:t xml:space="preserve"> for PD, inhibition of transformation of resident fibroblasts to myofibroblasts </w:t>
      </w:r>
      <w:r w:rsidR="00336D48" w:rsidRPr="00695061">
        <w:rPr>
          <w:sz w:val="24"/>
          <w:szCs w:val="24"/>
        </w:rPr>
        <w:t>might be a way to slow or halt the progression of the disease in the acute phase</w:t>
      </w:r>
      <w:r w:rsidR="00F500BD" w:rsidRPr="00695061">
        <w:rPr>
          <w:sz w:val="24"/>
          <w:szCs w:val="24"/>
        </w:rPr>
        <w:t>.</w:t>
      </w:r>
    </w:p>
    <w:p w14:paraId="0909B167" w14:textId="445783A8" w:rsidR="00F500BD" w:rsidRPr="00695061" w:rsidRDefault="00F500BD" w:rsidP="00AA6BAA">
      <w:pPr>
        <w:jc w:val="both"/>
        <w:rPr>
          <w:sz w:val="24"/>
          <w:szCs w:val="24"/>
        </w:rPr>
      </w:pPr>
      <w:r w:rsidRPr="00695061">
        <w:rPr>
          <w:sz w:val="24"/>
          <w:szCs w:val="24"/>
        </w:rPr>
        <w:t xml:space="preserve">In order to test whether such approach might be efficacious, we previously developed a phenotypic screening assay where </w:t>
      </w:r>
      <w:r w:rsidR="00F45D9E" w:rsidRPr="00695061">
        <w:rPr>
          <w:sz w:val="24"/>
          <w:szCs w:val="24"/>
        </w:rPr>
        <w:t xml:space="preserve">human primary fibroblasts obtained from the TA of patients with PD were transformed to myofibroblasts in response to TGF-β1. </w:t>
      </w:r>
      <w:r w:rsidR="005D4AE8" w:rsidRPr="00695061">
        <w:rPr>
          <w:sz w:val="24"/>
          <w:szCs w:val="24"/>
        </w:rPr>
        <w:t>U</w:t>
      </w:r>
      <w:r w:rsidR="00F45D9E" w:rsidRPr="00695061">
        <w:rPr>
          <w:sz w:val="24"/>
          <w:szCs w:val="24"/>
        </w:rPr>
        <w:t xml:space="preserve">sing this assay </w:t>
      </w:r>
      <w:r w:rsidR="005D4AE8" w:rsidRPr="00695061">
        <w:rPr>
          <w:sz w:val="24"/>
          <w:szCs w:val="24"/>
        </w:rPr>
        <w:t>we screened 1,954 FDA-approved drugs in order to find those drugs that would inhibit the transformation of fibroblasts to myofibroblasts</w:t>
      </w:r>
      <w:r w:rsidR="00295E21" w:rsidRPr="00695061">
        <w:rPr>
          <w:sz w:val="24"/>
          <w:szCs w:val="24"/>
        </w:rPr>
        <w:t xml:space="preserve">. This screening campaign identified phosphodiesterase type 5 inhibitors (PDE5i; sildenafil, vardenafil and tadalafil) and selective </w:t>
      </w:r>
      <w:proofErr w:type="spellStart"/>
      <w:r w:rsidR="00295E21" w:rsidRPr="00695061">
        <w:rPr>
          <w:sz w:val="24"/>
          <w:szCs w:val="24"/>
        </w:rPr>
        <w:t>estrogen</w:t>
      </w:r>
      <w:proofErr w:type="spellEnd"/>
      <w:r w:rsidR="00295E21" w:rsidRPr="00695061">
        <w:rPr>
          <w:sz w:val="24"/>
          <w:szCs w:val="24"/>
        </w:rPr>
        <w:t xml:space="preserve"> receptor modul</w:t>
      </w:r>
      <w:r w:rsidR="002F78F7" w:rsidRPr="00695061">
        <w:rPr>
          <w:sz w:val="24"/>
          <w:szCs w:val="24"/>
        </w:rPr>
        <w:t xml:space="preserve">ators (SERMs; tamoxifen and raloxifene) as possible candidates. When a PDE5i and a SERM was tested simultaneously, </w:t>
      </w:r>
      <w:r w:rsidR="00D67060" w:rsidRPr="00695061">
        <w:rPr>
          <w:sz w:val="24"/>
          <w:szCs w:val="24"/>
        </w:rPr>
        <w:t xml:space="preserve">a synergy was observed; meaning that the inhibition elicited by the combination of two drugs was greater than the </w:t>
      </w:r>
      <w:r w:rsidR="007346CD" w:rsidRPr="00695061">
        <w:rPr>
          <w:sz w:val="24"/>
          <w:szCs w:val="24"/>
        </w:rPr>
        <w:t>arithmetic sum of the inhibition</w:t>
      </w:r>
      <w:r w:rsidR="005A74D2" w:rsidRPr="00695061">
        <w:rPr>
          <w:sz w:val="24"/>
          <w:szCs w:val="24"/>
        </w:rPr>
        <w:t>s</w:t>
      </w:r>
      <w:r w:rsidR="007346CD" w:rsidRPr="00695061">
        <w:rPr>
          <w:sz w:val="24"/>
          <w:szCs w:val="24"/>
        </w:rPr>
        <w:t xml:space="preserve"> elicited by individual drugs</w:t>
      </w:r>
      <w:r w:rsidR="008C27EC" w:rsidRPr="00695061">
        <w:rPr>
          <w:sz w:val="24"/>
          <w:szCs w:val="24"/>
        </w:rPr>
        <w:t xml:space="preserve"> </w:t>
      </w:r>
      <w:r w:rsidR="008C27EC" w:rsidRPr="00695061">
        <w:rPr>
          <w:sz w:val="24"/>
          <w:szCs w:val="24"/>
        </w:rPr>
        <w:fldChar w:fldCharType="begin" w:fldLock="1"/>
      </w:r>
      <w:r w:rsidR="00813D10" w:rsidRPr="00695061">
        <w:rPr>
          <w:sz w:val="24"/>
          <w:szCs w:val="24"/>
        </w:rPr>
        <w:instrText>ADDIN CSL_CITATION {"citationItems":[{"id":"ITEM-1","itemData":{"DOI":"10.1016/j.eururo.2018.10.014","ISSN":"18737560","abstract":"Background: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Urology","id":"ITEM-1","issue":"2","issued":{"date-parts":[["2019"]]},"page":"329-340","title":"Antifibrotic Synergy Between Phosphodiesterase Type 5 Inhibitors and Selective Oestrogen Receptor Modulators in Peyronie's Disease Models","type":"article-journal","volume":"75"},"uris":["http://www.mendeley.com/documents/?uuid=bff5c9d0-a461-3882-bd6b-be96b76e6abb"]}],"mendeley":{"formattedCitation":"[16]","plainTextFormattedCitation":"[16]","previouslyFormattedCitation":"[16]"},"properties":{"noteIndex":0},"schema":"https://github.com/citation-style-language/schema/raw/master/csl-citation.json"}</w:instrText>
      </w:r>
      <w:r w:rsidR="008C27EC" w:rsidRPr="00695061">
        <w:rPr>
          <w:sz w:val="24"/>
          <w:szCs w:val="24"/>
        </w:rPr>
        <w:fldChar w:fldCharType="separate"/>
      </w:r>
      <w:r w:rsidR="00813D10" w:rsidRPr="00695061">
        <w:rPr>
          <w:noProof/>
          <w:sz w:val="24"/>
          <w:szCs w:val="24"/>
        </w:rPr>
        <w:t>[16]</w:t>
      </w:r>
      <w:r w:rsidR="008C27EC" w:rsidRPr="00695061">
        <w:rPr>
          <w:sz w:val="24"/>
          <w:szCs w:val="24"/>
        </w:rPr>
        <w:fldChar w:fldCharType="end"/>
      </w:r>
      <w:r w:rsidR="007346CD" w:rsidRPr="00695061">
        <w:rPr>
          <w:sz w:val="24"/>
          <w:szCs w:val="24"/>
        </w:rPr>
        <w:t>. Th</w:t>
      </w:r>
      <w:r w:rsidR="00C752EB" w:rsidRPr="00695061">
        <w:rPr>
          <w:sz w:val="24"/>
          <w:szCs w:val="24"/>
        </w:rPr>
        <w:t xml:space="preserve">e PDE5i+SERM combination was also effective in </w:t>
      </w:r>
      <w:r w:rsidR="004B247F" w:rsidRPr="00695061">
        <w:rPr>
          <w:sz w:val="24"/>
          <w:szCs w:val="24"/>
        </w:rPr>
        <w:t xml:space="preserve">preventing plaque formation and development of erectile dysfunction </w:t>
      </w:r>
      <w:r w:rsidR="003F5E14" w:rsidRPr="00695061">
        <w:rPr>
          <w:sz w:val="24"/>
          <w:szCs w:val="24"/>
        </w:rPr>
        <w:t xml:space="preserve">in </w:t>
      </w:r>
      <w:r w:rsidR="004B247F" w:rsidRPr="00695061">
        <w:rPr>
          <w:sz w:val="24"/>
          <w:szCs w:val="24"/>
        </w:rPr>
        <w:t xml:space="preserve">a rat model of PD </w:t>
      </w:r>
      <w:r w:rsidR="008C27EC" w:rsidRPr="00695061">
        <w:rPr>
          <w:sz w:val="24"/>
          <w:szCs w:val="24"/>
        </w:rPr>
        <w:fldChar w:fldCharType="begin" w:fldLock="1"/>
      </w:r>
      <w:r w:rsidR="00813D10" w:rsidRPr="00695061">
        <w:rPr>
          <w:sz w:val="24"/>
          <w:szCs w:val="24"/>
        </w:rPr>
        <w:instrText>ADDIN CSL_CITATION {"citationItems":[{"id":"ITEM-1","itemData":{"DOI":"10.1016/j.eururo.2018.10.014","ISSN":"18737560","abstract":"Background: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Urology","id":"ITEM-1","issue":"2","issued":{"date-parts":[["2019"]]},"page":"329-340","title":"Antifibrotic Synergy Between Phosphodiesterase Type 5 Inhibitors and Selective Oestrogen Receptor Modulators in Peyronie's Disease Models","type":"article-journal","volume":"75"},"uris":["http://www.mendeley.com/documents/?uuid=bff5c9d0-a461-3882-bd6b-be96b76e6abb"]}],"mendeley":{"formattedCitation":"[16]","plainTextFormattedCitation":"[16]","previouslyFormattedCitation":"[16]"},"properties":{"noteIndex":0},"schema":"https://github.com/citation-style-language/schema/raw/master/csl-citation.json"}</w:instrText>
      </w:r>
      <w:r w:rsidR="008C27EC" w:rsidRPr="00695061">
        <w:rPr>
          <w:sz w:val="24"/>
          <w:szCs w:val="24"/>
        </w:rPr>
        <w:fldChar w:fldCharType="separate"/>
      </w:r>
      <w:r w:rsidR="00813D10" w:rsidRPr="00695061">
        <w:rPr>
          <w:noProof/>
          <w:sz w:val="24"/>
          <w:szCs w:val="24"/>
        </w:rPr>
        <w:t>[16]</w:t>
      </w:r>
      <w:r w:rsidR="008C27EC" w:rsidRPr="00695061">
        <w:rPr>
          <w:sz w:val="24"/>
          <w:szCs w:val="24"/>
        </w:rPr>
        <w:fldChar w:fldCharType="end"/>
      </w:r>
      <w:r w:rsidR="003F5E14" w:rsidRPr="00695061">
        <w:rPr>
          <w:sz w:val="24"/>
          <w:szCs w:val="24"/>
        </w:rPr>
        <w:t>. Furthermore, we have recently demonstrated in a pilot clinical study that</w:t>
      </w:r>
      <w:r w:rsidR="003F763D" w:rsidRPr="00695061">
        <w:rPr>
          <w:sz w:val="24"/>
          <w:szCs w:val="24"/>
        </w:rPr>
        <w:t xml:space="preserve"> the</w:t>
      </w:r>
      <w:r w:rsidR="003F5E14" w:rsidRPr="00695061">
        <w:rPr>
          <w:sz w:val="24"/>
          <w:szCs w:val="24"/>
        </w:rPr>
        <w:t xml:space="preserve"> combination of tamox</w:t>
      </w:r>
      <w:r w:rsidR="003F763D" w:rsidRPr="00695061">
        <w:rPr>
          <w:sz w:val="24"/>
          <w:szCs w:val="24"/>
        </w:rPr>
        <w:t>ifen with a PDE5i was able to slow the progression of the disease in men presented with acute</w:t>
      </w:r>
      <w:r w:rsidR="00822516" w:rsidRPr="00695061">
        <w:rPr>
          <w:sz w:val="24"/>
          <w:szCs w:val="24"/>
        </w:rPr>
        <w:t xml:space="preserve"> PD</w:t>
      </w:r>
      <w:r w:rsidR="00334120" w:rsidRPr="00695061">
        <w:rPr>
          <w:sz w:val="24"/>
          <w:szCs w:val="24"/>
        </w:rPr>
        <w:t xml:space="preserve"> </w:t>
      </w:r>
      <w:r w:rsidR="008C27EC" w:rsidRPr="00695061">
        <w:rPr>
          <w:sz w:val="24"/>
          <w:szCs w:val="24"/>
        </w:rPr>
        <w:fldChar w:fldCharType="begin" w:fldLock="1"/>
      </w:r>
      <w:r w:rsidR="007D7BEE" w:rsidRPr="00695061">
        <w:rPr>
          <w:sz w:val="24"/>
          <w:szCs w:val="24"/>
        </w:rPr>
        <w:instrText>ADDIN CSL_CITATION {"citationItems":[{"id":"ITEM-1","itemData":{"author":[{"dropping-particle":"","family":"Matthew Megson","given":"","non-dropping-particle":"","parse-names":false,"suffix":""},{"dropping-particle":"","family":"Christopher Merrett","given":"","non-dropping-particle":"","parse-names":false,"suffix":""},{"dropping-particle":"","family":"Marcus Ilg","given":"","non-dropping-particle":"","parse-names":false,"suffix":""},{"dropping-particle":"","family":"Selim Cellek","given":"","non-dropping-particle":"","parse-names":false,"suffix":""},{"dropping-particle":"","family":"David Ralph","given":"","non-dropping-particle":"","parse-names":false,"suffix":""}],"container-title":"Presented at European Society for Sexual Medicine Annual Congress, 17-19 February 2022. Abstract to be published in Journal of Sexual Medicine. ","id":"ITEM-1","issued":{"date-parts":[["0"]]},"title":"Can tamoxifen and a PDE5 inhibitor slow the progression of Peyronie’s disease?","type":"article-journal"},"uris":["http://www.mendeley.com/documents/?uuid=c830eb75-148d-3624-bb3b-a545bdb9bb13"]}],"mendeley":{"formattedCitation":"[17]","plainTextFormattedCitation":"[17]","previouslyFormattedCitation":"[17]"},"properties":{"noteIndex":0},"schema":"https://github.com/citation-style-language/schema/raw/master/csl-citation.json"}</w:instrText>
      </w:r>
      <w:r w:rsidR="008C27EC" w:rsidRPr="00695061">
        <w:rPr>
          <w:sz w:val="24"/>
          <w:szCs w:val="24"/>
        </w:rPr>
        <w:fldChar w:fldCharType="separate"/>
      </w:r>
      <w:r w:rsidR="00813D10" w:rsidRPr="00695061">
        <w:rPr>
          <w:noProof/>
          <w:sz w:val="24"/>
          <w:szCs w:val="24"/>
        </w:rPr>
        <w:t>[17]</w:t>
      </w:r>
      <w:r w:rsidR="008C27EC" w:rsidRPr="00695061">
        <w:rPr>
          <w:sz w:val="24"/>
          <w:szCs w:val="24"/>
        </w:rPr>
        <w:fldChar w:fldCharType="end"/>
      </w:r>
      <w:r w:rsidR="00822516" w:rsidRPr="00695061">
        <w:rPr>
          <w:sz w:val="24"/>
          <w:szCs w:val="24"/>
        </w:rPr>
        <w:t xml:space="preserve">. These results suggest that combination of PDE5i and SERM </w:t>
      </w:r>
      <w:r w:rsidR="001815F2" w:rsidRPr="00695061">
        <w:rPr>
          <w:sz w:val="24"/>
          <w:szCs w:val="24"/>
        </w:rPr>
        <w:t xml:space="preserve">might be effective in preventing the transformation of fibroblasts to myofibroblasts in a synergistic fashion </w:t>
      </w:r>
      <w:r w:rsidR="001815F2" w:rsidRPr="00695061">
        <w:rPr>
          <w:i/>
          <w:iCs/>
          <w:sz w:val="24"/>
          <w:szCs w:val="24"/>
        </w:rPr>
        <w:t>in vitro</w:t>
      </w:r>
      <w:r w:rsidR="001815F2" w:rsidRPr="00695061">
        <w:rPr>
          <w:sz w:val="24"/>
          <w:szCs w:val="24"/>
        </w:rPr>
        <w:t xml:space="preserve"> and </w:t>
      </w:r>
      <w:r w:rsidR="001815F2" w:rsidRPr="00695061">
        <w:rPr>
          <w:i/>
          <w:iCs/>
          <w:sz w:val="24"/>
          <w:szCs w:val="24"/>
        </w:rPr>
        <w:t>in vivo</w:t>
      </w:r>
      <w:r w:rsidR="001815F2" w:rsidRPr="00695061">
        <w:rPr>
          <w:sz w:val="24"/>
          <w:szCs w:val="24"/>
        </w:rPr>
        <w:t xml:space="preserve"> and this effect was translatable to the clinic.</w:t>
      </w:r>
    </w:p>
    <w:p w14:paraId="6CDC6EBF" w14:textId="6C11C9E3" w:rsidR="00F50DD0" w:rsidRPr="00695061" w:rsidRDefault="00F50DD0" w:rsidP="00AA6BAA">
      <w:pPr>
        <w:jc w:val="both"/>
        <w:rPr>
          <w:sz w:val="24"/>
          <w:szCs w:val="24"/>
        </w:rPr>
      </w:pPr>
      <w:r w:rsidRPr="00695061">
        <w:rPr>
          <w:sz w:val="24"/>
          <w:szCs w:val="24"/>
        </w:rPr>
        <w:lastRenderedPageBreak/>
        <w:t>A previous study demonstrated that</w:t>
      </w:r>
      <w:r w:rsidR="00A12C84" w:rsidRPr="00695061">
        <w:rPr>
          <w:sz w:val="24"/>
          <w:szCs w:val="24"/>
        </w:rPr>
        <w:t xml:space="preserve"> simvastatin (a </w:t>
      </w:r>
      <w:r w:rsidR="00ED352B" w:rsidRPr="00695061">
        <w:rPr>
          <w:sz w:val="24"/>
          <w:szCs w:val="24"/>
        </w:rPr>
        <w:t xml:space="preserve">hydroxy-methyl-glutaryl-coenzyme A (HMG-CoA) reductase inhibitor or statin) </w:t>
      </w:r>
      <w:r w:rsidR="00691A78" w:rsidRPr="00695061">
        <w:rPr>
          <w:sz w:val="24"/>
          <w:szCs w:val="24"/>
        </w:rPr>
        <w:t>inhibited</w:t>
      </w:r>
      <w:r w:rsidR="005A74D2" w:rsidRPr="00695061">
        <w:rPr>
          <w:sz w:val="24"/>
          <w:szCs w:val="24"/>
        </w:rPr>
        <w:t xml:space="preserve"> TGF-β1-induced transformation of TA-derived fibroblasts to myofibroblasts </w:t>
      </w:r>
      <w:r w:rsidR="002044C6" w:rsidRPr="00695061">
        <w:rPr>
          <w:sz w:val="24"/>
          <w:szCs w:val="24"/>
        </w:rPr>
        <w:fldChar w:fldCharType="begin" w:fldLock="1"/>
      </w:r>
      <w:r w:rsidR="00813D10" w:rsidRPr="00695061">
        <w:rPr>
          <w:sz w:val="24"/>
          <w:szCs w:val="24"/>
        </w:rPr>
        <w:instrText>ADDIN CSL_CITATION {"citationItems":[{"id":"ITEM-1","itemData":{"DOI":"10.1111/bju.14638","ISSN":"1464410X","abstract":"© 2018 The Authors BJU International © 2018 BJU International Published by John Wiley &amp; Sons Ltd Objectives: To uncover the anti-myofibroblast (MFB) properties of Rho-kinase inhibitor (compound Y-27632) and simvastatin in an in vitro model of Peyronie's disease (PD), a sexually debilitating disease caused by an irreversible fibrotic plaque in the penile tunica albuginea (TA). Materials and Methods: Primary human fibroblasts (FBs) were isolated from surgically obtained TA tissue from patients with PD. To induce MFB status, cells were stimulated with 3 ng/mL transforming growth factor-β1 (TGF-β1). Increasing doses of Y-27632 and simvastatin were added. Real-time quantitative PCR was used to assess mRNA expression of α-smooth muscle actin (α-SMA), collagen III, elastin and connective tissue growth factor (CTGF) after 72 h. Western blot analysis was used to quantify α-SMA protein contents, and immunofluorescence (IF) was used to visualize MFB differentiation by staining for α-SMA after 72 h. A resazurin-based assay was used to assess cell viability to ensure the anti-MFB effect of the drugs. A mechanistic study was performed using IF staining for YAP/TAZ nuclear translocation. Results: After 72 h of stimulation with TGF-β1, a six- to 10-fold upregulation of α-SMA could be observed. When treated with Y-27632 or simvastatin, the α-SMA, collagen III, elastin and CTGF mRNA expression was impeded. Additionally, TGF-β1 stimulation showed a twofold increase in α-SMA protein expression, which was reversed to non-stimulated levels after treatment with Y-27632 and simvastatin. Using IF, stimulated cells were identified as MFB (α-SMA+, Vim+) as opposed to the non-stimulated, Y-27632- and simvastatin-treated cells (α-SMA−, Vim+). The resazurin-based assay confirmed that the cell viability was not compromised by the administered drugs. On stimulation with TGF-β1, nuclear translocation of YAP/TAZ could be observed, which was prevented by adding the aforementioned compounds. Conclusion: Transformation of FBs into the contractile and extracellular matrix-producing MFBs occurs after TGF-β1 stimulation. In our experiments, Rho-kinase inhibition and simvastatin treatment were shown to prevent this in TGF-β1-stimulated cells on an RNA and protein level through the inhibition of YAP/TAZ nuclear translocation. Y-27632 and simvastatin could become a novel treatment option in the early treatment of PD.","author":[{"dropping-particle":"","family":"Milenkovic","given":"Uros","non-dropping-particle":"","parse-names":false,"suffix":""},{"dropping-particle":"","family":"Ilg","given":"Marcus M.","non-dropping-particle":"","parse-names":false,"suffix":""},{"dropping-particle":"","family":"Zuccato","given":"Carola","non-dropping-particle":"","parse-names":false,"suffix":""},{"dropping-particle":"","family":"Ramazani","given":"Yasaman","non-dropping-particle":"","parse-names":false,"suffix":""},{"dropping-particle":"","family":"Ridder","given":"Dirk","non-dropping-particle":"De","parse-names":false,"suffix":""},{"dropping-particle":"","family":"Albersen","given":"Maarten","non-dropping-particle":"","parse-names":false,"suffix":""}],"container-title":"BJU International","id":"ITEM-1","issue":"4","issued":{"date-parts":[["2019"]]},"page":"703-715","title":"Simvastatin and the Rho-kinase inhibitor Y-27632 prevent myofibroblast transformation in Peyronie's disease-derived fibroblasts via inhibition of YAP/TAZ nuclear translocation","type":"article-journal","volume":"123"},"uris":["http://www.mendeley.com/documents/?uuid=74301ece-ff75-3299-8f1a-f94dff98eb8b"]}],"mendeley":{"formattedCitation":"[18]","plainTextFormattedCitation":"[18]","previouslyFormattedCitation":"[18]"},"properties":{"noteIndex":0},"schema":"https://github.com/citation-style-language/schema/raw/master/csl-citation.json"}</w:instrText>
      </w:r>
      <w:r w:rsidR="002044C6" w:rsidRPr="00695061">
        <w:rPr>
          <w:sz w:val="24"/>
          <w:szCs w:val="24"/>
        </w:rPr>
        <w:fldChar w:fldCharType="separate"/>
      </w:r>
      <w:r w:rsidR="00813D10" w:rsidRPr="00695061">
        <w:rPr>
          <w:noProof/>
          <w:sz w:val="24"/>
          <w:szCs w:val="24"/>
        </w:rPr>
        <w:t>[18]</w:t>
      </w:r>
      <w:r w:rsidR="002044C6" w:rsidRPr="00695061">
        <w:rPr>
          <w:sz w:val="24"/>
          <w:szCs w:val="24"/>
        </w:rPr>
        <w:fldChar w:fldCharType="end"/>
      </w:r>
      <w:r w:rsidR="00BF5463" w:rsidRPr="00695061">
        <w:rPr>
          <w:sz w:val="24"/>
          <w:szCs w:val="24"/>
        </w:rPr>
        <w:t>. Statins have previously been suggested to have anti-fi</w:t>
      </w:r>
      <w:r w:rsidR="00B0048D" w:rsidRPr="00695061">
        <w:rPr>
          <w:sz w:val="24"/>
          <w:szCs w:val="24"/>
        </w:rPr>
        <w:t xml:space="preserve">brotic effects in lungs, kidneys and intestine </w:t>
      </w:r>
      <w:r w:rsidR="00B47258" w:rsidRPr="00695061">
        <w:rPr>
          <w:sz w:val="24"/>
          <w:szCs w:val="24"/>
        </w:rPr>
        <w:fldChar w:fldCharType="begin" w:fldLock="1"/>
      </w:r>
      <w:r w:rsidR="00813D10" w:rsidRPr="00695061">
        <w:rPr>
          <w:sz w:val="24"/>
          <w:szCs w:val="24"/>
        </w:rPr>
        <w:instrText>ADDIN CSL_CITATION {"citationItems":[{"id":"ITEM-1","itemData":{"DOI":"10.1038/s41598-018-34632-z","ISSN":"20452322","PMID":"30390007","abstract":"Dyslipidemia is associated with glomerular injury. However, the effect of statins on chronic kidney disease (CKD) progression remains controversial. We aimed to investigate the efficacy of statins for renal protection in patients with CKD. The retrospective cohort study comprised 3441 patients diagnosed with CKD in multiple medical centers. We divided the patients into two cohorts based on statin prescription, and compared proportions and risks of CKD progression events between the two groups. CKD progression event was defined as an average annual decline of eGFR &gt;5 mL/min/1.73 m2 or advancement to the dialysis stage. The result revealed that among all incident patients with CKD, 28.7% and 30.3% of the users and nonusers demonstrated CKD progression, respectively. The crude odds ratio (OR) of CKD progression was 0.93 [95% confidence interval (CI) 0.78–1.10]. After adjustment for baseline characteristics, the adjusted OR was 0.80 (95% CI 0.63–1.01). The sensitivity analysis results showed consistent OR for CKD progression, stratification by age, sex, Charlson score, and statins use within 1 year before index date. The effect of statins was significant in patients with CKD stage 3B-5 (OR 0.68, 95% CI 0.48–0.95), but not statistically significant in those with CKD stage 1–3A (OR 0.97, 95% CI 0.68–1.38). The effect of statins was significant in patients with proteinuria ≥1000 mg/day (OR 0.63, 95% CI 0.43–0.92), but not statistically significant in those with proteinuria &lt;1000 mg/day (OR 1.02, 95% CI 0.74–1.41).","author":[{"dropping-particle":"","family":"Hu","given":"Ping Jen","non-dropping-particle":"","parse-names":false,"suffix":""},{"dropping-particle":"","family":"Wu","given":"Mei Yi","non-dropping-particle":"","parse-names":false,"suffix":""},{"dropping-particle":"","family":"Lin","given":"Tsu Chen","non-dropping-particle":"","parse-names":false,"suffix":""},{"dropping-particle":"","family":"Chen","given":"Tzu Ting","non-dropping-particle":"","parse-names":false,"suffix":""},{"dropping-particle":"","family":"Wu","given":"Yun Chun","non-dropping-particle":"","parse-names":false,"suffix":""},{"dropping-particle":"","family":"Su","given":"Sui Lung","non-dropping-particle":"","parse-names":false,"suffix":""},{"dropping-particle":"","family":"Lu","given":"Kuo Cheng","non-dropping-particle":"","parse-names":false,"suffix":""},{"dropping-particle":"","family":"Chen","given":"Jin Shuen","non-dropping-particle":"","parse-names":false,"suffix":""},{"dropping-particle":"","family":"Sung","given":"Fung Chang","non-dropping-particle":"","parse-names":false,"suffix":""},{"dropping-particle":"Te","family":"Lee","given":"Chien","non-dropping-particle":"","parse-names":false,"suffix":""},{"dropping-particle":"","family":"Yang","given":"Yu","non-dropping-particle":"","parse-names":false,"suffix":""},{"dropping-particle":"","family":"Hwang","given":"Shang Jyh","non-dropping-particle":"","parse-names":false,"suffix":""},{"dropping-particle":"","family":"Wang","given":"Ming Cheng","non-dropping-particle":"","parse-names":false,"suffix":""},{"dropping-particle":"","family":"Hsu","given":"Yung Ho","non-dropping-particle":"","parse-names":false,"suffix":""},{"dropping-particle":"","family":"Chiou","given":"Hung Yi","non-dropping-particle":"","parse-names":false,"suffix":""},{"dropping-particle":"","family":"Wong","given":"Chung Shun","non-dropping-particle":"","parse-names":false,"suffix":""},{"dropping-particle":"","family":"Lin","given":"Yuh Feng","non-dropping-particle":"","parse-names":false,"suffix":""}],"container-title":"Scientific Reports","id":"ITEM-1","issue":"1","issued":{"date-parts":[["2018","12","1"]]},"publisher":"Nature Publishing Group","title":"Effect of Statins on Renal Function in Chronic Kidney Disease Patients","type":"article-journal","volume":"8"},"uris":["http://www.mendeley.com/documents/?uuid=5221c0da-dd6d-38a2-88ab-5a38fcd5f4be"]},{"id":"ITEM-2","itemData":{"DOI":"10.1155/2022/6197219","ISSN":"19420994","PMID":"35345828","abstract":"Idiopathic pulmonary fibrosis (IPF) is a type of interstitial lung disease (ILD) characterized by the proliferation of fibroblasts and aberrant accumulation of extracellular matrix. These changes are accompanied by structural destruction of the lung tissue and the progressive decline of pulmonary function. In the past few decades, researchers have investigated the pathogenesis of IPF and sought a therapeutic approach for its treatment. Some studies have shown that the occurrence of IPF is related to pulmonary inflammatory injury; however, its specific etiology and pathogenesis remain unknown, and no effective treatment, with the exception of lung transplantation, has been identified yet. Several basic science and clinical studies in recent years have shown that statins, the traditional lipid-lowering drugs, exert significant antifibrotic effects, which can delay the progression of IPF and impairment of pulmonary function. This article is aimed at summarizing the current understanding of the pathogenesis of IPF, the progress of research on the use of statins in IPF models and clinical trials, and its main molecular targets.","author":[{"dropping-particle":"","family":"Kou","given":"Leiya","non-dropping-particle":"","parse-names":false,"suffix":""},{"dropping-particle":"","family":"Kou","given":"Pei","non-dropping-particle":"","parse-names":false,"suffix":""},{"dropping-particle":"","family":"Luo","given":"Guangwei","non-dropping-particle":"","parse-names":false,"suffix":""},{"dropping-particle":"","family":"Wei","given":"Shuang","non-dropping-particle":"","parse-names":false,"suffix":""}],"container-title":"Oxidative Medicine and Cellular Longevity","id":"ITEM-2","issued":{"date-parts":[["2022"]]},"publisher":"Hindawi Limited","title":"Progress of Statin Therapy in the Treatment of Idiopathic Pulmonary Fibrosis","type":"article","volume":"2022"},"uris":["http://www.mendeley.com/documents/?uuid=03812eb3-3df9-3425-9b89-1ab6691661b4"]},{"id":"ITEM-3","itemData":{"DOI":"10.1001/jamanetworkopen.2020.36315","ISSN":"25743805","PMID":"33533930","abstract":"Importance: Adhesion-related complications (ARCs), including small-bowel obstruction, are common complications of intra-abdominal surgery. Statins, which have antifibrotic pleiotropic effects, inhibit adhesion formation in murine models but have not been assessed in humans. Objective: To assess whether statin use at the time of intra-abdominal surgery is associated with a reduction in ARCs. Design, Setting, and Participants: These 2 separate retrospective cohort studies (The Health Improvement Network [THIN] and Optum's Clinformatics Data Mart [Optum]) compared adults receiving statins with those not receiving statins at the time of intra-abdominal surgery. Individuals undergoing intra-abdominal surgery from January 1, 1996, to December 31, 2013, in the United Kingdom and from January 1, 2000, to December 31, 2016, in the US were included in the study. Those with obstructive events before surgery or a history of inflammatory bowel disease were excluded. Data analysis was performed from September 1, 2012, to November 24, 2020. Exposure: The primary exposure was statin use at the time of surgery. Main Outcomes and Measures: The primary outcome was ARCs, defined as small-bowel obstruction or need for adhesiolysis, occurring after surgery. Sensitivity analyses included statin use preceding but not concurrent with surgery, fibrate use, and angiotensin-converting enzyme inhibitor use. All analyses were adjusted for age, sex, and conditions associated with microvascular disease, such as hypertension, hyperlipidemia, obesity, and tobacco use; surgical approach and site; and diagnosis of a malignant tumor. Results: A total of 148601 individuals met the inclusion criteria for THIN (mean [SD] age, 49.6 [17.7] years; 70.1% female) and 1188217 for Optum (mean [SD] age, 48.2 [16.4] years; 72.6% female). A total of 2060 participants (1.4%) experienced an ARC in THIN and 54136 (4.6%) in Optum. Statin use at the time of surgery was associated with decreased risk of ARCs (THIN: adjusted hazard ratio [HR], 0.81; 95% CI, 0.71-0.92; Optum: adjusted HR, 0.92; 95% CI, 0.90-0.95). Similar associations were appreciated between statins and small-bowel obstruction (THIN: adjusted HR, 0.80; 95% CI, 0.70-0.92; Optum: adjusted HR, 0.88; 95% CI, 0.85-0.91). Conclusions and Relevance: This study's findings suggest that, among individuals in 2 separate cohorts undergoing intra-abdominal surgery, statin use may be associated with a reduced risk of postoperative ARCs. Statins may represe…","author":[{"dropping-particle":"","family":"Scott","given":"Frank I.","non-dropping-particle":"","parse-names":false,"suffix":""},{"dropping-particle":"","family":"Vajravelu","given":"Ravy K.","non-dropping-particle":"","parse-names":false,"suffix":""},{"dropping-particle":"","family":"Mamtani","given":"Ronac","non-dropping-particle":"","parse-names":false,"suffix":""},{"dropping-particle":"","family":"Bianchina","given":"Nicholas","non-dropping-particle":"","parse-names":false,"suffix":""},{"dropping-particle":"","family":"Mahmoud","given":"Najjia","non-dropping-particle":"","parse-names":false,"suffix":""},{"dropping-particle":"","family":"Hou","given":"Jason K.","non-dropping-particle":"","parse-names":false,"suffix":""},{"dropping-particle":"","family":"Wu","given":"Qufei","non-dropping-particle":"","parse-names":false,"suffix":""},{"dropping-particle":"","family":"Wang","given":"Xingmei","non-dropping-particle":"","parse-names":false,"suffix":""},{"dropping-particle":"","family":"Haynes","given":"Kevin","non-dropping-particle":"","parse-names":false,"suffix":""},{"dropping-particle":"","family":"Lewis","given":"James D.","non-dropping-particle":"","parse-names":false,"suffix":""}],"container-title":"JAMA Network Open","id":"ITEM-3","issue":"2","issued":{"date-parts":[["2021","2","5"]]},"publisher":"American Medical Association","title":"Association between Statin Use at the Time of Intra-abdominal Surgery and Postoperative Adhesion-Related Complications and Small-Bowel Obstruction","type":"article-journal","volume":"4"},"uris":["http://www.mendeley.com/documents/?uuid=9d382a3f-7f3b-3ecc-961d-fb24c79d7e9d"]}],"mendeley":{"formattedCitation":"[19–21]","plainTextFormattedCitation":"[19–21]","previouslyFormattedCitation":"[19–21]"},"properties":{"noteIndex":0},"schema":"https://github.com/citation-style-language/schema/raw/master/csl-citation.json"}</w:instrText>
      </w:r>
      <w:r w:rsidR="00B47258" w:rsidRPr="00695061">
        <w:rPr>
          <w:sz w:val="24"/>
          <w:szCs w:val="24"/>
        </w:rPr>
        <w:fldChar w:fldCharType="separate"/>
      </w:r>
      <w:r w:rsidR="00813D10" w:rsidRPr="00695061">
        <w:rPr>
          <w:noProof/>
          <w:sz w:val="24"/>
          <w:szCs w:val="24"/>
        </w:rPr>
        <w:t>[19–21]</w:t>
      </w:r>
      <w:r w:rsidR="00B47258" w:rsidRPr="00695061">
        <w:rPr>
          <w:sz w:val="24"/>
          <w:szCs w:val="24"/>
        </w:rPr>
        <w:fldChar w:fldCharType="end"/>
      </w:r>
      <w:r w:rsidR="002501A1" w:rsidRPr="00695061">
        <w:rPr>
          <w:sz w:val="24"/>
          <w:szCs w:val="24"/>
        </w:rPr>
        <w:t>.</w:t>
      </w:r>
    </w:p>
    <w:p w14:paraId="41913413" w14:textId="77777777" w:rsidR="00066BE9" w:rsidRPr="00695061" w:rsidRDefault="002501A1" w:rsidP="00066BE9">
      <w:pPr>
        <w:jc w:val="both"/>
        <w:rPr>
          <w:sz w:val="24"/>
          <w:szCs w:val="24"/>
        </w:rPr>
      </w:pPr>
      <w:r w:rsidRPr="00695061">
        <w:rPr>
          <w:sz w:val="24"/>
          <w:szCs w:val="24"/>
        </w:rPr>
        <w:t xml:space="preserve">We have therefore investigated </w:t>
      </w:r>
      <w:r w:rsidR="0019782B" w:rsidRPr="00695061">
        <w:rPr>
          <w:sz w:val="24"/>
          <w:szCs w:val="24"/>
        </w:rPr>
        <w:t xml:space="preserve">the effect of the </w:t>
      </w:r>
      <w:r w:rsidR="00C834BE" w:rsidRPr="00695061">
        <w:rPr>
          <w:sz w:val="24"/>
          <w:szCs w:val="24"/>
        </w:rPr>
        <w:t>combinations</w:t>
      </w:r>
      <w:r w:rsidR="0019782B" w:rsidRPr="00695061">
        <w:rPr>
          <w:sz w:val="24"/>
          <w:szCs w:val="24"/>
        </w:rPr>
        <w:t xml:space="preserve"> of statins with PDE5i or SERM on TGF-β1-induced transformation of TA-derived fibroblasts to myofibroblasts.</w:t>
      </w:r>
    </w:p>
    <w:p w14:paraId="1F6CECBC" w14:textId="77777777" w:rsidR="00BE75BC" w:rsidRPr="00695061" w:rsidRDefault="00BE75BC" w:rsidP="00066BE9">
      <w:pPr>
        <w:jc w:val="both"/>
        <w:rPr>
          <w:sz w:val="24"/>
          <w:szCs w:val="24"/>
        </w:rPr>
      </w:pPr>
    </w:p>
    <w:p w14:paraId="33CECD8E" w14:textId="47FC9FF4" w:rsidR="00154963" w:rsidRPr="00695061" w:rsidRDefault="00154963" w:rsidP="00066BE9">
      <w:pPr>
        <w:jc w:val="both"/>
        <w:rPr>
          <w:sz w:val="24"/>
          <w:szCs w:val="24"/>
        </w:rPr>
      </w:pPr>
      <w:r w:rsidRPr="00695061">
        <w:rPr>
          <w:b/>
          <w:bCs/>
          <w:sz w:val="28"/>
          <w:szCs w:val="28"/>
        </w:rPr>
        <w:t xml:space="preserve">Materials and methods: </w:t>
      </w:r>
    </w:p>
    <w:p w14:paraId="1BCBAD45" w14:textId="77777777" w:rsidR="00AA6BAA" w:rsidRPr="00695061" w:rsidRDefault="00AA6BAA" w:rsidP="00154963">
      <w:pPr>
        <w:rPr>
          <w:b/>
          <w:bCs/>
          <w:sz w:val="24"/>
          <w:szCs w:val="24"/>
        </w:rPr>
      </w:pPr>
    </w:p>
    <w:p w14:paraId="18C0E4E2" w14:textId="08A1EF9E" w:rsidR="00D02E83" w:rsidRPr="00695061" w:rsidRDefault="00D02E83" w:rsidP="00D02E83">
      <w:pPr>
        <w:rPr>
          <w:b/>
          <w:bCs/>
          <w:sz w:val="24"/>
          <w:szCs w:val="24"/>
        </w:rPr>
      </w:pPr>
      <w:r w:rsidRPr="00695061">
        <w:rPr>
          <w:b/>
          <w:bCs/>
          <w:sz w:val="24"/>
          <w:szCs w:val="24"/>
        </w:rPr>
        <w:t>Sample Acquisition</w:t>
      </w:r>
      <w:r w:rsidR="00176D82" w:rsidRPr="00695061">
        <w:rPr>
          <w:b/>
          <w:bCs/>
          <w:sz w:val="24"/>
          <w:szCs w:val="24"/>
        </w:rPr>
        <w:t>:</w:t>
      </w:r>
    </w:p>
    <w:p w14:paraId="0F48EE0E" w14:textId="154F2439" w:rsidR="00D61A62" w:rsidRPr="00695061" w:rsidRDefault="008D2A33" w:rsidP="00D02E83">
      <w:pPr>
        <w:jc w:val="both"/>
        <w:rPr>
          <w:sz w:val="24"/>
          <w:szCs w:val="24"/>
        </w:rPr>
      </w:pPr>
      <w:r w:rsidRPr="00695061">
        <w:rPr>
          <w:sz w:val="24"/>
          <w:szCs w:val="24"/>
        </w:rPr>
        <w:t>Ethical approval was obtained by independent research ethics committees (</w:t>
      </w:r>
      <w:r w:rsidR="00A26E51" w:rsidRPr="00695061">
        <w:rPr>
          <w:sz w:val="24"/>
          <w:szCs w:val="24"/>
        </w:rPr>
        <w:t xml:space="preserve">NHS Research </w:t>
      </w:r>
      <w:r w:rsidR="002A7D01" w:rsidRPr="00695061">
        <w:rPr>
          <w:sz w:val="24"/>
          <w:szCs w:val="24"/>
        </w:rPr>
        <w:t>E</w:t>
      </w:r>
      <w:r w:rsidR="00A26E51" w:rsidRPr="00695061">
        <w:rPr>
          <w:sz w:val="24"/>
          <w:szCs w:val="24"/>
        </w:rPr>
        <w:t xml:space="preserve">thics </w:t>
      </w:r>
      <w:r w:rsidR="002A7D01" w:rsidRPr="00695061">
        <w:rPr>
          <w:sz w:val="24"/>
          <w:szCs w:val="24"/>
        </w:rPr>
        <w:t>C</w:t>
      </w:r>
      <w:r w:rsidRPr="00695061">
        <w:rPr>
          <w:sz w:val="24"/>
          <w:szCs w:val="24"/>
        </w:rPr>
        <w:t xml:space="preserve">ommittee East of England [12-EE-0170] and North of Scotland [15-NS-0051]). </w:t>
      </w:r>
      <w:r w:rsidR="00DE28FC" w:rsidRPr="00695061">
        <w:rPr>
          <w:sz w:val="24"/>
          <w:szCs w:val="24"/>
        </w:rPr>
        <w:t>Patients</w:t>
      </w:r>
      <w:r w:rsidRPr="00695061">
        <w:rPr>
          <w:sz w:val="24"/>
          <w:szCs w:val="24"/>
        </w:rPr>
        <w:t xml:space="preserve"> </w:t>
      </w:r>
      <w:r w:rsidR="004036E4" w:rsidRPr="00695061">
        <w:rPr>
          <w:sz w:val="24"/>
          <w:szCs w:val="24"/>
        </w:rPr>
        <w:t xml:space="preserve">that </w:t>
      </w:r>
      <w:r w:rsidR="00633E28" w:rsidRPr="00695061">
        <w:rPr>
          <w:sz w:val="24"/>
          <w:szCs w:val="24"/>
        </w:rPr>
        <w:t>were included were</w:t>
      </w:r>
      <w:r w:rsidR="004036E4" w:rsidRPr="00695061">
        <w:rPr>
          <w:sz w:val="24"/>
          <w:szCs w:val="24"/>
        </w:rPr>
        <w:t xml:space="preserve"> between 18 and 75 years old and able to understand the patient information sheet</w:t>
      </w:r>
      <w:r w:rsidRPr="00695061">
        <w:rPr>
          <w:sz w:val="24"/>
          <w:szCs w:val="24"/>
        </w:rPr>
        <w:t xml:space="preserve">. </w:t>
      </w:r>
      <w:r w:rsidR="00D61A62" w:rsidRPr="00695061">
        <w:rPr>
          <w:sz w:val="24"/>
          <w:szCs w:val="24"/>
        </w:rPr>
        <w:t xml:space="preserve">TA tissue samples were acquired from </w:t>
      </w:r>
      <w:r w:rsidR="00DE28FC" w:rsidRPr="00695061">
        <w:rPr>
          <w:sz w:val="24"/>
          <w:szCs w:val="24"/>
        </w:rPr>
        <w:t>patients</w:t>
      </w:r>
      <w:r w:rsidR="00D61A62" w:rsidRPr="00695061">
        <w:rPr>
          <w:sz w:val="24"/>
          <w:szCs w:val="24"/>
        </w:rPr>
        <w:t xml:space="preserve"> undergoing corrective surgery for PD at </w:t>
      </w:r>
      <w:r w:rsidR="00215E82" w:rsidRPr="00695061">
        <w:rPr>
          <w:sz w:val="24"/>
          <w:szCs w:val="24"/>
        </w:rPr>
        <w:t xml:space="preserve">University College London Hospital (UCLH), United Kingdom. The tissues would otherwise have been surgical discard. </w:t>
      </w:r>
      <w:r w:rsidR="00ED3837" w:rsidRPr="00695061">
        <w:rPr>
          <w:sz w:val="24"/>
          <w:szCs w:val="24"/>
        </w:rPr>
        <w:t>Patients underwent Nesbit procedures, so non-plaque TA was obtained (TA opposite of the plaque)</w:t>
      </w:r>
      <w:r w:rsidR="00DE28FC" w:rsidRPr="00695061">
        <w:rPr>
          <w:sz w:val="24"/>
          <w:szCs w:val="24"/>
        </w:rPr>
        <w:t xml:space="preserve">. </w:t>
      </w:r>
      <w:r w:rsidRPr="00695061">
        <w:rPr>
          <w:sz w:val="24"/>
          <w:szCs w:val="24"/>
        </w:rPr>
        <w:t xml:space="preserve"> </w:t>
      </w:r>
      <w:r w:rsidR="00B30C62" w:rsidRPr="00695061">
        <w:rPr>
          <w:sz w:val="24"/>
          <w:szCs w:val="24"/>
        </w:rPr>
        <w:t>The</w:t>
      </w:r>
      <w:r w:rsidR="00F07106" w:rsidRPr="00695061">
        <w:rPr>
          <w:sz w:val="24"/>
          <w:szCs w:val="24"/>
        </w:rPr>
        <w:t xml:space="preserve"> three</w:t>
      </w:r>
      <w:r w:rsidR="00B30C62" w:rsidRPr="00695061">
        <w:rPr>
          <w:sz w:val="24"/>
          <w:szCs w:val="24"/>
        </w:rPr>
        <w:t xml:space="preserve"> </w:t>
      </w:r>
      <w:r w:rsidR="00F07106" w:rsidRPr="00695061">
        <w:rPr>
          <w:sz w:val="24"/>
          <w:szCs w:val="24"/>
        </w:rPr>
        <w:t xml:space="preserve">patients </w:t>
      </w:r>
      <w:r w:rsidR="00DD6FFA" w:rsidRPr="00695061">
        <w:rPr>
          <w:sz w:val="24"/>
          <w:szCs w:val="24"/>
        </w:rPr>
        <w:t>whose samples</w:t>
      </w:r>
      <w:r w:rsidR="00F07106" w:rsidRPr="00695061">
        <w:rPr>
          <w:sz w:val="24"/>
          <w:szCs w:val="24"/>
        </w:rPr>
        <w:t xml:space="preserve"> </w:t>
      </w:r>
      <w:r w:rsidR="00DD6FFA" w:rsidRPr="00695061">
        <w:rPr>
          <w:sz w:val="24"/>
          <w:szCs w:val="24"/>
        </w:rPr>
        <w:t>were</w:t>
      </w:r>
      <w:r w:rsidR="00F07106" w:rsidRPr="00695061">
        <w:rPr>
          <w:sz w:val="24"/>
          <w:szCs w:val="24"/>
        </w:rPr>
        <w:t xml:space="preserve"> used in this study were </w:t>
      </w:r>
      <w:r w:rsidR="00013CDC" w:rsidRPr="00695061">
        <w:rPr>
          <w:sz w:val="24"/>
          <w:szCs w:val="24"/>
        </w:rPr>
        <w:t>33</w:t>
      </w:r>
      <w:r w:rsidR="00D85E5F" w:rsidRPr="00695061">
        <w:rPr>
          <w:sz w:val="24"/>
          <w:szCs w:val="24"/>
        </w:rPr>
        <w:t xml:space="preserve"> old (with right inguinal hernia and hypertension)</w:t>
      </w:r>
      <w:r w:rsidR="00013CDC" w:rsidRPr="00695061">
        <w:rPr>
          <w:sz w:val="24"/>
          <w:szCs w:val="24"/>
        </w:rPr>
        <w:t>, 58</w:t>
      </w:r>
      <w:r w:rsidR="00D85E5F" w:rsidRPr="00695061">
        <w:rPr>
          <w:sz w:val="24"/>
          <w:szCs w:val="24"/>
        </w:rPr>
        <w:t xml:space="preserve"> (no co-morbidities)</w:t>
      </w:r>
      <w:r w:rsidR="00013CDC" w:rsidRPr="00695061">
        <w:rPr>
          <w:sz w:val="24"/>
          <w:szCs w:val="24"/>
        </w:rPr>
        <w:t xml:space="preserve">, and 67 years </w:t>
      </w:r>
      <w:r w:rsidR="00F07106" w:rsidRPr="00695061">
        <w:rPr>
          <w:sz w:val="24"/>
          <w:szCs w:val="24"/>
        </w:rPr>
        <w:t>old</w:t>
      </w:r>
      <w:r w:rsidR="00DD6FFA" w:rsidRPr="00695061">
        <w:rPr>
          <w:sz w:val="24"/>
          <w:szCs w:val="24"/>
        </w:rPr>
        <w:t xml:space="preserve"> </w:t>
      </w:r>
      <w:r w:rsidR="00D85E5F" w:rsidRPr="00695061">
        <w:rPr>
          <w:sz w:val="24"/>
          <w:szCs w:val="24"/>
        </w:rPr>
        <w:t xml:space="preserve">(diabetes and lichen sclerosis). </w:t>
      </w:r>
    </w:p>
    <w:p w14:paraId="0D55FCBA" w14:textId="36CD2B69" w:rsidR="00D02E83" w:rsidRPr="00695061" w:rsidRDefault="00D02E83" w:rsidP="00D02E83">
      <w:pPr>
        <w:jc w:val="both"/>
        <w:rPr>
          <w:sz w:val="24"/>
          <w:szCs w:val="24"/>
        </w:rPr>
      </w:pPr>
    </w:p>
    <w:p w14:paraId="78072BB0" w14:textId="7EBBE089" w:rsidR="00D02E83" w:rsidRPr="00695061" w:rsidRDefault="00D02E83" w:rsidP="00D02E83">
      <w:pPr>
        <w:jc w:val="both"/>
        <w:rPr>
          <w:b/>
          <w:bCs/>
          <w:sz w:val="24"/>
          <w:szCs w:val="24"/>
        </w:rPr>
      </w:pPr>
      <w:r w:rsidRPr="00695061">
        <w:rPr>
          <w:b/>
          <w:bCs/>
          <w:sz w:val="24"/>
          <w:szCs w:val="24"/>
        </w:rPr>
        <w:t>Isolation of Fibroblasts</w:t>
      </w:r>
      <w:r w:rsidR="00176D82" w:rsidRPr="00695061">
        <w:rPr>
          <w:b/>
          <w:bCs/>
          <w:sz w:val="24"/>
          <w:szCs w:val="24"/>
        </w:rPr>
        <w:t>:</w:t>
      </w:r>
    </w:p>
    <w:p w14:paraId="7BB77538" w14:textId="22E192B7" w:rsidR="00D02E83" w:rsidRPr="00695061" w:rsidRDefault="00197A00" w:rsidP="00C0615D">
      <w:pPr>
        <w:jc w:val="both"/>
        <w:rPr>
          <w:sz w:val="24"/>
          <w:szCs w:val="24"/>
        </w:rPr>
      </w:pPr>
      <w:r w:rsidRPr="00695061">
        <w:rPr>
          <w:sz w:val="24"/>
          <w:szCs w:val="24"/>
        </w:rPr>
        <w:t xml:space="preserve">Fibroblasts were isolated from the TA tissue samples as previously described </w:t>
      </w:r>
      <w:r w:rsidR="00955E2A" w:rsidRPr="00695061">
        <w:rPr>
          <w:sz w:val="24"/>
          <w:szCs w:val="24"/>
        </w:rPr>
        <w:fldChar w:fldCharType="begin" w:fldLock="1"/>
      </w:r>
      <w:r w:rsidR="00813D10" w:rsidRPr="00695061">
        <w:rPr>
          <w:sz w:val="24"/>
          <w:szCs w:val="24"/>
        </w:rPr>
        <w:instrText>ADDIN CSL_CITATION {"citationItems":[{"id":"ITEM-1","itemData":{"DOI":"10.1016/j.jsxm.2018.05.003","ISSN":"17436109","PMID":"29891411","abstract":"Background: Peyronie's disease (PD) is a chronic fibrotic disease of the penis affecting a significant number of men worldwide without effective medical treatments. Myofibroblasts are pivotal in the pathogenesis of PD. Adenosine and adenosine receptors have been suggested to be involved in the pathophysiology of fibrosis. Aim: To understand the role of adenosine receptors in myofibroblast transformation in PD. Methods: Fibroblasts were isolated from the non-PD tunica albuginea (TA) tissue and PD plaque tissue and were transformed into myofibroblasts using transforming growth factor (TGF)-β1. Quantification of α-smooth muscle actin and adenosine receptors (adenosine receptor A1 [ADORA1], adenosine receptor A2A, adenosine receptor A2B [ADORA2B], and adenosine receptor A3) was performed using immuno-cytochemistry, in-cell enzyme-linked immuno-sorbent assay (ICE), and real-time reverse transcription quantitative polymerase chain reaction. The effect of various adenosine receptor agonists or antagonists on TGF-β1-induced myofibroblast transformation was measured using ICE. Outcomes: Expression of adenosine receptors in myofibroblasts obtained from human TA and the effect of adenosine receptor ligands on myofibroblast transformation were investigated. Results: The experiments showed that the protein and messenger RNA levels of α-smooth muscle actin in non-PD TA cells and PD plaque-derived cells were significantly higher in cells exposed to TGF-β1 than those not treated with TGF-β1. 2 of 4 adenosine receptors (ADORA1 and ADORA2B) were found to be expressed in both cell populations. Among various adenosine receptor agonists/antagonist investigated, only ADORA2B agonist, BAY 60-6583, significantly inhibited myofibroblast transformation in a concentration-dependent manner when applied simultaneously with TGF-β1 (IC 50 = 30 μmol/L). Clinical Translation: ADORA2B agonists may be clinically efficacious in early-stage PD. Strengths &amp; Limitations: The strength of this study is the use of primary fibroblasts from human TA. Limitation of the study is the high concentrations of the ligands used. Conclusion: The effect of an ADORA2B agonist on TGF-β1-induced myofibroblast transformation shows a novel potential therapeutic target for PD if applied during early, non-stable phase of PD. Mateus M, Ilg MM, Stebbeds WJ, et al. Understanding the Role of Adenosine Receptors in the Myofibroblast Transformation in Peyronie's Disease. J Sex Med 2018;15:947–957.","author":[{"dropping-particle":"","family":"Mateus","given":"Marta","non-dropping-particle":"","parse-names":false,"suffix":""},{"dropping-particle":"","family":"Ilg","given":"Marcus M.","non-dropping-particle":"","parse-names":false,"suffix":""},{"dropping-particle":"","family":"Stebbeds","given":"William J.","non-dropping-particle":"","parse-names":false,"suffix":""},{"dropping-particle":"","family":"Christopher","given":"Nim","non-dropping-particle":"","parse-names":false,"suffix":""},{"dropping-particle":"","family":"Muneer","given":"Asif","non-dropping-particle":"","parse-names":false,"suffix":""},{"dropping-particle":"","family":"Ralph","given":"David J.","non-dropping-particle":"","parse-names":false,"suffix":""},{"dropping-particle":"","family":"Cellek","given":"Selim","non-dropping-particle":"","parse-names":false,"suffix":""}],"container-title":"Journal of Sexual Medicine","id":"ITEM-1","issue":"7","issued":{"date-parts":[["2018"]]},"page":"947-957","title":"Understanding the Role of Adenosine Receptors in the Myofibroblast Transformation in Peyronie's Disease","type":"article-journal","volume":"15"},"uris":["http://www.mendeley.com/documents/?uuid=f459540c-50a3-3911-acda-4d6832299e2f"]},{"id":"ITEM-2","itemData":{"DOI":"10.1016/j.eururo.2018.10.014","ISSN":"18737560","abstract":"Background: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Urology","id":"ITEM-2","issue":"2","issued":{"date-parts":[["2019"]]},"page":"329-340","title":"Antifibrotic Synergy Between Phosphodiesterase Type 5 Inhibitors and Selective Oestrogen Receptor Modulators in Peyronie's Disease Models","type":"article-journal","volume":"75"},"uris":["http://www.mendeley.com/documents/?uuid=bff5c9d0-a461-3882-bd6b-be96b76e6abb"]},{"id":"ITEM-3","itemData":{"DOI":"10.1016/j.jsxm.2020.06.022","ISSN":"17436109","PMID":"32771352","abstract":"Background: Myofibroblast transformation is a key step in the pathogenesis of Peyronie's disease (PD). Phosphodiesterase type 5 inhibitors (PDE5is) and selective estrogen receptor modulators (SERMs) can prevent the formation of fibrosis in in vitro and in vivo models of PD. However, it is unknown whether these drugs can also reverse established fibrosis. Aim: To investigate whether PDE5is and SERMs can reverse transforming growth factor beta 1 (TGF-β1)–induced myofibroblast transformation and determine the point of no return. Methods: In-Cell enzyme-linked immunosorbent assay was used to quantify TGF-β1–induced myofibroblast transformation of human primary fibroblasts isolated from tunica albuginea (TA) of patients undergoing surgery for treatment of PD. Extracellular matrix production and collagen contraction assays were used as secondary assays. Reverse transcription–quantitative polymerase chain reaction and In-Cell enzyme-linked immunosorbent assay were used to measure drug target expression. PDE5i (vardenafil) and SERM (tamoxifen) were applied at various time points after TGF-β1. Outcomes: Reversibility of myofibroblast transformation and drug target expression were investigated in a time-dependent manner in TA-derived fibroblasts. Results: Vardenafil or tamoxifen could not reverse the myofibroblast traits of alpha-smooth muscle actin expression and extracellular matrix production, whereas only tamoxifen affected collagen contraction after 72 hours of TGF-β1 treatment. Phosphodiesterase 5A and estrogen receptor (ER)-β were downregulated after 72 hours, and estrogen receptor -α protein could not be quantified. Tamoxifen could prevent myofibroblast transformation until 36 hours after TGF-β1 treatment, whereas vardenafil could prevent only 24 hours after TGF-β1 treatment. This was mirrored by downregulation of drug targets on mRNA and protein level. Furthermore, antifibrotic signaling pathways, peroxisome proliferator-activated receptor gamma and betaglycan (TGFB receptor III), were significantly downregulated after 36 hours of TGF-β1 exposure, as opposed to upregulation of profibrotic thrombospondin-1 at the same time point. Clinical Translation: This study suggests that using PDE5is and SERMs might only help for early-phase PD and further highlights the need to test drugs at the appropriate stage of the disease based on their mechanism of action. Strengths &amp; Limitations: The study uses primary human TA-derived fibroblasts that enhances translatabili…","author":[{"dropping-particle":"","family":"Ilg","given":"Marcus M.","non-dropping-particle":"","parse-names":false,"suffix":""},{"dropping-particle":"","family":"Stafford","given":"Simon J.","non-dropping-particle":"","parse-names":false,"suffix":""},{"dropping-particle":"","family":"Mateus","given":"Marta","non-dropping-particle":"","parse-names":false,"suffix":""},{"dropping-particle":"","family":"Bustin","given":"Stephen A.","non-dropping-particle":"","parse-names":false,"suffix":""},{"dropping-particle":"","family":"Carpenter","given":"Michael J.","non-dropping-particle":"","parse-names":false,"suffix":""},{"dropping-particle":"","family":"Muneer","given":"Asif","non-dropping-particle":"","parse-names":false,"suffix":""},{"dropping-particle":"","family":"Bivalacqua","given":"Trinity J.","non-dropping-particle":"","parse-names":false,"suffix":""},{"dropping-particle":"","family":"Ralph","given":"David J.","non-dropping-particle":"","parse-names":false,"suffix":""},{"dropping-particle":"","family":"Cellek","given":"Selim","non-dropping-particle":"","parse-names":false,"suffix":""}],"container-title":"Journal of Sexual Medicine","id":"ITEM-3","issue":"10","issued":{"date-parts":[["2020","10","1"]]},"page":"1848-1864","publisher":"Elsevier B.V.","title":"Phosphodiesterase Type 5 Inhibitors and Selective Estrogen Receptor Modulators Can Prevent But Not Reverse Myofibroblast Transformation in Peyronie's Disease","type":"article-journal","volume":"17"},"uris":["http://www.mendeley.com/documents/?uuid=c64145e0-084b-3418-b91f-2ab40d640aa0"]}],"mendeley":{"formattedCitation":"[16,22,23]","plainTextFormattedCitation":"[16,22,23]","previouslyFormattedCitation":"[16,22,23]"},"properties":{"noteIndex":0},"schema":"https://github.com/citation-style-language/schema/raw/master/csl-citation.json"}</w:instrText>
      </w:r>
      <w:r w:rsidR="00955E2A" w:rsidRPr="00695061">
        <w:rPr>
          <w:sz w:val="24"/>
          <w:szCs w:val="24"/>
        </w:rPr>
        <w:fldChar w:fldCharType="separate"/>
      </w:r>
      <w:r w:rsidR="00813D10" w:rsidRPr="00695061">
        <w:rPr>
          <w:noProof/>
          <w:sz w:val="24"/>
          <w:szCs w:val="24"/>
        </w:rPr>
        <w:t>[16,22,23]</w:t>
      </w:r>
      <w:r w:rsidR="00955E2A" w:rsidRPr="00695061">
        <w:rPr>
          <w:sz w:val="24"/>
          <w:szCs w:val="24"/>
        </w:rPr>
        <w:fldChar w:fldCharType="end"/>
      </w:r>
      <w:r w:rsidRPr="00695061">
        <w:rPr>
          <w:sz w:val="24"/>
          <w:szCs w:val="24"/>
        </w:rPr>
        <w:t xml:space="preserve">. </w:t>
      </w:r>
      <w:r w:rsidR="003D57C7" w:rsidRPr="00695061">
        <w:rPr>
          <w:sz w:val="24"/>
          <w:szCs w:val="24"/>
        </w:rPr>
        <w:t>Briefly, tissue samples were dissected into small pieces, ensuring residual corpus cavernosum was removed</w:t>
      </w:r>
      <w:r w:rsidR="00EB0B1C" w:rsidRPr="00695061">
        <w:rPr>
          <w:sz w:val="24"/>
          <w:szCs w:val="24"/>
        </w:rPr>
        <w:t>, and submerged in cell culture medium (</w:t>
      </w:r>
      <w:r w:rsidR="00C0615D" w:rsidRPr="00695061">
        <w:rPr>
          <w:sz w:val="24"/>
          <w:szCs w:val="24"/>
        </w:rPr>
        <w:t xml:space="preserve">DMEM [GIBCO, Invitrogen, Waltham, Massachusetts], 10% </w:t>
      </w:r>
      <w:proofErr w:type="spellStart"/>
      <w:r w:rsidR="00C0615D" w:rsidRPr="00695061">
        <w:rPr>
          <w:sz w:val="24"/>
          <w:szCs w:val="24"/>
        </w:rPr>
        <w:t>fetal</w:t>
      </w:r>
      <w:proofErr w:type="spellEnd"/>
      <w:r w:rsidR="00C0615D" w:rsidRPr="00695061">
        <w:rPr>
          <w:sz w:val="24"/>
          <w:szCs w:val="24"/>
        </w:rPr>
        <w:t xml:space="preserve"> calf serum [Fisher Scientific, Loughborough, UK], and 1% </w:t>
      </w:r>
      <w:r w:rsidR="00F9302D" w:rsidRPr="00695061">
        <w:rPr>
          <w:sz w:val="24"/>
          <w:szCs w:val="24"/>
        </w:rPr>
        <w:t>penicillin</w:t>
      </w:r>
      <w:r w:rsidR="00E80C0F" w:rsidRPr="00695061">
        <w:rPr>
          <w:sz w:val="24"/>
          <w:szCs w:val="24"/>
        </w:rPr>
        <w:t xml:space="preserve"> and streptomycin</w:t>
      </w:r>
      <w:r w:rsidR="00C0615D" w:rsidRPr="00695061">
        <w:rPr>
          <w:sz w:val="24"/>
          <w:szCs w:val="24"/>
        </w:rPr>
        <w:t xml:space="preserve"> [GIBCO, Invitrogen])</w:t>
      </w:r>
      <w:r w:rsidR="006668A2" w:rsidRPr="00695061">
        <w:rPr>
          <w:sz w:val="24"/>
          <w:szCs w:val="24"/>
        </w:rPr>
        <w:t xml:space="preserve"> in 6-well plates. Tissue </w:t>
      </w:r>
      <w:r w:rsidR="00E80C0F" w:rsidRPr="00695061">
        <w:rPr>
          <w:sz w:val="24"/>
          <w:szCs w:val="24"/>
        </w:rPr>
        <w:t xml:space="preserve">fragments were </w:t>
      </w:r>
      <w:r w:rsidR="006668A2" w:rsidRPr="00695061">
        <w:rPr>
          <w:sz w:val="24"/>
          <w:szCs w:val="24"/>
        </w:rPr>
        <w:t>placed in an incubator at 37</w:t>
      </w:r>
      <w:r w:rsidR="006668A2" w:rsidRPr="00695061">
        <w:rPr>
          <w:rFonts w:cstheme="minorHAnsi"/>
          <w:sz w:val="24"/>
          <w:szCs w:val="24"/>
        </w:rPr>
        <w:t>°</w:t>
      </w:r>
      <w:r w:rsidR="006668A2" w:rsidRPr="00695061">
        <w:rPr>
          <w:sz w:val="24"/>
          <w:szCs w:val="24"/>
        </w:rPr>
        <w:t>C and 5% CO</w:t>
      </w:r>
      <w:r w:rsidR="006668A2" w:rsidRPr="00695061">
        <w:rPr>
          <w:sz w:val="24"/>
          <w:szCs w:val="24"/>
          <w:vertAlign w:val="subscript"/>
        </w:rPr>
        <w:t>2</w:t>
      </w:r>
      <w:r w:rsidR="006668A2" w:rsidRPr="00695061">
        <w:rPr>
          <w:sz w:val="24"/>
          <w:szCs w:val="24"/>
        </w:rPr>
        <w:t xml:space="preserve"> until cell outgrowth could be observed</w:t>
      </w:r>
      <w:r w:rsidR="00741C4D" w:rsidRPr="00695061">
        <w:rPr>
          <w:sz w:val="24"/>
          <w:szCs w:val="24"/>
        </w:rPr>
        <w:t>, after which the tissue was removed</w:t>
      </w:r>
      <w:r w:rsidR="000D598B" w:rsidRPr="00695061">
        <w:rPr>
          <w:sz w:val="24"/>
          <w:szCs w:val="24"/>
        </w:rPr>
        <w:t>,</w:t>
      </w:r>
      <w:r w:rsidR="00741C4D" w:rsidRPr="00695061">
        <w:rPr>
          <w:sz w:val="24"/>
          <w:szCs w:val="24"/>
        </w:rPr>
        <w:t xml:space="preserve"> and the cells washed with phosphate buffered saline (PBS) </w:t>
      </w:r>
      <w:r w:rsidR="000D598B" w:rsidRPr="00695061">
        <w:rPr>
          <w:sz w:val="24"/>
          <w:szCs w:val="24"/>
        </w:rPr>
        <w:t xml:space="preserve">and supplemented with fresh cell culture medium. Cells were incubated until 70% confluency </w:t>
      </w:r>
      <w:r w:rsidR="00951CA5" w:rsidRPr="00695061">
        <w:rPr>
          <w:sz w:val="24"/>
          <w:szCs w:val="24"/>
        </w:rPr>
        <w:t xml:space="preserve">after which the cultures were expanded. Cells were characterised </w:t>
      </w:r>
      <w:r w:rsidR="00573B27" w:rsidRPr="00695061">
        <w:rPr>
          <w:sz w:val="24"/>
          <w:szCs w:val="24"/>
        </w:rPr>
        <w:t xml:space="preserve">and fibroblast identity was confirmed </w:t>
      </w:r>
      <w:r w:rsidR="00951CA5" w:rsidRPr="00695061">
        <w:rPr>
          <w:sz w:val="24"/>
          <w:szCs w:val="24"/>
        </w:rPr>
        <w:t>as previously described</w:t>
      </w:r>
      <w:r w:rsidR="00573B27" w:rsidRPr="00695061">
        <w:rPr>
          <w:sz w:val="24"/>
          <w:szCs w:val="24"/>
        </w:rPr>
        <w:t xml:space="preserve"> </w:t>
      </w:r>
      <w:r w:rsidR="001715F2" w:rsidRPr="00695061">
        <w:rPr>
          <w:sz w:val="24"/>
          <w:szCs w:val="24"/>
        </w:rPr>
        <w:fldChar w:fldCharType="begin" w:fldLock="1"/>
      </w:r>
      <w:r w:rsidR="00813D10" w:rsidRPr="00695061">
        <w:rPr>
          <w:sz w:val="24"/>
          <w:szCs w:val="24"/>
        </w:rPr>
        <w:instrText>ADDIN CSL_CITATION {"citationItems":[{"id":"ITEM-1","itemData":{"DOI":"10.1016/j.jsxm.2018.05.003","ISSN":"17436109","PMID":"29891411","abstract":"Background: Peyronie's disease (PD) is a chronic fibrotic disease of the penis affecting a significant number of men worldwide without effective medical treatments. Myofibroblasts are pivotal in the pathogenesis of PD. Adenosine and adenosine receptors have been suggested to be involved in the pathophysiology of fibrosis. Aim: To understand the role of adenosine receptors in myofibroblast transformation in PD. Methods: Fibroblasts were isolated from the non-PD tunica albuginea (TA) tissue and PD plaque tissue and were transformed into myofibroblasts using transforming growth factor (TGF)-β1. Quantification of α-smooth muscle actin and adenosine receptors (adenosine receptor A1 [ADORA1], adenosine receptor A2A, adenosine receptor A2B [ADORA2B], and adenosine receptor A3) was performed using immuno-cytochemistry, in-cell enzyme-linked immuno-sorbent assay (ICE), and real-time reverse transcription quantitative polymerase chain reaction. The effect of various adenosine receptor agonists or antagonists on TGF-β1-induced myofibroblast transformation was measured using ICE. Outcomes: Expression of adenosine receptors in myofibroblasts obtained from human TA and the effect of adenosine receptor ligands on myofibroblast transformation were investigated. Results: The experiments showed that the protein and messenger RNA levels of α-smooth muscle actin in non-PD TA cells and PD plaque-derived cells were significantly higher in cells exposed to TGF-β1 than those not treated with TGF-β1. 2 of 4 adenosine receptors (ADORA1 and ADORA2B) were found to be expressed in both cell populations. Among various adenosine receptor agonists/antagonist investigated, only ADORA2B agonist, BAY 60-6583, significantly inhibited myofibroblast transformation in a concentration-dependent manner when applied simultaneously with TGF-β1 (IC 50 = 30 μmol/L). Clinical Translation: ADORA2B agonists may be clinically efficacious in early-stage PD. Strengths &amp; Limitations: The strength of this study is the use of primary fibroblasts from human TA. Limitation of the study is the high concentrations of the ligands used. Conclusion: The effect of an ADORA2B agonist on TGF-β1-induced myofibroblast transformation shows a novel potential therapeutic target for PD if applied during early, non-stable phase of PD. Mateus M, Ilg MM, Stebbeds WJ, et al. Understanding the Role of Adenosine Receptors in the Myofibroblast Transformation in Peyronie's Disease. J Sex Med 2018;15:947–957.","author":[{"dropping-particle":"","family":"Mateus","given":"Marta","non-dropping-particle":"","parse-names":false,"suffix":""},{"dropping-particle":"","family":"Ilg","given":"Marcus M.","non-dropping-particle":"","parse-names":false,"suffix":""},{"dropping-particle":"","family":"Stebbeds","given":"William J.","non-dropping-particle":"","parse-names":false,"suffix":""},{"dropping-particle":"","family":"Christopher","given":"Nim","non-dropping-particle":"","parse-names":false,"suffix":""},{"dropping-particle":"","family":"Muneer","given":"Asif","non-dropping-particle":"","parse-names":false,"suffix":""},{"dropping-particle":"","family":"Ralph","given":"David J.","non-dropping-particle":"","parse-names":false,"suffix":""},{"dropping-particle":"","family":"Cellek","given":"Selim","non-dropping-particle":"","parse-names":false,"suffix":""}],"container-title":"Journal of Sexual Medicine","id":"ITEM-1","issue":"7","issued":{"date-parts":[["2018"]]},"page":"947-957","title":"Understanding the Role of Adenosine Receptors in the Myofibroblast Transformation in Peyronie's Disease","type":"article-journal","volume":"15"},"uris":["http://www.mendeley.com/documents/?uuid=f459540c-50a3-3911-acda-4d6832299e2f"]},{"id":"ITEM-2","itemData":{"DOI":"10.1016/j.eururo.2018.10.014","ISSN":"18737560","abstract":"Background: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Urology","id":"ITEM-2","issue":"2","issued":{"date-parts":[["2019"]]},"page":"329-340","title":"Antifibrotic Synergy Between Phosphodiesterase Type 5 Inhibitors and Selective Oestrogen Receptor Modulators in Peyronie's Disease Models","type":"article-journal","volume":"75"},"uris":["http://www.mendeley.com/documents/?uuid=bff5c9d0-a461-3882-bd6b-be96b76e6abb"]}],"mendeley":{"formattedCitation":"[16,22]","plainTextFormattedCitation":"[16,22]","previouslyFormattedCitation":"[16,22]"},"properties":{"noteIndex":0},"schema":"https://github.com/citation-style-language/schema/raw/master/csl-citation.json"}</w:instrText>
      </w:r>
      <w:r w:rsidR="001715F2" w:rsidRPr="00695061">
        <w:rPr>
          <w:sz w:val="24"/>
          <w:szCs w:val="24"/>
        </w:rPr>
        <w:fldChar w:fldCharType="separate"/>
      </w:r>
      <w:r w:rsidR="00813D10" w:rsidRPr="00695061">
        <w:rPr>
          <w:noProof/>
          <w:sz w:val="24"/>
          <w:szCs w:val="24"/>
        </w:rPr>
        <w:t>[16,22]</w:t>
      </w:r>
      <w:r w:rsidR="001715F2" w:rsidRPr="00695061">
        <w:rPr>
          <w:sz w:val="24"/>
          <w:szCs w:val="24"/>
        </w:rPr>
        <w:fldChar w:fldCharType="end"/>
      </w:r>
      <w:r w:rsidR="00573B27" w:rsidRPr="00695061">
        <w:rPr>
          <w:sz w:val="24"/>
          <w:szCs w:val="24"/>
        </w:rPr>
        <w:t xml:space="preserve">. Passages 2-6 were used in this study. </w:t>
      </w:r>
    </w:p>
    <w:p w14:paraId="672E8547" w14:textId="77777777" w:rsidR="00176D82" w:rsidRPr="00695061" w:rsidRDefault="00176D82" w:rsidP="00C0615D">
      <w:pPr>
        <w:jc w:val="both"/>
        <w:rPr>
          <w:sz w:val="24"/>
          <w:szCs w:val="24"/>
        </w:rPr>
      </w:pPr>
    </w:p>
    <w:p w14:paraId="7E05E916" w14:textId="37AC470D" w:rsidR="00176D82" w:rsidRPr="00695061" w:rsidRDefault="00176D82" w:rsidP="00C0615D">
      <w:pPr>
        <w:jc w:val="both"/>
        <w:rPr>
          <w:b/>
          <w:bCs/>
          <w:sz w:val="24"/>
          <w:szCs w:val="24"/>
        </w:rPr>
      </w:pPr>
      <w:r w:rsidRPr="00695061">
        <w:rPr>
          <w:b/>
          <w:bCs/>
          <w:sz w:val="24"/>
          <w:szCs w:val="24"/>
        </w:rPr>
        <w:t>Immunocytochemistry:</w:t>
      </w:r>
    </w:p>
    <w:p w14:paraId="523ACEA5" w14:textId="4542257D" w:rsidR="00006BB0" w:rsidRPr="00695061" w:rsidRDefault="00E64A6C" w:rsidP="00D02E83">
      <w:pPr>
        <w:jc w:val="both"/>
        <w:rPr>
          <w:sz w:val="24"/>
          <w:szCs w:val="24"/>
        </w:rPr>
      </w:pPr>
      <w:r w:rsidRPr="00695061">
        <w:rPr>
          <w:sz w:val="24"/>
          <w:szCs w:val="24"/>
        </w:rPr>
        <w:t>50,000 cells per well were seeded onto sterile cover slips in a 6-well plate (NUNC, Fisher Scientific, UK) and incubated overnight at 37°C, 5% CO</w:t>
      </w:r>
      <w:r w:rsidRPr="00695061">
        <w:rPr>
          <w:sz w:val="24"/>
          <w:szCs w:val="24"/>
          <w:vertAlign w:val="subscript"/>
        </w:rPr>
        <w:t>2</w:t>
      </w:r>
      <w:r w:rsidRPr="00695061">
        <w:rPr>
          <w:sz w:val="24"/>
          <w:szCs w:val="24"/>
        </w:rPr>
        <w:t xml:space="preserve"> in a humidified atmosphere. The next day cells were treated with 10 ng/ml TGF-β1 or control conditions and incubated at 37°C, 5% CO</w:t>
      </w:r>
      <w:r w:rsidRPr="00695061">
        <w:rPr>
          <w:sz w:val="24"/>
          <w:szCs w:val="24"/>
          <w:vertAlign w:val="subscript"/>
        </w:rPr>
        <w:t>2</w:t>
      </w:r>
      <w:r w:rsidRPr="00695061">
        <w:rPr>
          <w:sz w:val="24"/>
          <w:szCs w:val="24"/>
        </w:rPr>
        <w:t xml:space="preserve"> for 72 h in a humidified atmosphere. </w:t>
      </w:r>
      <w:r w:rsidR="00EA41C9" w:rsidRPr="00695061">
        <w:rPr>
          <w:sz w:val="24"/>
          <w:szCs w:val="24"/>
        </w:rPr>
        <w:t xml:space="preserve">The </w:t>
      </w:r>
      <w:r w:rsidR="00D24B9F" w:rsidRPr="00695061">
        <w:rPr>
          <w:sz w:val="24"/>
          <w:szCs w:val="24"/>
        </w:rPr>
        <w:t>cover slips</w:t>
      </w:r>
      <w:r w:rsidR="00EA41C9" w:rsidRPr="00695061">
        <w:rPr>
          <w:sz w:val="24"/>
          <w:szCs w:val="24"/>
        </w:rPr>
        <w:t xml:space="preserve"> were washed with</w:t>
      </w:r>
      <w:r w:rsidRPr="00695061">
        <w:rPr>
          <w:sz w:val="24"/>
          <w:szCs w:val="24"/>
        </w:rPr>
        <w:t xml:space="preserve"> cold PBS</w:t>
      </w:r>
      <w:r w:rsidR="00804651" w:rsidRPr="00695061">
        <w:rPr>
          <w:sz w:val="24"/>
          <w:szCs w:val="24"/>
        </w:rPr>
        <w:t xml:space="preserve">, </w:t>
      </w:r>
      <w:r w:rsidR="00EA41C9" w:rsidRPr="00695061">
        <w:rPr>
          <w:sz w:val="24"/>
          <w:szCs w:val="24"/>
        </w:rPr>
        <w:t xml:space="preserve">fixed </w:t>
      </w:r>
      <w:r w:rsidR="00EA41C9" w:rsidRPr="00695061">
        <w:rPr>
          <w:sz w:val="24"/>
          <w:szCs w:val="24"/>
        </w:rPr>
        <w:lastRenderedPageBreak/>
        <w:t>using</w:t>
      </w:r>
      <w:r w:rsidR="00804651" w:rsidRPr="00695061">
        <w:rPr>
          <w:sz w:val="24"/>
          <w:szCs w:val="24"/>
        </w:rPr>
        <w:t xml:space="preserve"> </w:t>
      </w:r>
      <w:r w:rsidRPr="00695061">
        <w:rPr>
          <w:sz w:val="24"/>
          <w:szCs w:val="24"/>
        </w:rPr>
        <w:t>ice-cold methanol</w:t>
      </w:r>
      <w:r w:rsidR="00804651" w:rsidRPr="00695061">
        <w:rPr>
          <w:sz w:val="24"/>
          <w:szCs w:val="24"/>
        </w:rPr>
        <w:t xml:space="preserve"> and then washed</w:t>
      </w:r>
      <w:r w:rsidR="000D7B03" w:rsidRPr="00695061">
        <w:rPr>
          <w:sz w:val="24"/>
          <w:szCs w:val="24"/>
        </w:rPr>
        <w:t xml:space="preserve"> with </w:t>
      </w:r>
      <w:r w:rsidRPr="00695061">
        <w:rPr>
          <w:sz w:val="24"/>
          <w:szCs w:val="24"/>
        </w:rPr>
        <w:t xml:space="preserve">cold PBS. </w:t>
      </w:r>
      <w:r w:rsidR="004E6898" w:rsidRPr="00695061">
        <w:rPr>
          <w:sz w:val="24"/>
          <w:szCs w:val="24"/>
        </w:rPr>
        <w:t xml:space="preserve">Unspecific binding of the antibodies was blocked using </w:t>
      </w:r>
      <w:r w:rsidRPr="00695061">
        <w:rPr>
          <w:sz w:val="24"/>
          <w:szCs w:val="24"/>
        </w:rPr>
        <w:t>10% donkey serum (Millipore, UK) in PBS</w:t>
      </w:r>
      <w:r w:rsidR="004E6898" w:rsidRPr="00695061">
        <w:rPr>
          <w:sz w:val="24"/>
          <w:szCs w:val="24"/>
        </w:rPr>
        <w:t xml:space="preserve"> for 1 hour. </w:t>
      </w:r>
      <w:r w:rsidRPr="00695061">
        <w:rPr>
          <w:sz w:val="24"/>
          <w:szCs w:val="24"/>
        </w:rPr>
        <w:t xml:space="preserve"> </w:t>
      </w:r>
      <w:r w:rsidR="004E6898" w:rsidRPr="00695061">
        <w:rPr>
          <w:sz w:val="24"/>
          <w:szCs w:val="24"/>
        </w:rPr>
        <w:t xml:space="preserve">The cover slips were then </w:t>
      </w:r>
      <w:r w:rsidR="009C1957" w:rsidRPr="00695061">
        <w:rPr>
          <w:sz w:val="24"/>
          <w:szCs w:val="24"/>
        </w:rPr>
        <w:t>incubated with the primary antibody (</w:t>
      </w:r>
      <w:r w:rsidR="008E783A" w:rsidRPr="00695061">
        <w:rPr>
          <w:sz w:val="24"/>
          <w:szCs w:val="24"/>
        </w:rPr>
        <w:t>desmin</w:t>
      </w:r>
      <w:r w:rsidR="002915ED" w:rsidRPr="00695061">
        <w:rPr>
          <w:sz w:val="24"/>
          <w:szCs w:val="24"/>
        </w:rPr>
        <w:t xml:space="preserve"> 1:</w:t>
      </w:r>
      <w:r w:rsidR="00021FA9" w:rsidRPr="00695061">
        <w:rPr>
          <w:sz w:val="24"/>
          <w:szCs w:val="24"/>
        </w:rPr>
        <w:t>500</w:t>
      </w:r>
      <w:r w:rsidR="002915ED" w:rsidRPr="00695061">
        <w:rPr>
          <w:sz w:val="24"/>
          <w:szCs w:val="24"/>
        </w:rPr>
        <w:t xml:space="preserve">, </w:t>
      </w:r>
      <w:r w:rsidR="00021FA9" w:rsidRPr="00695061">
        <w:rPr>
          <w:sz w:val="24"/>
          <w:szCs w:val="24"/>
        </w:rPr>
        <w:t>Abcam, Cambridge, UK</w:t>
      </w:r>
      <w:r w:rsidR="002915ED" w:rsidRPr="00695061">
        <w:rPr>
          <w:sz w:val="24"/>
          <w:szCs w:val="24"/>
        </w:rPr>
        <w:t>; vimentin 1:</w:t>
      </w:r>
      <w:r w:rsidR="00021FA9" w:rsidRPr="00695061">
        <w:rPr>
          <w:sz w:val="24"/>
          <w:szCs w:val="24"/>
        </w:rPr>
        <w:t>1,000</w:t>
      </w:r>
      <w:r w:rsidR="002915ED" w:rsidRPr="00695061">
        <w:rPr>
          <w:sz w:val="24"/>
          <w:szCs w:val="24"/>
        </w:rPr>
        <w:t xml:space="preserve">, </w:t>
      </w:r>
      <w:r w:rsidR="00021FA9" w:rsidRPr="00695061">
        <w:rPr>
          <w:sz w:val="24"/>
          <w:szCs w:val="24"/>
        </w:rPr>
        <w:t>Abcam</w:t>
      </w:r>
      <w:r w:rsidR="002915ED" w:rsidRPr="00695061">
        <w:rPr>
          <w:sz w:val="24"/>
          <w:szCs w:val="24"/>
        </w:rPr>
        <w:t xml:space="preserve">; </w:t>
      </w:r>
      <w:r w:rsidR="002F0E92" w:rsidRPr="00695061">
        <w:rPr>
          <w:rFonts w:cstheme="minorHAnsi"/>
        </w:rPr>
        <w:t>α</w:t>
      </w:r>
      <w:r w:rsidR="002F0E92" w:rsidRPr="00695061">
        <w:t>-SMA</w:t>
      </w:r>
      <w:r w:rsidR="002F0E92" w:rsidRPr="00695061">
        <w:rPr>
          <w:sz w:val="24"/>
          <w:szCs w:val="24"/>
        </w:rPr>
        <w:t xml:space="preserve"> 1:1,000, Sigma)</w:t>
      </w:r>
      <w:r w:rsidR="003E0F30" w:rsidRPr="00695061">
        <w:rPr>
          <w:sz w:val="24"/>
          <w:szCs w:val="24"/>
        </w:rPr>
        <w:t xml:space="preserve"> for 2 hours. </w:t>
      </w:r>
      <w:r w:rsidRPr="00695061">
        <w:rPr>
          <w:sz w:val="24"/>
          <w:szCs w:val="24"/>
        </w:rPr>
        <w:t xml:space="preserve">After three subsequent washes with PBS, </w:t>
      </w:r>
      <w:r w:rsidR="003E0F30" w:rsidRPr="00695061">
        <w:rPr>
          <w:sz w:val="24"/>
          <w:szCs w:val="24"/>
        </w:rPr>
        <w:t xml:space="preserve">the cover slips </w:t>
      </w:r>
      <w:r w:rsidR="008D5ABA" w:rsidRPr="00695061">
        <w:rPr>
          <w:sz w:val="24"/>
          <w:szCs w:val="24"/>
        </w:rPr>
        <w:t>w</w:t>
      </w:r>
      <w:r w:rsidR="003E0F30" w:rsidRPr="00695061">
        <w:rPr>
          <w:sz w:val="24"/>
          <w:szCs w:val="24"/>
        </w:rPr>
        <w:t xml:space="preserve">ere incubated with </w:t>
      </w:r>
      <w:r w:rsidRPr="00695061">
        <w:rPr>
          <w:sz w:val="24"/>
          <w:szCs w:val="24"/>
        </w:rPr>
        <w:t>FITC conjugated secondary antibody (</w:t>
      </w:r>
      <w:r w:rsidR="003E0F30" w:rsidRPr="00695061">
        <w:rPr>
          <w:sz w:val="24"/>
          <w:szCs w:val="24"/>
        </w:rPr>
        <w:t xml:space="preserve">1:250, </w:t>
      </w:r>
      <w:r w:rsidRPr="00695061">
        <w:rPr>
          <w:sz w:val="24"/>
          <w:szCs w:val="24"/>
        </w:rPr>
        <w:t xml:space="preserve">EMD-Millipore, UK) for 2 h in a dark humidified chamber. The secondary antibody was removed, and the cover slips washed three times using PBS. After that, the cover slips were mounted on a glass slide using VECTASHIELD® mounting medium with </w:t>
      </w:r>
      <w:r w:rsidR="00021FA9" w:rsidRPr="00695061">
        <w:rPr>
          <w:sz w:val="24"/>
          <w:szCs w:val="24"/>
        </w:rPr>
        <w:t>DAPI</w:t>
      </w:r>
      <w:r w:rsidRPr="00695061">
        <w:rPr>
          <w:sz w:val="24"/>
          <w:szCs w:val="24"/>
        </w:rPr>
        <w:t xml:space="preserve"> (Vector Laboratories, UK) and kept in the fridge at 4°C. </w:t>
      </w:r>
      <w:r w:rsidR="00016A15" w:rsidRPr="00695061">
        <w:rPr>
          <w:sz w:val="24"/>
          <w:szCs w:val="24"/>
        </w:rPr>
        <w:t>Images were captured using</w:t>
      </w:r>
      <w:r w:rsidRPr="00695061">
        <w:rPr>
          <w:sz w:val="24"/>
          <w:szCs w:val="24"/>
        </w:rPr>
        <w:t xml:space="preserve"> an Olympus IX71 fluorescent microscope </w:t>
      </w:r>
      <w:r w:rsidR="00D24B9F" w:rsidRPr="00695061">
        <w:rPr>
          <w:sz w:val="24"/>
          <w:szCs w:val="24"/>
        </w:rPr>
        <w:t>and a</w:t>
      </w:r>
      <w:r w:rsidRPr="00695061">
        <w:rPr>
          <w:sz w:val="24"/>
          <w:szCs w:val="24"/>
        </w:rPr>
        <w:t xml:space="preserve"> Leica DFC3000 G camera and LASX software (Leica, Germany). Fluorescent images were taken in at least three random fields of view of the cover slip.</w:t>
      </w:r>
    </w:p>
    <w:p w14:paraId="394C3F2A" w14:textId="47724003" w:rsidR="00006BB0" w:rsidRPr="00695061" w:rsidRDefault="00006BB0" w:rsidP="00D02E83">
      <w:pPr>
        <w:jc w:val="both"/>
        <w:rPr>
          <w:b/>
          <w:bCs/>
          <w:sz w:val="24"/>
          <w:szCs w:val="24"/>
        </w:rPr>
      </w:pPr>
      <w:r w:rsidRPr="00695061">
        <w:rPr>
          <w:b/>
          <w:bCs/>
          <w:sz w:val="24"/>
          <w:szCs w:val="24"/>
        </w:rPr>
        <w:t>In-Cell ELISA</w:t>
      </w:r>
      <w:r w:rsidR="00176D82" w:rsidRPr="00695061">
        <w:rPr>
          <w:b/>
          <w:bCs/>
          <w:sz w:val="24"/>
          <w:szCs w:val="24"/>
        </w:rPr>
        <w:t>:</w:t>
      </w:r>
    </w:p>
    <w:p w14:paraId="409953C9" w14:textId="0A05CBA3" w:rsidR="00006BB0" w:rsidRPr="00695061" w:rsidRDefault="007067DB" w:rsidP="00DF0229">
      <w:pPr>
        <w:jc w:val="both"/>
        <w:rPr>
          <w:sz w:val="24"/>
          <w:szCs w:val="24"/>
        </w:rPr>
      </w:pPr>
      <w:r w:rsidRPr="00695061">
        <w:rPr>
          <w:sz w:val="24"/>
          <w:szCs w:val="24"/>
        </w:rPr>
        <w:t xml:space="preserve">Myofibroblast transformation was quantified by measuring </w:t>
      </w:r>
      <w:r w:rsidR="00054C01" w:rsidRPr="00695061">
        <w:rPr>
          <w:rFonts w:cstheme="minorHAnsi"/>
          <w:sz w:val="24"/>
          <w:szCs w:val="24"/>
        </w:rPr>
        <w:t>α</w:t>
      </w:r>
      <w:r w:rsidR="00054C01" w:rsidRPr="00695061">
        <w:rPr>
          <w:sz w:val="24"/>
          <w:szCs w:val="24"/>
        </w:rPr>
        <w:t>-SMA</w:t>
      </w:r>
      <w:r w:rsidR="00585CA7" w:rsidRPr="00695061">
        <w:rPr>
          <w:sz w:val="24"/>
          <w:szCs w:val="24"/>
        </w:rPr>
        <w:t xml:space="preserve"> using the In-cell ELISA technique in a 96-well plate format as previously described </w:t>
      </w:r>
      <w:r w:rsidR="00891FE8" w:rsidRPr="00695061">
        <w:rPr>
          <w:sz w:val="24"/>
          <w:szCs w:val="24"/>
        </w:rPr>
        <w:fldChar w:fldCharType="begin" w:fldLock="1"/>
      </w:r>
      <w:r w:rsidR="00813D10" w:rsidRPr="00695061">
        <w:rPr>
          <w:sz w:val="24"/>
          <w:szCs w:val="24"/>
        </w:rPr>
        <w:instrText>ADDIN CSL_CITATION {"citationItems":[{"id":"ITEM-1","itemData":{"DOI":"10.1016/j.jsxm.2018.05.003","ISSN":"17436109","PMID":"29891411","abstract":"Background: Peyronie's disease (PD) is a chronic fibrotic disease of the penis affecting a significant number of men worldwide without effective medical treatments. Myofibroblasts are pivotal in the pathogenesis of PD. Adenosine and adenosine receptors have been suggested to be involved in the pathophysiology of fibrosis. Aim: To understand the role of adenosine receptors in myofibroblast transformation in PD. Methods: Fibroblasts were isolated from the non-PD tunica albuginea (TA) tissue and PD plaque tissue and were transformed into myofibroblasts using transforming growth factor (TGF)-β1. Quantification of α-smooth muscle actin and adenosine receptors (adenosine receptor A1 [ADORA1], adenosine receptor A2A, adenosine receptor A2B [ADORA2B], and adenosine receptor A3) was performed using immuno-cytochemistry, in-cell enzyme-linked immuno-sorbent assay (ICE), and real-time reverse transcription quantitative polymerase chain reaction. The effect of various adenosine receptor agonists or antagonists on TGF-β1-induced myofibroblast transformation was measured using ICE. Outcomes: Expression of adenosine receptors in myofibroblasts obtained from human TA and the effect of adenosine receptor ligands on myofibroblast transformation were investigated. Results: The experiments showed that the protein and messenger RNA levels of α-smooth muscle actin in non-PD TA cells and PD plaque-derived cells were significantly higher in cells exposed to TGF-β1 than those not treated with TGF-β1. 2 of 4 adenosine receptors (ADORA1 and ADORA2B) were found to be expressed in both cell populations. Among various adenosine receptor agonists/antagonist investigated, only ADORA2B agonist, BAY 60-6583, significantly inhibited myofibroblast transformation in a concentration-dependent manner when applied simultaneously with TGF-β1 (IC 50 = 30 μmol/L). Clinical Translation: ADORA2B agonists may be clinically efficacious in early-stage PD. Strengths &amp; Limitations: The strength of this study is the use of primary fibroblasts from human TA. Limitation of the study is the high concentrations of the ligands used. Conclusion: The effect of an ADORA2B agonist on TGF-β1-induced myofibroblast transformation shows a novel potential therapeutic target for PD if applied during early, non-stable phase of PD. Mateus M, Ilg MM, Stebbeds WJ, et al. Understanding the Role of Adenosine Receptors in the Myofibroblast Transformation in Peyronie's Disease. J Sex Med 2018;15:947–957.","author":[{"dropping-particle":"","family":"Mateus","given":"Marta","non-dropping-particle":"","parse-names":false,"suffix":""},{"dropping-particle":"","family":"Ilg","given":"Marcus M.","non-dropping-particle":"","parse-names":false,"suffix":""},{"dropping-particle":"","family":"Stebbeds","given":"William J.","non-dropping-particle":"","parse-names":false,"suffix":""},{"dropping-particle":"","family":"Christopher","given":"Nim","non-dropping-particle":"","parse-names":false,"suffix":""},{"dropping-particle":"","family":"Muneer","given":"Asif","non-dropping-particle":"","parse-names":false,"suffix":""},{"dropping-particle":"","family":"Ralph","given":"David J.","non-dropping-particle":"","parse-names":false,"suffix":""},{"dropping-particle":"","family":"Cellek","given":"Selim","non-dropping-particle":"","parse-names":false,"suffix":""}],"container-title":"Journal of Sexual Medicine","id":"ITEM-1","issue":"7","issued":{"date-parts":[["2018"]]},"page":"947-957","title":"Understanding the Role of Adenosine Receptors in the Myofibroblast Transformation in Peyronie's Disease","type":"article-journal","volume":"15"},"uris":["http://www.mendeley.com/documents/?uuid=f459540c-50a3-3911-acda-4d6832299e2f"]},{"id":"ITEM-2","itemData":{"DOI":"10.1016/j.eururo.2018.10.014","ISSN":"18737560","abstract":"Background: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Urology","id":"ITEM-2","issue":"2","issued":{"date-parts":[["2019"]]},"page":"329-340","title":"Antifibrotic Synergy Between Phosphodiesterase Type 5 Inhibitors and Selective Oestrogen Receptor Modulators in Peyronie's Disease Models","type":"article-journal","volume":"75"},"uris":["http://www.mendeley.com/documents/?uuid=bff5c9d0-a461-3882-bd6b-be96b76e6abb"]},{"id":"ITEM-3","itemData":{"DOI":"10.1016/j.jsxm.2020.06.022","ISSN":"17436109","PMID":"32771352","abstract":"Background: Myofibroblast transformation is a key step in the pathogenesis of Peyronie's disease (PD). Phosphodiesterase type 5 inhibitors (PDE5is) and selective estrogen receptor modulators (SERMs) can prevent the formation of fibrosis in in vitro and in vivo models of PD. However, it is unknown whether these drugs can also reverse established fibrosis. Aim: To investigate whether PDE5is and SERMs can reverse transforming growth factor beta 1 (TGF-β1)–induced myofibroblast transformation and determine the point of no return. Methods: In-Cell enzyme-linked immunosorbent assay was used to quantify TGF-β1–induced myofibroblast transformation of human primary fibroblasts isolated from tunica albuginea (TA) of patients undergoing surgery for treatment of PD. Extracellular matrix production and collagen contraction assays were used as secondary assays. Reverse transcription–quantitative polymerase chain reaction and In-Cell enzyme-linked immunosorbent assay were used to measure drug target expression. PDE5i (vardenafil) and SERM (tamoxifen) were applied at various time points after TGF-β1. Outcomes: Reversibility of myofibroblast transformation and drug target expression were investigated in a time-dependent manner in TA-derived fibroblasts. Results: Vardenafil or tamoxifen could not reverse the myofibroblast traits of alpha-smooth muscle actin expression and extracellular matrix production, whereas only tamoxifen affected collagen contraction after 72 hours of TGF-β1 treatment. Phosphodiesterase 5A and estrogen receptor (ER)-β were downregulated after 72 hours, and estrogen receptor -α protein could not be quantified. Tamoxifen could prevent myofibroblast transformation until 36 hours after TGF-β1 treatment, whereas vardenafil could prevent only 24 hours after TGF-β1 treatment. This was mirrored by downregulation of drug targets on mRNA and protein level. Furthermore, antifibrotic signaling pathways, peroxisome proliferator-activated receptor gamma and betaglycan (TGFB receptor III), were significantly downregulated after 36 hours of TGF-β1 exposure, as opposed to upregulation of profibrotic thrombospondin-1 at the same time point. Clinical Translation: This study suggests that using PDE5is and SERMs might only help for early-phase PD and further highlights the need to test drugs at the appropriate stage of the disease based on their mechanism of action. Strengths &amp; Limitations: The study uses primary human TA-derived fibroblasts that enhances translatabili…","author":[{"dropping-particle":"","family":"Ilg","given":"Marcus M.","non-dropping-particle":"","parse-names":false,"suffix":""},{"dropping-particle":"","family":"Stafford","given":"Simon J.","non-dropping-particle":"","parse-names":false,"suffix":""},{"dropping-particle":"","family":"Mateus","given":"Marta","non-dropping-particle":"","parse-names":false,"suffix":""},{"dropping-particle":"","family":"Bustin","given":"Stephen A.","non-dropping-particle":"","parse-names":false,"suffix":""},{"dropping-particle":"","family":"Carpenter","given":"Michael J.","non-dropping-particle":"","parse-names":false,"suffix":""},{"dropping-particle":"","family":"Muneer","given":"Asif","non-dropping-particle":"","parse-names":false,"suffix":""},{"dropping-particle":"","family":"Bivalacqua","given":"Trinity J.","non-dropping-particle":"","parse-names":false,"suffix":""},{"dropping-particle":"","family":"Ralph","given":"David J.","non-dropping-particle":"","parse-names":false,"suffix":""},{"dropping-particle":"","family":"Cellek","given":"Selim","non-dropping-particle":"","parse-names":false,"suffix":""}],"container-title":"Journal of Sexual Medicine","id":"ITEM-3","issue":"10","issued":{"date-parts":[["2020","10","1"]]},"page":"1848-1864","publisher":"Elsevier B.V.","title":"Phosphodiesterase Type 5 Inhibitors and Selective Estrogen Receptor Modulators Can Prevent But Not Reverse Myofibroblast Transformation in Peyronie's Disease","type":"article-journal","volume":"17"},"uris":["http://www.mendeley.com/documents/?uuid=c64145e0-084b-3418-b91f-2ab40d640aa0"]}],"mendeley":{"formattedCitation":"[16,22,23]","plainTextFormattedCitation":"[16,22,23]","previouslyFormattedCitation":"[16,22,23]"},"properties":{"noteIndex":0},"schema":"https://github.com/citation-style-language/schema/raw/master/csl-citation.json"}</w:instrText>
      </w:r>
      <w:r w:rsidR="00891FE8" w:rsidRPr="00695061">
        <w:rPr>
          <w:sz w:val="24"/>
          <w:szCs w:val="24"/>
        </w:rPr>
        <w:fldChar w:fldCharType="separate"/>
      </w:r>
      <w:r w:rsidR="00813D10" w:rsidRPr="00695061">
        <w:rPr>
          <w:noProof/>
          <w:sz w:val="24"/>
          <w:szCs w:val="24"/>
        </w:rPr>
        <w:t>[16,22,23]</w:t>
      </w:r>
      <w:r w:rsidR="00891FE8" w:rsidRPr="00695061">
        <w:rPr>
          <w:sz w:val="24"/>
          <w:szCs w:val="24"/>
        </w:rPr>
        <w:fldChar w:fldCharType="end"/>
      </w:r>
      <w:r w:rsidR="00585CA7" w:rsidRPr="00695061">
        <w:rPr>
          <w:sz w:val="24"/>
          <w:szCs w:val="24"/>
        </w:rPr>
        <w:t>.</w:t>
      </w:r>
      <w:r w:rsidR="00526236" w:rsidRPr="00695061">
        <w:rPr>
          <w:sz w:val="24"/>
          <w:szCs w:val="24"/>
        </w:rPr>
        <w:t xml:space="preserve"> Fibroblasts were seeded into wells of a 96-well </w:t>
      </w:r>
      <w:r w:rsidR="00FA7880" w:rsidRPr="00695061">
        <w:rPr>
          <w:sz w:val="24"/>
          <w:szCs w:val="24"/>
        </w:rPr>
        <w:t>optical flat-bottom black microplates (Nunc, Rochester, New York)</w:t>
      </w:r>
      <w:r w:rsidR="00526236" w:rsidRPr="00695061">
        <w:rPr>
          <w:sz w:val="24"/>
          <w:szCs w:val="24"/>
        </w:rPr>
        <w:t xml:space="preserve"> at a density of 5,000 cells/well and left to attach </w:t>
      </w:r>
      <w:r w:rsidR="00891FE8" w:rsidRPr="00695061">
        <w:rPr>
          <w:sz w:val="24"/>
          <w:szCs w:val="24"/>
        </w:rPr>
        <w:t>overnight</w:t>
      </w:r>
      <w:r w:rsidR="00526236" w:rsidRPr="00695061">
        <w:rPr>
          <w:sz w:val="24"/>
          <w:szCs w:val="24"/>
        </w:rPr>
        <w:t xml:space="preserve"> in an incubator at 37</w:t>
      </w:r>
      <w:r w:rsidR="00526236" w:rsidRPr="00695061">
        <w:rPr>
          <w:rFonts w:cstheme="minorHAnsi"/>
          <w:sz w:val="24"/>
          <w:szCs w:val="24"/>
        </w:rPr>
        <w:t>°</w:t>
      </w:r>
      <w:r w:rsidR="00526236" w:rsidRPr="00695061">
        <w:rPr>
          <w:sz w:val="24"/>
          <w:szCs w:val="24"/>
        </w:rPr>
        <w:t>C and 5% CO</w:t>
      </w:r>
      <w:r w:rsidR="00526236" w:rsidRPr="00695061">
        <w:rPr>
          <w:sz w:val="24"/>
          <w:szCs w:val="24"/>
          <w:vertAlign w:val="subscript"/>
        </w:rPr>
        <w:t>2</w:t>
      </w:r>
      <w:r w:rsidR="00526236" w:rsidRPr="00695061">
        <w:rPr>
          <w:sz w:val="24"/>
          <w:szCs w:val="24"/>
        </w:rPr>
        <w:t xml:space="preserve">. </w:t>
      </w:r>
      <w:r w:rsidR="00230F60" w:rsidRPr="00695061">
        <w:rPr>
          <w:sz w:val="24"/>
          <w:szCs w:val="24"/>
        </w:rPr>
        <w:t>Media was replaced with blank media or media containing 10 ng/mL TGF-</w:t>
      </w:r>
      <w:r w:rsidR="00230F60" w:rsidRPr="00695061">
        <w:rPr>
          <w:rFonts w:cstheme="minorHAnsi"/>
          <w:sz w:val="24"/>
          <w:szCs w:val="24"/>
        </w:rPr>
        <w:t>ß</w:t>
      </w:r>
      <w:r w:rsidR="00230F60" w:rsidRPr="00695061">
        <w:rPr>
          <w:sz w:val="24"/>
          <w:szCs w:val="24"/>
        </w:rPr>
        <w:t xml:space="preserve">1 in presence or absence of various concentrations of </w:t>
      </w:r>
      <w:r w:rsidR="00A55FE2" w:rsidRPr="00695061">
        <w:rPr>
          <w:sz w:val="24"/>
          <w:szCs w:val="24"/>
        </w:rPr>
        <w:t>statins (simvastatin, lovastatin [</w:t>
      </w:r>
      <w:r w:rsidR="0043412E" w:rsidRPr="00695061">
        <w:rPr>
          <w:sz w:val="24"/>
          <w:szCs w:val="24"/>
        </w:rPr>
        <w:t xml:space="preserve">Sigma-Aldrich, Gillingham, UK]) and/or </w:t>
      </w:r>
      <w:r w:rsidR="00617EF4" w:rsidRPr="00695061">
        <w:rPr>
          <w:sz w:val="24"/>
          <w:szCs w:val="24"/>
        </w:rPr>
        <w:t xml:space="preserve">a SERM (tamoxifen [Sigma-Aldrich, UK]) or PDE5i (vardenafil [Sigma-Aldrich, UK]). </w:t>
      </w:r>
      <w:r w:rsidR="003D19D8" w:rsidRPr="00695061">
        <w:rPr>
          <w:sz w:val="24"/>
          <w:szCs w:val="24"/>
        </w:rPr>
        <w:t>After 72h incubation at 37</w:t>
      </w:r>
      <w:r w:rsidR="003D19D8" w:rsidRPr="00695061">
        <w:rPr>
          <w:rFonts w:cstheme="minorHAnsi"/>
          <w:sz w:val="24"/>
          <w:szCs w:val="24"/>
        </w:rPr>
        <w:t>°</w:t>
      </w:r>
      <w:r w:rsidR="003D19D8" w:rsidRPr="00695061">
        <w:rPr>
          <w:sz w:val="24"/>
          <w:szCs w:val="24"/>
        </w:rPr>
        <w:t>C and 5% CO</w:t>
      </w:r>
      <w:r w:rsidR="003D19D8" w:rsidRPr="00695061">
        <w:rPr>
          <w:sz w:val="24"/>
          <w:szCs w:val="24"/>
          <w:vertAlign w:val="subscript"/>
        </w:rPr>
        <w:t>2</w:t>
      </w:r>
      <w:r w:rsidR="003D19D8" w:rsidRPr="00695061">
        <w:rPr>
          <w:sz w:val="24"/>
          <w:szCs w:val="24"/>
        </w:rPr>
        <w:t xml:space="preserve">, </w:t>
      </w:r>
      <w:r w:rsidR="008F020A" w:rsidRPr="00695061">
        <w:rPr>
          <w:sz w:val="24"/>
          <w:szCs w:val="24"/>
        </w:rPr>
        <w:t xml:space="preserve">cells were fixed using 4% paraformaldehyde for 20 min at room temperature, after which cells were washed using PBS containing </w:t>
      </w:r>
      <w:r w:rsidR="00130BC1" w:rsidRPr="00695061">
        <w:rPr>
          <w:sz w:val="24"/>
          <w:szCs w:val="24"/>
        </w:rPr>
        <w:t xml:space="preserve">0.1% Triton X-100. This was followed by blocking the cells in </w:t>
      </w:r>
      <w:r w:rsidR="004C1F34" w:rsidRPr="00695061">
        <w:rPr>
          <w:sz w:val="24"/>
          <w:szCs w:val="24"/>
        </w:rPr>
        <w:t>PBS containing 0.1% Triton X-100 and 10% donkey serum (Sigma-Aldrich, UK)</w:t>
      </w:r>
      <w:r w:rsidR="003D19D8" w:rsidRPr="00695061">
        <w:rPr>
          <w:sz w:val="24"/>
          <w:szCs w:val="24"/>
          <w:vertAlign w:val="subscript"/>
        </w:rPr>
        <w:t xml:space="preserve"> </w:t>
      </w:r>
      <w:r w:rsidR="004C1F34" w:rsidRPr="00695061">
        <w:rPr>
          <w:sz w:val="24"/>
          <w:szCs w:val="24"/>
        </w:rPr>
        <w:t xml:space="preserve">for 90 min at room temperature. </w:t>
      </w:r>
      <w:r w:rsidR="007279A1" w:rsidRPr="00695061">
        <w:rPr>
          <w:sz w:val="24"/>
          <w:szCs w:val="24"/>
        </w:rPr>
        <w:t xml:space="preserve">A mouse monoclonal anti-ASMA antibody (Sigma-Aldrich, UK) </w:t>
      </w:r>
      <w:r w:rsidR="00040CF2" w:rsidRPr="00695061">
        <w:rPr>
          <w:sz w:val="24"/>
          <w:szCs w:val="24"/>
        </w:rPr>
        <w:t>was added at a 1:3,000 dilution and cells were incubated for 2h at room temperature</w:t>
      </w:r>
      <w:r w:rsidR="00581FE6" w:rsidRPr="00695061">
        <w:rPr>
          <w:sz w:val="24"/>
          <w:szCs w:val="24"/>
        </w:rPr>
        <w:t xml:space="preserve">, after which they were washed </w:t>
      </w:r>
      <w:r w:rsidR="001D7C0A" w:rsidRPr="00695061">
        <w:rPr>
          <w:sz w:val="24"/>
          <w:szCs w:val="24"/>
        </w:rPr>
        <w:t xml:space="preserve">three times </w:t>
      </w:r>
      <w:r w:rsidR="00581FE6" w:rsidRPr="00695061">
        <w:rPr>
          <w:sz w:val="24"/>
          <w:szCs w:val="24"/>
        </w:rPr>
        <w:t>using PBS containing 0.1% Tween 20</w:t>
      </w:r>
      <w:r w:rsidR="001D7C0A" w:rsidRPr="00695061">
        <w:rPr>
          <w:sz w:val="24"/>
          <w:szCs w:val="24"/>
        </w:rPr>
        <w:t xml:space="preserve">. A secondary antibody and nuclear stain </w:t>
      </w:r>
      <w:r w:rsidR="00B45638" w:rsidRPr="00695061">
        <w:rPr>
          <w:sz w:val="24"/>
          <w:szCs w:val="24"/>
        </w:rPr>
        <w:t xml:space="preserve">(donkey anti-mouse at 1:500 that emits at 800 nm; </w:t>
      </w:r>
      <w:proofErr w:type="spellStart"/>
      <w:r w:rsidR="00B45638" w:rsidRPr="00695061">
        <w:rPr>
          <w:sz w:val="24"/>
          <w:szCs w:val="24"/>
        </w:rPr>
        <w:t>IRdye</w:t>
      </w:r>
      <w:proofErr w:type="spellEnd"/>
      <w:r w:rsidR="00B45638" w:rsidRPr="00695061">
        <w:rPr>
          <w:sz w:val="24"/>
          <w:szCs w:val="24"/>
        </w:rPr>
        <w:t xml:space="preserve"> 800CW [LI-COR, Cambridge, UK]; nuclear counterstain at 1:1,000 that emits at 700 nm [DRAQ5, </w:t>
      </w:r>
      <w:proofErr w:type="spellStart"/>
      <w:r w:rsidR="00B45638" w:rsidRPr="00695061">
        <w:rPr>
          <w:sz w:val="24"/>
          <w:szCs w:val="24"/>
        </w:rPr>
        <w:t>Biostatus</w:t>
      </w:r>
      <w:proofErr w:type="spellEnd"/>
      <w:r w:rsidR="00B45638" w:rsidRPr="00695061">
        <w:rPr>
          <w:sz w:val="24"/>
          <w:szCs w:val="24"/>
        </w:rPr>
        <w:t>, Loughborough, UK])</w:t>
      </w:r>
      <w:r w:rsidR="00FC0F91" w:rsidRPr="00695061">
        <w:rPr>
          <w:sz w:val="24"/>
          <w:szCs w:val="24"/>
        </w:rPr>
        <w:t xml:space="preserve"> was added and cells were incubated for 1h in the dark. Cells were washed thrice using PBS containing 0.1% Tween 20</w:t>
      </w:r>
      <w:r w:rsidR="00DF0229" w:rsidRPr="00695061">
        <w:rPr>
          <w:sz w:val="24"/>
          <w:szCs w:val="24"/>
        </w:rPr>
        <w:t xml:space="preserve"> and plates were scanned using infrared imaging system (Odyssey </w:t>
      </w:r>
      <w:proofErr w:type="spellStart"/>
      <w:r w:rsidR="00DF0229" w:rsidRPr="00695061">
        <w:rPr>
          <w:sz w:val="24"/>
          <w:szCs w:val="24"/>
        </w:rPr>
        <w:t>CLx</w:t>
      </w:r>
      <w:proofErr w:type="spellEnd"/>
      <w:r w:rsidR="00DF0229" w:rsidRPr="00695061">
        <w:rPr>
          <w:sz w:val="24"/>
          <w:szCs w:val="24"/>
        </w:rPr>
        <w:t xml:space="preserve"> imager; LI-COR, UK) at both 700 nm and 800 nm wavelengths. </w:t>
      </w:r>
    </w:p>
    <w:p w14:paraId="09E6EDEA" w14:textId="34DE3189" w:rsidR="00156D2C" w:rsidRPr="00695061" w:rsidRDefault="004B1E1D" w:rsidP="00D02E83">
      <w:pPr>
        <w:jc w:val="both"/>
        <w:rPr>
          <w:sz w:val="24"/>
          <w:szCs w:val="24"/>
        </w:rPr>
      </w:pPr>
      <w:r w:rsidRPr="00695061">
        <w:rPr>
          <w:sz w:val="24"/>
          <w:szCs w:val="24"/>
        </w:rPr>
        <w:t xml:space="preserve">The assay measures alpha smooth muscle actin (α-SMA) protein expression </w:t>
      </w:r>
      <w:r w:rsidR="00846E7F" w:rsidRPr="00695061">
        <w:rPr>
          <w:sz w:val="24"/>
          <w:szCs w:val="24"/>
        </w:rPr>
        <w:t xml:space="preserve">(800 nm channel) </w:t>
      </w:r>
      <w:r w:rsidRPr="00695061">
        <w:rPr>
          <w:sz w:val="24"/>
          <w:szCs w:val="24"/>
        </w:rPr>
        <w:t xml:space="preserve">and divides this number with nuclear stain </w:t>
      </w:r>
      <w:r w:rsidR="00846E7F" w:rsidRPr="00695061">
        <w:rPr>
          <w:sz w:val="24"/>
          <w:szCs w:val="24"/>
        </w:rPr>
        <w:t xml:space="preserve">(700 nm channel) </w:t>
      </w:r>
      <w:r w:rsidRPr="00695061">
        <w:rPr>
          <w:sz w:val="24"/>
          <w:szCs w:val="24"/>
        </w:rPr>
        <w:t>which gives α-SMA signal per cell. The zero (negative control) is obtained from cells without TGF-β1 stimulation and 100% (positive control) is obtained from cells which are stimulated with TGF-β1 (without any drugs or inhibitors). When the inhibition value is above 100%, this means that the compound prevents α-SMA increase completely and the α-SMA staining is below the negative control. Such inhibition values above 100% would be acceptable within the limitations of assay because of the variation in signal obtained from negative controls.</w:t>
      </w:r>
    </w:p>
    <w:p w14:paraId="32EF84D6" w14:textId="050E951A" w:rsidR="00006BB0" w:rsidRPr="00695061" w:rsidRDefault="00006BB0" w:rsidP="00D02E83">
      <w:pPr>
        <w:jc w:val="both"/>
        <w:rPr>
          <w:b/>
          <w:bCs/>
          <w:sz w:val="24"/>
          <w:szCs w:val="24"/>
        </w:rPr>
      </w:pPr>
      <w:r w:rsidRPr="00695061">
        <w:rPr>
          <w:b/>
          <w:bCs/>
          <w:sz w:val="24"/>
          <w:szCs w:val="24"/>
        </w:rPr>
        <w:t>Statistical Analysis</w:t>
      </w:r>
      <w:r w:rsidR="00176D82" w:rsidRPr="00695061">
        <w:rPr>
          <w:b/>
          <w:bCs/>
          <w:sz w:val="24"/>
          <w:szCs w:val="24"/>
        </w:rPr>
        <w:t>:</w:t>
      </w:r>
    </w:p>
    <w:p w14:paraId="23B74C18" w14:textId="1195891C" w:rsidR="0035686B" w:rsidRPr="00695061" w:rsidRDefault="008A5152" w:rsidP="007B09C6">
      <w:pPr>
        <w:jc w:val="both"/>
        <w:rPr>
          <w:sz w:val="24"/>
          <w:szCs w:val="24"/>
        </w:rPr>
      </w:pPr>
      <w:r w:rsidRPr="00695061">
        <w:rPr>
          <w:sz w:val="24"/>
          <w:szCs w:val="24"/>
        </w:rPr>
        <w:lastRenderedPageBreak/>
        <w:t xml:space="preserve">Data analysis was performed using </w:t>
      </w:r>
      <w:r w:rsidR="00F1109F" w:rsidRPr="00695061">
        <w:rPr>
          <w:sz w:val="24"/>
          <w:szCs w:val="24"/>
        </w:rPr>
        <w:t>Microsoft Excel 2013 o</w:t>
      </w:r>
      <w:r w:rsidR="00BB6067" w:rsidRPr="00695061">
        <w:rPr>
          <w:sz w:val="24"/>
          <w:szCs w:val="24"/>
        </w:rPr>
        <w:t>r</w:t>
      </w:r>
      <w:r w:rsidR="00F1109F" w:rsidRPr="00695061">
        <w:rPr>
          <w:sz w:val="24"/>
          <w:szCs w:val="24"/>
        </w:rPr>
        <w:t xml:space="preserve"> GraphPad </w:t>
      </w:r>
      <w:r w:rsidR="00BB6067" w:rsidRPr="00695061">
        <w:rPr>
          <w:sz w:val="24"/>
          <w:szCs w:val="24"/>
        </w:rPr>
        <w:t xml:space="preserve">Prism 7 software. Statistical significance </w:t>
      </w:r>
      <w:r w:rsidR="003E12FA" w:rsidRPr="00695061">
        <w:rPr>
          <w:sz w:val="24"/>
          <w:szCs w:val="24"/>
        </w:rPr>
        <w:t xml:space="preserve">was calculated using </w:t>
      </w:r>
      <w:r w:rsidR="00855713" w:rsidRPr="00695061">
        <w:rPr>
          <w:sz w:val="24"/>
          <w:szCs w:val="24"/>
        </w:rPr>
        <w:t xml:space="preserve">Student’s t-test for unpaired means (2 sided). </w:t>
      </w:r>
      <w:r w:rsidR="001635A1" w:rsidRPr="00695061">
        <w:rPr>
          <w:sz w:val="24"/>
          <w:szCs w:val="24"/>
        </w:rPr>
        <w:t xml:space="preserve">The predicted additive effect of the compounds was compared to the observed effect. </w:t>
      </w:r>
      <w:r w:rsidR="00855713" w:rsidRPr="00695061">
        <w:rPr>
          <w:sz w:val="24"/>
          <w:szCs w:val="24"/>
        </w:rPr>
        <w:t xml:space="preserve">A P value less than </w:t>
      </w:r>
      <w:r w:rsidR="00A02A56" w:rsidRPr="00695061">
        <w:rPr>
          <w:sz w:val="24"/>
          <w:szCs w:val="24"/>
        </w:rPr>
        <w:t>0</w:t>
      </w:r>
      <w:r w:rsidR="00855713" w:rsidRPr="00695061">
        <w:rPr>
          <w:sz w:val="24"/>
          <w:szCs w:val="24"/>
        </w:rPr>
        <w:t>.05 was considered statistically significant.</w:t>
      </w:r>
      <w:r w:rsidR="008D278D" w:rsidRPr="00695061">
        <w:rPr>
          <w:sz w:val="24"/>
          <w:szCs w:val="24"/>
        </w:rPr>
        <w:t xml:space="preserve"> This analysis was performed for pairwise comparisons (Tables 1-3). </w:t>
      </w:r>
      <w:r w:rsidR="005A594E" w:rsidRPr="00695061">
        <w:rPr>
          <w:sz w:val="24"/>
          <w:szCs w:val="24"/>
        </w:rPr>
        <w:t>For</w:t>
      </w:r>
      <w:r w:rsidR="008D278D" w:rsidRPr="00695061">
        <w:rPr>
          <w:sz w:val="24"/>
          <w:szCs w:val="24"/>
        </w:rPr>
        <w:t xml:space="preserve"> multiple analyses</w:t>
      </w:r>
      <w:r w:rsidR="00AF6676" w:rsidRPr="00695061">
        <w:rPr>
          <w:sz w:val="24"/>
          <w:szCs w:val="24"/>
        </w:rPr>
        <w:t xml:space="preserve"> (Table 4)</w:t>
      </w:r>
      <w:r w:rsidR="008D278D" w:rsidRPr="00695061">
        <w:rPr>
          <w:sz w:val="24"/>
          <w:szCs w:val="24"/>
        </w:rPr>
        <w:t xml:space="preserve">, One-way ANOVA was performed and </w:t>
      </w:r>
      <w:r w:rsidR="00683713" w:rsidRPr="00695061">
        <w:rPr>
          <w:sz w:val="24"/>
          <w:szCs w:val="24"/>
        </w:rPr>
        <w:t xml:space="preserve">where p&lt;0.05 </w:t>
      </w:r>
      <w:proofErr w:type="spellStart"/>
      <w:r w:rsidR="00683713" w:rsidRPr="00695061">
        <w:rPr>
          <w:sz w:val="24"/>
          <w:szCs w:val="24"/>
        </w:rPr>
        <w:t>Dunnetts</w:t>
      </w:r>
      <w:proofErr w:type="spellEnd"/>
      <w:r w:rsidR="00683713" w:rsidRPr="00695061">
        <w:rPr>
          <w:sz w:val="24"/>
          <w:szCs w:val="24"/>
        </w:rPr>
        <w:t>’ multiple comparisons test was performed.</w:t>
      </w:r>
      <w:r w:rsidR="006A3FA5" w:rsidRPr="00695061">
        <w:rPr>
          <w:sz w:val="24"/>
          <w:szCs w:val="24"/>
        </w:rPr>
        <w:t xml:space="preserve"> </w:t>
      </w:r>
    </w:p>
    <w:p w14:paraId="0202F573" w14:textId="0FF777B0" w:rsidR="007B09C6" w:rsidRPr="00695061" w:rsidRDefault="007B09C6" w:rsidP="007B09C6">
      <w:pPr>
        <w:jc w:val="both"/>
        <w:rPr>
          <w:sz w:val="24"/>
          <w:szCs w:val="24"/>
        </w:rPr>
      </w:pPr>
      <w:r w:rsidRPr="00695061">
        <w:rPr>
          <w:sz w:val="24"/>
          <w:szCs w:val="24"/>
        </w:rPr>
        <w:t xml:space="preserve">Experiments were performed in at least 3 independent times using samples from at least 3 patients in triplicate wells (N=3). Cells derived from the same 3 patients were used in all experiments. Results from all experiments were pooled, and the mean values and standard </w:t>
      </w:r>
      <w:r w:rsidR="00A02A56" w:rsidRPr="00695061">
        <w:rPr>
          <w:sz w:val="24"/>
          <w:szCs w:val="24"/>
        </w:rPr>
        <w:t>deviations</w:t>
      </w:r>
      <w:r w:rsidRPr="00695061">
        <w:rPr>
          <w:sz w:val="24"/>
          <w:szCs w:val="24"/>
        </w:rPr>
        <w:t xml:space="preserve"> were used for statistical analysis.</w:t>
      </w:r>
    </w:p>
    <w:p w14:paraId="4687C9F6" w14:textId="3AF5DC09" w:rsidR="004D37B5" w:rsidRPr="00695061" w:rsidRDefault="004D37B5" w:rsidP="007B09C6">
      <w:pPr>
        <w:jc w:val="both"/>
        <w:rPr>
          <w:sz w:val="24"/>
          <w:szCs w:val="24"/>
        </w:rPr>
      </w:pPr>
      <w:r w:rsidRPr="00695061">
        <w:rPr>
          <w:sz w:val="24"/>
          <w:szCs w:val="24"/>
        </w:rPr>
        <w:t xml:space="preserve">The </w:t>
      </w:r>
      <w:r w:rsidR="0060463D" w:rsidRPr="00695061">
        <w:rPr>
          <w:sz w:val="24"/>
          <w:szCs w:val="24"/>
        </w:rPr>
        <w:t xml:space="preserve">synergistic potency between two drugs were calculated using </w:t>
      </w:r>
      <w:r w:rsidR="006479C3" w:rsidRPr="00695061">
        <w:rPr>
          <w:sz w:val="24"/>
          <w:szCs w:val="24"/>
        </w:rPr>
        <w:t xml:space="preserve">the freely available software at </w:t>
      </w:r>
      <w:hyperlink r:id="rId8" w:history="1">
        <w:r w:rsidR="006479C3" w:rsidRPr="00695061">
          <w:rPr>
            <w:rStyle w:val="Hyperlink"/>
            <w:sz w:val="24"/>
            <w:szCs w:val="24"/>
          </w:rPr>
          <w:t>https://musyc.app.vanderbilt.edu/</w:t>
        </w:r>
      </w:hyperlink>
      <w:r w:rsidR="006479C3" w:rsidRPr="00695061">
        <w:rPr>
          <w:sz w:val="24"/>
          <w:szCs w:val="24"/>
        </w:rPr>
        <w:t xml:space="preserve"> which is based on </w:t>
      </w:r>
      <w:r w:rsidR="000F58AE" w:rsidRPr="00695061">
        <w:rPr>
          <w:sz w:val="24"/>
          <w:szCs w:val="24"/>
        </w:rPr>
        <w:t>a framework for calculating drug synergy</w:t>
      </w:r>
      <w:r w:rsidR="00D1141C" w:rsidRPr="00695061">
        <w:rPr>
          <w:sz w:val="24"/>
          <w:szCs w:val="24"/>
        </w:rPr>
        <w:t xml:space="preserve"> </w:t>
      </w:r>
      <w:r w:rsidR="00D1141C" w:rsidRPr="00695061">
        <w:rPr>
          <w:sz w:val="24"/>
          <w:szCs w:val="24"/>
        </w:rPr>
        <w:fldChar w:fldCharType="begin" w:fldLock="1"/>
      </w:r>
      <w:r w:rsidR="00813D10" w:rsidRPr="00695061">
        <w:rPr>
          <w:sz w:val="24"/>
          <w:szCs w:val="24"/>
        </w:rPr>
        <w:instrText>ADDIN CSL_CITATION {"citationItems":[{"id":"ITEM-1","itemData":{"DOI":"10.1016/j.cels.2019.01.003","ISSN":"24054720","PMID":"30797775","abstract":"Two goals motivate treating diseases with drug combinations: reduce off-target toxicity by minimizing doses (synergistic potency) and improve outcomes by escalating effect (synergistic efficacy). Established drug synergy frameworks obscure such distinction, failing to harness the potential of modern chemical libraries. We therefore developed multi-dimensional synergy of combinations (MuSyC), a formalism based on a generalized, multi-dimensional Hill equation, which decouples synergistic potency and efficacy. In mutant-EGFR-driven lung cancer, MuSyC reveals that combining a mutant-EGFR inhibitor with inhibitors of other kinases may result only in synergistic potency, whereas synergistic efficacy can be achieved by co-targeting mutant-EGFR and epigenetic regulation or microtubule polymerization. In mutant-BRAF melanoma, MuSyC determines whether a molecular correlate of BRAFi insensitivity alters a BRAF inhibitor's potency, efficacy, or both. These findings showcase MuSyC's potential to transform the enterprise of drug-combination screens by precisely guiding translation of combinations toward dose reduction, improved efficacy, or both. Meyer et al. developed a framework for measuring drug combination synergy. The framework, termed MuSyC, distinguishes between two types of synergy. The first quantifies the change in the maximal effect with the combination (synergistic efficacy), and the second measures the change in a drug's potency due to the combination (synergistic potency). By decoupling these two synergies conflated in prior methods, MuSyC rationally guides discovery and translation of drug combinations for the improvement of therapeutic efficacy and reduction of off-target toxicities via dose reduction.","author":[{"dropping-particle":"","family":"Meyer","given":"Christian T.","non-dropping-particle":"","parse-names":false,"suffix":""},{"dropping-particle":"","family":"Wooten","given":"David J.","non-dropping-particle":"","parse-names":false,"suffix":""},{"dropping-particle":"","family":"Paudel","given":"B. Bishal","non-dropping-particle":"","parse-names":false,"suffix":""},{"dropping-particle":"","family":"Bauer","given":"Joshua","non-dropping-particle":"","parse-names":false,"suffix":""},{"dropping-particle":"","family":"Hardeman","given":"Keisha N.","non-dropping-particle":"","parse-names":false,"suffix":""},{"dropping-particle":"","family":"Westover","given":"David","non-dropping-particle":"","parse-names":false,"suffix":""},{"dropping-particle":"","family":"Lovly","given":"Christine M.","non-dropping-particle":"","parse-names":false,"suffix":""},{"dropping-particle":"","family":"Harris","given":"Leonard A.","non-dropping-particle":"","parse-names":false,"suffix":""},{"dropping-particle":"","family":"Tyson","given":"Darren R.","non-dropping-particle":"","parse-names":false,"suffix":""},{"dropping-particle":"","family":"Quaranta","given":"Vito","non-dropping-particle":"","parse-names":false,"suffix":""}],"container-title":"Cell Systems","id":"ITEM-1","issue":"2","issued":{"date-parts":[["2019"]]},"page":"97-108.e16","publisher":"Elsevier Inc.","title":"Quantifying Drug Combination Synergy along Potency and Efficacy Axes","type":"article-journal","volume":"8"},"uris":["http://www.mendeley.com/documents/?uuid=392a1f75-1805-46db-ac73-1e0f6c51ba5f"]}],"mendeley":{"formattedCitation":"[24]","plainTextFormattedCitation":"[24]","previouslyFormattedCitation":"[24]"},"properties":{"noteIndex":0},"schema":"https://github.com/citation-style-language/schema/raw/master/csl-citation.json"}</w:instrText>
      </w:r>
      <w:r w:rsidR="00D1141C" w:rsidRPr="00695061">
        <w:rPr>
          <w:sz w:val="24"/>
          <w:szCs w:val="24"/>
        </w:rPr>
        <w:fldChar w:fldCharType="separate"/>
      </w:r>
      <w:r w:rsidR="00813D10" w:rsidRPr="00695061">
        <w:rPr>
          <w:noProof/>
          <w:sz w:val="24"/>
          <w:szCs w:val="24"/>
        </w:rPr>
        <w:t>[24]</w:t>
      </w:r>
      <w:r w:rsidR="00D1141C" w:rsidRPr="00695061">
        <w:rPr>
          <w:sz w:val="24"/>
          <w:szCs w:val="24"/>
        </w:rPr>
        <w:fldChar w:fldCharType="end"/>
      </w:r>
      <w:r w:rsidR="00D1141C" w:rsidRPr="00695061">
        <w:rPr>
          <w:sz w:val="24"/>
          <w:szCs w:val="24"/>
        </w:rPr>
        <w:t>.</w:t>
      </w:r>
      <w:r w:rsidR="006A6DF3" w:rsidRPr="00695061">
        <w:rPr>
          <w:sz w:val="24"/>
          <w:szCs w:val="24"/>
        </w:rPr>
        <w:t xml:space="preserve"> </w:t>
      </w:r>
      <w:r w:rsidR="00902897" w:rsidRPr="00695061">
        <w:rPr>
          <w:sz w:val="24"/>
          <w:szCs w:val="24"/>
        </w:rPr>
        <w:t xml:space="preserve">The software calculates log alpha value which is a measure of synergistic potency where values &gt;0 are </w:t>
      </w:r>
      <w:r w:rsidR="00EA60C3" w:rsidRPr="00695061">
        <w:rPr>
          <w:sz w:val="24"/>
          <w:szCs w:val="24"/>
        </w:rPr>
        <w:t xml:space="preserve">considered to be </w:t>
      </w:r>
      <w:r w:rsidR="00902897" w:rsidRPr="00695061">
        <w:rPr>
          <w:sz w:val="24"/>
          <w:szCs w:val="24"/>
        </w:rPr>
        <w:t>synergistically potent.</w:t>
      </w:r>
    </w:p>
    <w:p w14:paraId="39FDE21C" w14:textId="77777777" w:rsidR="00006BB0" w:rsidRPr="00695061" w:rsidRDefault="00006BB0" w:rsidP="00D02E83">
      <w:pPr>
        <w:jc w:val="both"/>
        <w:rPr>
          <w:sz w:val="24"/>
          <w:szCs w:val="24"/>
        </w:rPr>
      </w:pPr>
    </w:p>
    <w:p w14:paraId="42D40A8D" w14:textId="77777777" w:rsidR="00AA6BAA" w:rsidRPr="00695061" w:rsidRDefault="00AA6BAA" w:rsidP="00154963">
      <w:pPr>
        <w:rPr>
          <w:b/>
          <w:bCs/>
          <w:sz w:val="24"/>
          <w:szCs w:val="24"/>
        </w:rPr>
      </w:pPr>
    </w:p>
    <w:p w14:paraId="7AD50880" w14:textId="77777777" w:rsidR="00AA6BAA" w:rsidRPr="00695061" w:rsidRDefault="00AA6BAA" w:rsidP="00154963">
      <w:pPr>
        <w:rPr>
          <w:b/>
          <w:bCs/>
          <w:sz w:val="24"/>
          <w:szCs w:val="24"/>
        </w:rPr>
      </w:pPr>
    </w:p>
    <w:p w14:paraId="6AD2606A" w14:textId="77777777" w:rsidR="00AA6BAA" w:rsidRPr="00695061" w:rsidRDefault="00AA6BAA" w:rsidP="00154963">
      <w:pPr>
        <w:rPr>
          <w:b/>
          <w:bCs/>
          <w:sz w:val="24"/>
          <w:szCs w:val="24"/>
        </w:rPr>
      </w:pPr>
    </w:p>
    <w:p w14:paraId="0B6852A9" w14:textId="77777777" w:rsidR="00AA6BAA" w:rsidRPr="00695061" w:rsidRDefault="00AA6BAA" w:rsidP="00154963">
      <w:pPr>
        <w:rPr>
          <w:b/>
          <w:bCs/>
          <w:sz w:val="24"/>
          <w:szCs w:val="24"/>
        </w:rPr>
      </w:pPr>
    </w:p>
    <w:p w14:paraId="5C8B8EB7" w14:textId="0D6BC754" w:rsidR="00154963" w:rsidRPr="00695061" w:rsidRDefault="00154963" w:rsidP="00154963">
      <w:pPr>
        <w:rPr>
          <w:b/>
          <w:bCs/>
          <w:sz w:val="28"/>
          <w:szCs w:val="28"/>
        </w:rPr>
      </w:pPr>
      <w:r w:rsidRPr="00695061">
        <w:rPr>
          <w:b/>
          <w:bCs/>
          <w:sz w:val="28"/>
          <w:szCs w:val="28"/>
        </w:rPr>
        <w:t>Results:</w:t>
      </w:r>
    </w:p>
    <w:p w14:paraId="38EC0D7F" w14:textId="4305A67A" w:rsidR="003107A8" w:rsidRPr="00695061" w:rsidRDefault="003107A8" w:rsidP="007961A1">
      <w:pPr>
        <w:jc w:val="both"/>
        <w:rPr>
          <w:b/>
          <w:bCs/>
          <w:sz w:val="24"/>
          <w:szCs w:val="24"/>
        </w:rPr>
      </w:pPr>
      <w:r w:rsidRPr="00695061">
        <w:rPr>
          <w:b/>
          <w:bCs/>
          <w:sz w:val="24"/>
          <w:szCs w:val="24"/>
        </w:rPr>
        <w:t>Characterization</w:t>
      </w:r>
      <w:r w:rsidR="00B2543C" w:rsidRPr="00695061">
        <w:rPr>
          <w:b/>
          <w:bCs/>
          <w:sz w:val="24"/>
          <w:szCs w:val="24"/>
        </w:rPr>
        <w:t xml:space="preserve"> </w:t>
      </w:r>
      <w:r w:rsidR="00515DB2" w:rsidRPr="00695061">
        <w:rPr>
          <w:b/>
          <w:bCs/>
          <w:sz w:val="24"/>
          <w:szCs w:val="24"/>
        </w:rPr>
        <w:t xml:space="preserve">of cell isolated from </w:t>
      </w:r>
      <w:r w:rsidRPr="00695061">
        <w:rPr>
          <w:b/>
          <w:bCs/>
          <w:sz w:val="24"/>
          <w:szCs w:val="24"/>
        </w:rPr>
        <w:t>tunica albuginea</w:t>
      </w:r>
      <w:r w:rsidR="00176D82" w:rsidRPr="00695061">
        <w:rPr>
          <w:b/>
          <w:bCs/>
          <w:sz w:val="24"/>
          <w:szCs w:val="24"/>
        </w:rPr>
        <w:t>:</w:t>
      </w:r>
    </w:p>
    <w:p w14:paraId="55361CF7" w14:textId="5EF24BF5" w:rsidR="003107A8" w:rsidRPr="00695061" w:rsidRDefault="00915FA4" w:rsidP="007961A1">
      <w:pPr>
        <w:jc w:val="both"/>
        <w:rPr>
          <w:sz w:val="24"/>
          <w:szCs w:val="24"/>
        </w:rPr>
      </w:pPr>
      <w:r w:rsidRPr="00695061">
        <w:rPr>
          <w:sz w:val="24"/>
          <w:szCs w:val="24"/>
        </w:rPr>
        <w:t xml:space="preserve">As previously shown, we isolated fibroblasts from tunica albuginea fragments using explant technique </w:t>
      </w:r>
      <w:r w:rsidR="00813D10" w:rsidRPr="00695061">
        <w:rPr>
          <w:sz w:val="24"/>
          <w:szCs w:val="24"/>
        </w:rPr>
        <w:fldChar w:fldCharType="begin" w:fldLock="1"/>
      </w:r>
      <w:r w:rsidR="00B65C4D" w:rsidRPr="00695061">
        <w:rPr>
          <w:sz w:val="24"/>
          <w:szCs w:val="24"/>
        </w:rPr>
        <w:instrText>ADDIN CSL_CITATION {"citationItems":[{"id":"ITEM-1","itemData":{"abstract":"Drug repurposing has been shown to bring safe medications to new patient populations, as recently evidenced by the COVID-19 pandemic. We investigated whether we could use phenotypic screening to repurpose drugs for the treatment of Peyronie’s disease (PD). PD is a fibrotic disease characterised by continued myofibroblast presence and activity leading to formation of a plaque in the penile tunica albuginea (TA) that can cause pain during erection, erectile dysfunction, and penile deformity. PD affects 3–9% of men with treatment options limited to surgery or injection of collagenase which can only be utilised at late stages after the plaque is formed. Currently there are no approved medications that can be offered to patients presenting with early disease before the formation of the plaque. Drug repurposing may therefore be the ideal strategy to identify medical treatments to address this unmet medical need in early PD. We used primary human fibroblasts from PD patients in a phenotypic screening assay that measures TGF-β1-induced myofibroblast transformation which is the main cellular phenotype that drives the pathology in early PD. A library of FDA-approved 1,953 drugs was screened in duplicate wells at a single concentration (10 μM) in presence of TGF-β1. The myofibroblast marker α-SMA was quantified after 72h incubation. A positive control of SB-505124 (TGF-β1 receptor antagonist) was included on each plate. Hits were defined as showing &gt;80% inhibition, whilst retaining &gt;80% cell viability. 26 hits (1.3%) were identified which were divided into the following main groups: anti-cancer drugs, anti-inflammation, neurology, endocrinology, and imaging agents. Five of the top-ten drugs that increase myofibroblast-transformation appear to act on VEGFR. This is the first phenotypic screening of FDA-approved drugs for PD and our results suggest that it is a viable method to predict drugs with potential for repurposing to treat early PD.","author":[{"dropping-particle":"","family":"Ilg","given":"Marcus M","non-dropping-particle":"","parse-names":false,"suffix":""},{"dropping-particle":"","family":"Lapthorn","given":"Alice R","non-dropping-particle":"","parse-names":false,"suffix":""},{"dropping-particle":"","family":"Ralph","given":"David J","non-dropping-particle":"","parse-names":false,"suffix":""},{"dropping-particle":"","family":"Cellek","given":"Selim","non-dropping-particle":"","parse-names":false,"suffix":""}],"container-title":"PLOS ONE","id":"ITEM-1","issue":"12","issued":{"date-parts":[["2022","12","12"]]},"page":"e0277646","publisher":"Public Library of Science","title":"Phenotypic screening of 1,953 FDA-approved drugs reveals 26 hits with potential for repurposing for Peyronie’s disease","type":"article-journal","volume":"17"},"uris":["http://www.mendeley.com/documents/?uuid=428ce03c-4a4c-47b0-a687-aad9a96e59e4"]},{"id":"ITEM-2","itemData":{"DOI":"10.1016/j.jsxm.2020.06.022","ISSN":"17436109","PMID":"32771352","abstract":"Background: Myofibroblast transformation is a key step in the pathogenesis of Peyronie's disease (PD). Phosphodiesterase type 5 inhibitors (PDE5is) and selective estrogen receptor modulators (SERMs) can prevent the formation of fibrosis in in vitro and in vivo models of PD. However, it is unknown whether these drugs can also reverse established fibrosis. Aim: To investigate whether PDE5is and SERMs can reverse transforming growth factor beta 1 (TGF-β1)–induced myofibroblast transformation and determine the point of no return. Methods: In-Cell enzyme-linked immunosorbent assay was used to quantify TGF-β1–induced myofibroblast transformation of human primary fibroblasts isolated from tunica albuginea (TA) of patients undergoing surgery for treatment of PD. Extracellular matrix production and collagen contraction assays were used as secondary assays. Reverse transcription–quantitative polymerase chain reaction and In-Cell enzyme-linked immunosorbent assay were used to measure drug target expression. PDE5i (vardenafil) and SERM (tamoxifen) were applied at various time points after TGF-β1. Outcomes: Reversibility of myofibroblast transformation and drug target expression were investigated in a time-dependent manner in TA-derived fibroblasts. Results: Vardenafil or tamoxifen could not reverse the myofibroblast traits of alpha-smooth muscle actin expression and extracellular matrix production, whereas only tamoxifen affected collagen contraction after 72 hours of TGF-β1 treatment. Phosphodiesterase 5A and estrogen receptor (ER)-β were downregulated after 72 hours, and estrogen receptor -α protein could not be quantified. Tamoxifen could prevent myofibroblast transformation until 36 hours after TGF-β1 treatment, whereas vardenafil could prevent only 24 hours after TGF-β1 treatment. This was mirrored by downregulation of drug targets on mRNA and protein level. Furthermore, antifibrotic signaling pathways, peroxisome proliferator-activated receptor gamma and betaglycan (TGFB receptor III), were significantly downregulated after 36 hours of TGF-β1 exposure, as opposed to upregulation of profibrotic thrombospondin-1 at the same time point. Clinical Translation: This study suggests that using PDE5is and SERMs might only help for early-phase PD and further highlights the need to test drugs at the appropriate stage of the disease based on their mechanism of action. Strengths &amp; Limitations: The study uses primary human TA-derived fibroblasts that enhances translatabili…","author":[{"dropping-particle":"","family":"Ilg","given":"Marcus M.","non-dropping-particle":"","parse-names":false,"suffix":""},{"dropping-particle":"","family":"Stafford","given":"Simon J.","non-dropping-particle":"","parse-names":false,"suffix":""},{"dropping-particle":"","family":"Mateus","given":"Marta","non-dropping-particle":"","parse-names":false,"suffix":""},{"dropping-particle":"","family":"Bustin","given":"Stephen A.","non-dropping-particle":"","parse-names":false,"suffix":""},{"dropping-particle":"","family":"Carpenter","given":"Michael J.","non-dropping-particle":"","parse-names":false,"suffix":""},{"dropping-particle":"","family":"Muneer","given":"Asif","non-dropping-particle":"","parse-names":false,"suffix":""},{"dropping-particle":"","family":"Bivalacqua","given":"Trinity J.","non-dropping-particle":"","parse-names":false,"suffix":""},{"dropping-particle":"","family":"Ralph","given":"David J.","non-dropping-particle":"","parse-names":false,"suffix":""},{"dropping-particle":"","family":"Cellek","given":"Selim","non-dropping-particle":"","parse-names":false,"suffix":""}],"container-title":"Journal of Sexual Medicine","id":"ITEM-2","issue":"10","issued":{"date-parts":[["2020","10","1"]]},"page":"1848-1864","publisher":"Elsevier B.V.","title":"Phosphodiesterase Type 5 Inhibitors and Selective Estrogen Receptor Modulators Can Prevent But Not Reverse Myofibroblast Transformation in Peyronie's Disease","type":"article-journal","volume":"17"},"uris":["http://www.mendeley.com/documents/?uuid=c64145e0-084b-3418-b91f-2ab40d640aa0"]},{"id":"ITEM-3","itemData":{"DOI":"10.1016/j.eururo.2018.10.014","ISSN":"18737560","abstract":"Background: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Urology","id":"ITEM-3","issue":"2","issued":{"date-parts":[["2019"]]},"page":"329-340","title":"Antifibrotic Synergy Between Phosphodiesterase Type 5 Inhibitors and Selective Oestrogen Receptor Modulators in Peyronie's Disease Models","type":"article-journal","volume":"75"},"uris":["http://www.mendeley.com/documents/?uuid=bff5c9d0-a461-3882-bd6b-be96b76e6abb"]},{"id":"ITEM-4","itemData":{"DOI":"10.1016/j.jsxm.2018.05.003","ISSN":"17436109","PMID":"29891411","abstract":"Background: Peyronie's disease (PD) is a chronic fibrotic disease of the penis affecting a significant number of men worldwide without effective medical treatments. Myofibroblasts are pivotal in the pathogenesis of PD. Adenosine and adenosine receptors have been suggested to be involved in the pathophysiology of fibrosis. Aim: To understand the role of adenosine receptors in myofibroblast transformation in PD. Methods: Fibroblasts were isolated from the non-PD tunica albuginea (TA) tissue and PD plaque tissue and were transformed into myofibroblasts using transforming growth factor (TGF)-β1. Quantification of α-smooth muscle actin and adenosine receptors (adenosine receptor A1 [ADORA1], adenosine receptor A2A, adenosine receptor A2B [ADORA2B], and adenosine receptor A3) was performed using immuno-cytochemistry, in-cell enzyme-linked immuno-sorbent assay (ICE), and real-time reverse transcription quantitative polymerase chain reaction. The effect of various adenosine receptor agonists or antagonists on TGF-β1-induced myofibroblast transformation was measured using ICE. Outcomes: Expression of adenosine receptors in myofibroblasts obtained from human TA and the effect of adenosine receptor ligands on myofibroblast transformation were investigated. Results: The experiments showed that the protein and messenger RNA levels of α-smooth muscle actin in non-PD TA cells and PD plaque-derived cells were significantly higher in cells exposed to TGF-β1 than those not treated with TGF-β1. 2 of 4 adenosine receptors (ADORA1 and ADORA2B) were found to be expressed in both cell populations. Among various adenosine receptor agonists/antagonist investigated, only ADORA2B agonist, BAY 60-6583, significantly inhibited myofibroblast transformation in a concentration-dependent manner when applied simultaneously with TGF-β1 (IC 50 = 30 μmol/L). Clinical Translation: ADORA2B agonists may be clinically efficacious in early-stage PD. Strengths &amp; Limitations: The strength of this study is the use of primary fibroblasts from human TA. Limitation of the study is the high concentrations of the ligands used. Conclusion: The effect of an ADORA2B agonist on TGF-β1-induced myofibroblast transformation shows a novel potential therapeutic target for PD if applied during early, non-stable phase of PD. Mateus M, Ilg MM, Stebbeds WJ, et al. Understanding the Role of Adenosine Receptors in the Myofibroblast Transformation in Peyronie's Disease. J Sex Med 2018;15:947–957.","author":[{"dropping-particle":"","family":"Mateus","given":"Marta","non-dropping-particle":"","parse-names":false,"suffix":""},{"dropping-particle":"","family":"Ilg","given":"Marcus M.","non-dropping-particle":"","parse-names":false,"suffix":""},{"dropping-particle":"","family":"Stebbeds","given":"William J.","non-dropping-particle":"","parse-names":false,"suffix":""},{"dropping-particle":"","family":"Christopher","given":"Nim","non-dropping-particle":"","parse-names":false,"suffix":""},{"dropping-particle":"","family":"Muneer","given":"Asif","non-dropping-particle":"","parse-names":false,"suffix":""},{"dropping-particle":"","family":"Ralph","given":"David J.","non-dropping-particle":"","parse-names":false,"suffix":""},{"dropping-particle":"","family":"Cellek","given":"Selim","non-dropping-particle":"","parse-names":false,"suffix":""}],"container-title":"Journal of Sexual Medicine","id":"ITEM-4","issue":"7","issued":{"date-parts":[["2018"]]},"page":"947-957","title":"Understanding the Role of Adenosine Receptors in the Myofibroblast Transformation in Peyronie's Disease","type":"article-journal","volume":"15"},"uris":["http://www.mendeley.com/documents/?uuid=f459540c-50a3-3911-acda-4d6832299e2f"]}],"mendeley":{"formattedCitation":"[16,22,23,25]","plainTextFormattedCitation":"[16,22,23,25]","previouslyFormattedCitation":"[16,22,23,25]"},"properties":{"noteIndex":0},"schema":"https://github.com/citation-style-language/schema/raw/master/csl-citation.json"}</w:instrText>
      </w:r>
      <w:r w:rsidR="00813D10" w:rsidRPr="00695061">
        <w:rPr>
          <w:sz w:val="24"/>
          <w:szCs w:val="24"/>
        </w:rPr>
        <w:fldChar w:fldCharType="separate"/>
      </w:r>
      <w:r w:rsidR="00813D10" w:rsidRPr="00695061">
        <w:rPr>
          <w:noProof/>
          <w:sz w:val="24"/>
          <w:szCs w:val="24"/>
        </w:rPr>
        <w:t>[16,22,23,25]</w:t>
      </w:r>
      <w:r w:rsidR="00813D10" w:rsidRPr="00695061">
        <w:rPr>
          <w:sz w:val="24"/>
          <w:szCs w:val="24"/>
        </w:rPr>
        <w:fldChar w:fldCharType="end"/>
      </w:r>
      <w:r w:rsidRPr="00695061">
        <w:rPr>
          <w:sz w:val="24"/>
          <w:szCs w:val="24"/>
        </w:rPr>
        <w:t xml:space="preserve">. The </w:t>
      </w:r>
      <w:r w:rsidR="0032310D" w:rsidRPr="00695061">
        <w:rPr>
          <w:sz w:val="24"/>
          <w:szCs w:val="24"/>
        </w:rPr>
        <w:t xml:space="preserve">phenotype of cells was confirmed with immunocytochemistry </w:t>
      </w:r>
      <w:r w:rsidR="0042016B" w:rsidRPr="00695061">
        <w:rPr>
          <w:sz w:val="24"/>
          <w:szCs w:val="24"/>
        </w:rPr>
        <w:t xml:space="preserve">using antibodies against vimentin, desmin and </w:t>
      </w:r>
      <w:r w:rsidR="008063CE" w:rsidRPr="00695061">
        <w:rPr>
          <w:sz w:val="24"/>
          <w:szCs w:val="24"/>
        </w:rPr>
        <w:t>alpha smooth muscle actin (α-SMA). The cells were vimentin-</w:t>
      </w:r>
      <w:r w:rsidR="004148D1" w:rsidRPr="00695061">
        <w:rPr>
          <w:sz w:val="24"/>
          <w:szCs w:val="24"/>
        </w:rPr>
        <w:t>positive</w:t>
      </w:r>
      <w:r w:rsidR="008063CE" w:rsidRPr="00695061">
        <w:rPr>
          <w:sz w:val="24"/>
          <w:szCs w:val="24"/>
        </w:rPr>
        <w:t>, desmin</w:t>
      </w:r>
      <w:r w:rsidR="00C25604" w:rsidRPr="00695061">
        <w:rPr>
          <w:sz w:val="24"/>
          <w:szCs w:val="24"/>
        </w:rPr>
        <w:t>-</w:t>
      </w:r>
      <w:r w:rsidR="004148D1" w:rsidRPr="00695061">
        <w:rPr>
          <w:sz w:val="24"/>
          <w:szCs w:val="24"/>
        </w:rPr>
        <w:t>negative</w:t>
      </w:r>
      <w:r w:rsidR="00C25604" w:rsidRPr="00695061">
        <w:rPr>
          <w:sz w:val="24"/>
          <w:szCs w:val="24"/>
        </w:rPr>
        <w:t xml:space="preserve"> and α-SMA-negative before </w:t>
      </w:r>
      <w:r w:rsidR="004148D1" w:rsidRPr="00695061">
        <w:rPr>
          <w:sz w:val="24"/>
          <w:szCs w:val="24"/>
        </w:rPr>
        <w:t>TGF-β1 stimulation</w:t>
      </w:r>
      <w:r w:rsidR="00176D82" w:rsidRPr="00695061">
        <w:rPr>
          <w:sz w:val="24"/>
          <w:szCs w:val="24"/>
        </w:rPr>
        <w:t xml:space="preserve">, </w:t>
      </w:r>
      <w:r w:rsidR="004148D1" w:rsidRPr="00695061">
        <w:rPr>
          <w:sz w:val="24"/>
          <w:szCs w:val="24"/>
        </w:rPr>
        <w:t>and vimentin-positive, desmin-negative and</w:t>
      </w:r>
      <w:r w:rsidR="004148D1" w:rsidRPr="00695061">
        <w:t xml:space="preserve"> </w:t>
      </w:r>
      <w:r w:rsidR="004148D1" w:rsidRPr="00695061">
        <w:rPr>
          <w:sz w:val="24"/>
          <w:szCs w:val="24"/>
        </w:rPr>
        <w:t xml:space="preserve">α-SMA-positive after </w:t>
      </w:r>
      <w:r w:rsidR="00176D82" w:rsidRPr="00695061">
        <w:rPr>
          <w:sz w:val="24"/>
          <w:szCs w:val="24"/>
        </w:rPr>
        <w:t xml:space="preserve">TGF-β1 stimulation (Supplementary Figure 1). These results confirm that the cells we isolated are fibroblasts and they transform into myofibroblasts after TGF-β1 stimulation. </w:t>
      </w:r>
    </w:p>
    <w:p w14:paraId="1845455C" w14:textId="4AD0631F" w:rsidR="00AA6BAA" w:rsidRPr="00695061" w:rsidRDefault="0081592D" w:rsidP="00154963">
      <w:pPr>
        <w:rPr>
          <w:b/>
          <w:bCs/>
          <w:sz w:val="24"/>
          <w:szCs w:val="24"/>
        </w:rPr>
      </w:pPr>
      <w:r w:rsidRPr="00695061">
        <w:rPr>
          <w:b/>
          <w:bCs/>
          <w:sz w:val="24"/>
          <w:szCs w:val="24"/>
        </w:rPr>
        <w:t>Statins, PDE5is, and SERMs show concentration dependent decrease in myofibroblast transformation</w:t>
      </w:r>
      <w:r w:rsidR="00176D82" w:rsidRPr="00695061">
        <w:rPr>
          <w:b/>
          <w:bCs/>
          <w:sz w:val="24"/>
          <w:szCs w:val="24"/>
        </w:rPr>
        <w:t>:</w:t>
      </w:r>
    </w:p>
    <w:p w14:paraId="6B34F16E" w14:textId="4C68B71F" w:rsidR="00DC1457" w:rsidRPr="00695061" w:rsidRDefault="0081592D" w:rsidP="00E55D55">
      <w:pPr>
        <w:jc w:val="both"/>
        <w:rPr>
          <w:sz w:val="24"/>
          <w:szCs w:val="24"/>
        </w:rPr>
      </w:pPr>
      <w:r w:rsidRPr="00695061">
        <w:rPr>
          <w:sz w:val="24"/>
          <w:szCs w:val="24"/>
        </w:rPr>
        <w:t>We have previously shown that</w:t>
      </w:r>
      <w:r w:rsidR="002E68B8" w:rsidRPr="00695061">
        <w:rPr>
          <w:sz w:val="24"/>
          <w:szCs w:val="24"/>
        </w:rPr>
        <w:t xml:space="preserve"> statins</w:t>
      </w:r>
      <w:r w:rsidR="00ED20F1" w:rsidRPr="00695061">
        <w:rPr>
          <w:sz w:val="24"/>
          <w:szCs w:val="24"/>
        </w:rPr>
        <w:t xml:space="preserve"> </w:t>
      </w:r>
      <w:r w:rsidR="00AC2759" w:rsidRPr="00695061">
        <w:rPr>
          <w:sz w:val="24"/>
          <w:szCs w:val="24"/>
        </w:rPr>
        <w:fldChar w:fldCharType="begin" w:fldLock="1"/>
      </w:r>
      <w:r w:rsidR="00813D10" w:rsidRPr="00695061">
        <w:rPr>
          <w:sz w:val="24"/>
          <w:szCs w:val="24"/>
        </w:rPr>
        <w:instrText>ADDIN CSL_CITATION {"citationItems":[{"id":"ITEM-1","itemData":{"abstract":"Drug repurposing has been shown to bring safe medications to new patient populations, as recently evidenced by the COVID-19 pandemic. We investigated whether we could use phenotypic screening to repurpose drugs for the treatment of Peyronie’s disease (PD). PD is a fibrotic disease characterised by continued myofibroblast presence and activity leading to formation of a plaque in the penile tunica albuginea (TA) that can cause pain during erection, erectile dysfunction, and penile deformity. PD affects 3–9% of men with treatment options limited to surgery or injection of collagenase which can only be utilised at late stages after the plaque is formed. Currently there are no approved medications that can be offered to patients presenting with early disease before the formation of the plaque. Drug repurposing may therefore be the ideal strategy to identify medical treatments to address this unmet medical need in early PD. We used primary human fibroblasts from PD patients in a phenotypic screening assay that measures TGF-β1-induced myofibroblast transformation which is the main cellular phenotype that drives the pathology in early PD. A library of FDA-approved 1,953 drugs was screened in duplicate wells at a single concentration (10 μM) in presence of TGF-β1. The myofibroblast marker α-SMA was quantified after 72h incubation. A positive control of SB-505124 (TGF-β1 receptor antagonist) was included on each plate. Hits were defined as showing &gt;80% inhibition, whilst retaining &gt;80% cell viability. 26 hits (1.3%) were identified which were divided into the following main groups: anti-cancer drugs, anti-inflammation, neurology, endocrinology, and imaging agents. Five of the top-ten drugs that increase myofibroblast-transformation appear to act on VEGFR. This is the first phenotypic screening of FDA-approved drugs for PD and our results suggest that it is a viable method to predict drugs with potential for repurposing to treat early PD.","author":[{"dropping-particle":"","family":"Ilg","given":"Marcus M","non-dropping-particle":"","parse-names":false,"suffix":""},{"dropping-particle":"","family":"Lapthorn","given":"Alice R","non-dropping-particle":"","parse-names":false,"suffix":""},{"dropping-particle":"","family":"Ralph","given":"David J","non-dropping-particle":"","parse-names":false,"suffix":""},{"dropping-particle":"","family":"Cellek","given":"Selim","non-dropping-particle":"","parse-names":false,"suffix":""}],"container-title":"PLOS ONE","id":"ITEM-1","issue":"12","issued":{"date-parts":[["2022","12","12"]]},"page":"e0277646","publisher":"Public Library of Science","title":"Phenotypic screening of 1,953 FDA-approved drugs reveals 26 hits with potential for repurposing for Peyronie’s disease","type":"article-journal","volume":"17"},"uris":["http://www.mendeley.com/documents/?uuid=428ce03c-4a4c-47b0-a687-aad9a96e59e4"]}],"mendeley":{"formattedCitation":"[25]","plainTextFormattedCitation":"[25]","previouslyFormattedCitation":"[25]"},"properties":{"noteIndex":0},"schema":"https://github.com/citation-style-language/schema/raw/master/csl-citation.json"}</w:instrText>
      </w:r>
      <w:r w:rsidR="00AC2759" w:rsidRPr="00695061">
        <w:rPr>
          <w:sz w:val="24"/>
          <w:szCs w:val="24"/>
        </w:rPr>
        <w:fldChar w:fldCharType="separate"/>
      </w:r>
      <w:r w:rsidR="00813D10" w:rsidRPr="00695061">
        <w:rPr>
          <w:noProof/>
          <w:sz w:val="24"/>
          <w:szCs w:val="24"/>
        </w:rPr>
        <w:t>[25]</w:t>
      </w:r>
      <w:r w:rsidR="00AC2759" w:rsidRPr="00695061">
        <w:rPr>
          <w:sz w:val="24"/>
          <w:szCs w:val="24"/>
        </w:rPr>
        <w:fldChar w:fldCharType="end"/>
      </w:r>
      <w:r w:rsidR="002E68B8" w:rsidRPr="00695061">
        <w:rPr>
          <w:sz w:val="24"/>
          <w:szCs w:val="24"/>
        </w:rPr>
        <w:t xml:space="preserve">, PDE5i and SERMS </w:t>
      </w:r>
      <w:r w:rsidR="00D1141C" w:rsidRPr="00695061">
        <w:rPr>
          <w:sz w:val="24"/>
          <w:szCs w:val="24"/>
        </w:rPr>
        <w:fldChar w:fldCharType="begin" w:fldLock="1"/>
      </w:r>
      <w:r w:rsidR="00813D10" w:rsidRPr="00695061">
        <w:rPr>
          <w:sz w:val="24"/>
          <w:szCs w:val="24"/>
        </w:rPr>
        <w:instrText>ADDIN CSL_CITATION {"citationItems":[{"id":"ITEM-1","itemData":{"DOI":"10.1016/j.eururo.2018.10.014","ISSN":"18737560","abstract":"Background: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Urology","id":"ITEM-1","issue":"2","issued":{"date-parts":[["2019"]]},"page":"329-340","title":"Antifibrotic Synergy Between Phosphodiesterase Type 5 Inhibitors and Selective Oestrogen Receptor Modulators in Peyronie's Disease Models","type":"article-journal","volume":"75"},"uris":["http://www.mendeley.com/documents/?uuid=bff5c9d0-a461-3882-bd6b-be96b76e6abb"]},{"id":"ITEM-2","itemData":{"DOI":"10.1016/j.jsxm.2020.06.022","ISSN":"17436109","PMID":"32771352","abstract":"Background: Myofibroblast transformation is a key step in the pathogenesis of Peyronie's disease (PD). Phosphodiesterase type 5 inhibitors (PDE5is) and selective estrogen receptor modulators (SERMs) can prevent the formation of fibrosis in in vitro and in vivo models of PD. However, it is unknown whether these drugs can also reverse established fibrosis. Aim: To investigate whether PDE5is and SERMs can reverse transforming growth factor beta 1 (TGF-β1)–induced myofibroblast transformation and determine the point of no return. Methods: In-Cell enzyme-linked immunosorbent assay was used to quantify TGF-β1–induced myofibroblast transformation of human primary fibroblasts isolated from tunica albuginea (TA) of patients undergoing surgery for treatment of PD. Extracellular matrix production and collagen contraction assays were used as secondary assays. Reverse transcription–quantitative polymerase chain reaction and In-Cell enzyme-linked immunosorbent assay were used to measure drug target expression. PDE5i (vardenafil) and SERM (tamoxifen) were applied at various time points after TGF-β1. Outcomes: Reversibility of myofibroblast transformation and drug target expression were investigated in a time-dependent manner in TA-derived fibroblasts. Results: Vardenafil or tamoxifen could not reverse the myofibroblast traits of alpha-smooth muscle actin expression and extracellular matrix production, whereas only tamoxifen affected collagen contraction after 72 hours of TGF-β1 treatment. Phosphodiesterase 5A and estrogen receptor (ER)-β were downregulated after 72 hours, and estrogen receptor -α protein could not be quantified. Tamoxifen could prevent myofibroblast transformation until 36 hours after TGF-β1 treatment, whereas vardenafil could prevent only 24 hours after TGF-β1 treatment. This was mirrored by downregulation of drug targets on mRNA and protein level. Furthermore, antifibrotic signaling pathways, peroxisome proliferator-activated receptor gamma and betaglycan (TGFB receptor III), were significantly downregulated after 36 hours of TGF-β1 exposure, as opposed to upregulation of profibrotic thrombospondin-1 at the same time point. Clinical Translation: This study suggests that using PDE5is and SERMs might only help for early-phase PD and further highlights the need to test drugs at the appropriate stage of the disease based on their mechanism of action. Strengths &amp; Limitations: The study uses primary human TA-derived fibroblasts that enhances translatabili…","author":[{"dropping-particle":"","family":"Ilg","given":"Marcus M.","non-dropping-particle":"","parse-names":false,"suffix":""},{"dropping-particle":"","family":"Stafford","given":"Simon J.","non-dropping-particle":"","parse-names":false,"suffix":""},{"dropping-particle":"","family":"Mateus","given":"Marta","non-dropping-particle":"","parse-names":false,"suffix":""},{"dropping-particle":"","family":"Bustin","given":"Stephen A.","non-dropping-particle":"","parse-names":false,"suffix":""},{"dropping-particle":"","family":"Carpenter","given":"Michael J.","non-dropping-particle":"","parse-names":false,"suffix":""},{"dropping-particle":"","family":"Muneer","given":"Asif","non-dropping-particle":"","parse-names":false,"suffix":""},{"dropping-particle":"","family":"Bivalacqua","given":"Trinity J.","non-dropping-particle":"","parse-names":false,"suffix":""},{"dropping-particle":"","family":"Ralph","given":"David J.","non-dropping-particle":"","parse-names":false,"suffix":""},{"dropping-particle":"","family":"Cellek","given":"Selim","non-dropping-particle":"","parse-names":false,"suffix":""}],"container-title":"Journal of Sexual Medicine","id":"ITEM-2","issue":"10","issued":{"date-parts":[["2020","10","1"]]},"page":"1848-1864","publisher":"Elsevier B.V.","title":"Phosphodiesterase Type 5 Inhibitors and Selective Estrogen Receptor Modulators Can Prevent But Not Reverse Myofibroblast Transformation in Peyronie's Disease","type":"article-journal","volume":"17"},"uris":["http://www.mendeley.com/documents/?uuid=c64145e0-084b-3418-b91f-2ab40d640aa0"]}],"mendeley":{"formattedCitation":"[16,23]","plainTextFormattedCitation":"[16,23]","previouslyFormattedCitation":"[16,23]"},"properties":{"noteIndex":0},"schema":"https://github.com/citation-style-language/schema/raw/master/csl-citation.json"}</w:instrText>
      </w:r>
      <w:r w:rsidR="00D1141C" w:rsidRPr="00695061">
        <w:rPr>
          <w:sz w:val="24"/>
          <w:szCs w:val="24"/>
        </w:rPr>
        <w:fldChar w:fldCharType="separate"/>
      </w:r>
      <w:r w:rsidR="00813D10" w:rsidRPr="00695061">
        <w:rPr>
          <w:noProof/>
          <w:sz w:val="24"/>
          <w:szCs w:val="24"/>
        </w:rPr>
        <w:t>[16,23]</w:t>
      </w:r>
      <w:r w:rsidR="00D1141C" w:rsidRPr="00695061">
        <w:rPr>
          <w:sz w:val="24"/>
          <w:szCs w:val="24"/>
        </w:rPr>
        <w:fldChar w:fldCharType="end"/>
      </w:r>
      <w:r w:rsidR="006943A0" w:rsidRPr="00695061">
        <w:rPr>
          <w:sz w:val="24"/>
          <w:szCs w:val="24"/>
        </w:rPr>
        <w:t xml:space="preserve"> can prevent TGF-</w:t>
      </w:r>
      <w:r w:rsidR="006943A0" w:rsidRPr="00695061">
        <w:rPr>
          <w:rFonts w:cstheme="minorHAnsi"/>
          <w:sz w:val="24"/>
          <w:szCs w:val="24"/>
        </w:rPr>
        <w:t>ß</w:t>
      </w:r>
      <w:r w:rsidR="006943A0" w:rsidRPr="00695061">
        <w:rPr>
          <w:sz w:val="24"/>
          <w:szCs w:val="24"/>
        </w:rPr>
        <w:t>1-induced myofibroblast transformation</w:t>
      </w:r>
      <w:r w:rsidR="00F11BB8" w:rsidRPr="00695061">
        <w:rPr>
          <w:sz w:val="24"/>
          <w:szCs w:val="24"/>
        </w:rPr>
        <w:t xml:space="preserve"> in TA-derived cells in </w:t>
      </w:r>
      <w:r w:rsidR="00F11BB8" w:rsidRPr="00695061">
        <w:rPr>
          <w:i/>
          <w:iCs/>
          <w:sz w:val="24"/>
          <w:szCs w:val="24"/>
        </w:rPr>
        <w:t>in vitro assays</w:t>
      </w:r>
      <w:r w:rsidR="006943A0" w:rsidRPr="00695061">
        <w:rPr>
          <w:sz w:val="24"/>
          <w:szCs w:val="24"/>
        </w:rPr>
        <w:t xml:space="preserve">. </w:t>
      </w:r>
      <w:r w:rsidR="0073101B" w:rsidRPr="00695061">
        <w:rPr>
          <w:sz w:val="24"/>
          <w:szCs w:val="24"/>
        </w:rPr>
        <w:t xml:space="preserve">To investigate the concentration </w:t>
      </w:r>
      <w:r w:rsidR="002B7B62" w:rsidRPr="00695061">
        <w:rPr>
          <w:sz w:val="24"/>
          <w:szCs w:val="24"/>
        </w:rPr>
        <w:t>dependent</w:t>
      </w:r>
      <w:r w:rsidR="0073101B" w:rsidRPr="00695061">
        <w:rPr>
          <w:sz w:val="24"/>
          <w:szCs w:val="24"/>
        </w:rPr>
        <w:t xml:space="preserve"> effect of statins, </w:t>
      </w:r>
      <w:r w:rsidR="002336F2" w:rsidRPr="00695061">
        <w:rPr>
          <w:sz w:val="24"/>
          <w:szCs w:val="24"/>
        </w:rPr>
        <w:t>full concentration response curves were constructed for lovastatin and simvastatin</w:t>
      </w:r>
      <w:r w:rsidR="000B5AE0" w:rsidRPr="00695061">
        <w:rPr>
          <w:sz w:val="24"/>
          <w:szCs w:val="24"/>
        </w:rPr>
        <w:t>, along with a PDE5i (vardenafil) and SERM (tamoxifen)</w:t>
      </w:r>
      <w:r w:rsidR="0003529A" w:rsidRPr="00695061">
        <w:rPr>
          <w:sz w:val="24"/>
          <w:szCs w:val="24"/>
        </w:rPr>
        <w:t xml:space="preserve">. Figure 1 depicts the concentration-dependent </w:t>
      </w:r>
      <w:r w:rsidR="00120D69" w:rsidRPr="00695061">
        <w:rPr>
          <w:sz w:val="24"/>
          <w:szCs w:val="24"/>
        </w:rPr>
        <w:t xml:space="preserve">prevention </w:t>
      </w:r>
      <w:r w:rsidR="0003529A" w:rsidRPr="00695061">
        <w:rPr>
          <w:sz w:val="24"/>
          <w:szCs w:val="24"/>
        </w:rPr>
        <w:t>of TGF-</w:t>
      </w:r>
      <w:r w:rsidR="0003529A" w:rsidRPr="00695061">
        <w:rPr>
          <w:rFonts w:cstheme="minorHAnsi"/>
          <w:sz w:val="24"/>
          <w:szCs w:val="24"/>
        </w:rPr>
        <w:t>ß</w:t>
      </w:r>
      <w:r w:rsidR="0003529A" w:rsidRPr="00695061">
        <w:rPr>
          <w:sz w:val="24"/>
          <w:szCs w:val="24"/>
        </w:rPr>
        <w:t xml:space="preserve">1-induced </w:t>
      </w:r>
      <w:r w:rsidR="008E391F" w:rsidRPr="00695061">
        <w:rPr>
          <w:rFonts w:cstheme="minorHAnsi"/>
          <w:sz w:val="24"/>
          <w:szCs w:val="24"/>
        </w:rPr>
        <w:t>α</w:t>
      </w:r>
      <w:r w:rsidR="008E391F" w:rsidRPr="00695061">
        <w:rPr>
          <w:sz w:val="24"/>
          <w:szCs w:val="24"/>
        </w:rPr>
        <w:t xml:space="preserve">-SMA </w:t>
      </w:r>
      <w:r w:rsidR="00120D69" w:rsidRPr="00695061">
        <w:rPr>
          <w:sz w:val="24"/>
          <w:szCs w:val="24"/>
        </w:rPr>
        <w:t xml:space="preserve">expression </w:t>
      </w:r>
      <w:r w:rsidR="002C1E27" w:rsidRPr="00695061">
        <w:rPr>
          <w:sz w:val="24"/>
          <w:szCs w:val="24"/>
        </w:rPr>
        <w:t xml:space="preserve">increase </w:t>
      </w:r>
      <w:r w:rsidR="0003529A" w:rsidRPr="00695061">
        <w:rPr>
          <w:sz w:val="24"/>
          <w:szCs w:val="24"/>
        </w:rPr>
        <w:t xml:space="preserve">in TA-derived fibroblasts </w:t>
      </w:r>
      <w:r w:rsidR="0003529A" w:rsidRPr="00695061">
        <w:rPr>
          <w:i/>
          <w:iCs/>
          <w:sz w:val="24"/>
          <w:szCs w:val="24"/>
        </w:rPr>
        <w:t>in vitro</w:t>
      </w:r>
      <w:r w:rsidR="0003529A" w:rsidRPr="00695061">
        <w:rPr>
          <w:sz w:val="24"/>
          <w:szCs w:val="24"/>
        </w:rPr>
        <w:t xml:space="preserve">. </w:t>
      </w:r>
      <w:r w:rsidR="002C1E27" w:rsidRPr="00695061">
        <w:rPr>
          <w:sz w:val="24"/>
          <w:szCs w:val="24"/>
        </w:rPr>
        <w:t xml:space="preserve">All four drugs </w:t>
      </w:r>
      <w:r w:rsidR="00061C59" w:rsidRPr="00695061">
        <w:rPr>
          <w:sz w:val="24"/>
          <w:szCs w:val="24"/>
        </w:rPr>
        <w:t>prevented TGF-</w:t>
      </w:r>
      <w:r w:rsidR="00061C59" w:rsidRPr="00695061">
        <w:rPr>
          <w:rFonts w:cstheme="minorHAnsi"/>
          <w:sz w:val="24"/>
          <w:szCs w:val="24"/>
        </w:rPr>
        <w:t>ß</w:t>
      </w:r>
      <w:r w:rsidR="00061C59" w:rsidRPr="00695061">
        <w:rPr>
          <w:sz w:val="24"/>
          <w:szCs w:val="24"/>
        </w:rPr>
        <w:t xml:space="preserve">1-induced </w:t>
      </w:r>
      <w:r w:rsidR="00061C59" w:rsidRPr="00695061">
        <w:rPr>
          <w:rFonts w:cstheme="minorHAnsi"/>
          <w:sz w:val="24"/>
          <w:szCs w:val="24"/>
        </w:rPr>
        <w:t>α</w:t>
      </w:r>
      <w:r w:rsidR="00061C59" w:rsidRPr="00695061">
        <w:rPr>
          <w:sz w:val="24"/>
          <w:szCs w:val="24"/>
        </w:rPr>
        <w:t xml:space="preserve">-SMA expression increase in TA-derived fibroblasts in concentration-dependent </w:t>
      </w:r>
      <w:r w:rsidR="00061C59" w:rsidRPr="00695061">
        <w:rPr>
          <w:sz w:val="24"/>
          <w:szCs w:val="24"/>
        </w:rPr>
        <w:lastRenderedPageBreak/>
        <w:t>manners</w:t>
      </w:r>
      <w:r w:rsidR="00110B91" w:rsidRPr="00695061">
        <w:rPr>
          <w:sz w:val="24"/>
          <w:szCs w:val="24"/>
        </w:rPr>
        <w:t>. B</w:t>
      </w:r>
      <w:r w:rsidR="00A01B5E" w:rsidRPr="00695061">
        <w:rPr>
          <w:sz w:val="24"/>
          <w:szCs w:val="24"/>
        </w:rPr>
        <w:t>oth statins yield</w:t>
      </w:r>
      <w:r w:rsidR="00AD2EEC" w:rsidRPr="00695061">
        <w:rPr>
          <w:sz w:val="24"/>
          <w:szCs w:val="24"/>
        </w:rPr>
        <w:t>ed</w:t>
      </w:r>
      <w:r w:rsidR="00A01B5E" w:rsidRPr="00695061">
        <w:rPr>
          <w:sz w:val="24"/>
          <w:szCs w:val="24"/>
        </w:rPr>
        <w:t xml:space="preserve"> inverse sigmoid curve</w:t>
      </w:r>
      <w:r w:rsidR="00AD2EEC" w:rsidRPr="00695061">
        <w:rPr>
          <w:sz w:val="24"/>
          <w:szCs w:val="24"/>
        </w:rPr>
        <w:t>s</w:t>
      </w:r>
      <w:r w:rsidR="00A01B5E" w:rsidRPr="00695061">
        <w:rPr>
          <w:sz w:val="24"/>
          <w:szCs w:val="24"/>
        </w:rPr>
        <w:t xml:space="preserve"> with upper and lower plateau </w:t>
      </w:r>
      <w:r w:rsidR="008E1C17" w:rsidRPr="00695061">
        <w:rPr>
          <w:sz w:val="24"/>
          <w:szCs w:val="24"/>
        </w:rPr>
        <w:t>with IC</w:t>
      </w:r>
      <w:r w:rsidR="008E1C17" w:rsidRPr="00695061">
        <w:rPr>
          <w:sz w:val="24"/>
          <w:szCs w:val="24"/>
          <w:vertAlign w:val="subscript"/>
        </w:rPr>
        <w:t>50</w:t>
      </w:r>
      <w:r w:rsidR="008E1C17" w:rsidRPr="00695061">
        <w:rPr>
          <w:sz w:val="24"/>
          <w:szCs w:val="24"/>
        </w:rPr>
        <w:t xml:space="preserve"> values of and 0.8</w:t>
      </w:r>
      <w:r w:rsidR="00C74CDC" w:rsidRPr="00695061">
        <w:rPr>
          <w:sz w:val="24"/>
          <w:szCs w:val="24"/>
        </w:rPr>
        <w:t>0</w:t>
      </w:r>
      <w:r w:rsidR="008E1C17" w:rsidRPr="00695061">
        <w:rPr>
          <w:rFonts w:cstheme="minorHAnsi"/>
          <w:sz w:val="24"/>
          <w:szCs w:val="24"/>
        </w:rPr>
        <w:t>±</w:t>
      </w:r>
      <w:r w:rsidR="008E1C17" w:rsidRPr="00695061">
        <w:rPr>
          <w:sz w:val="24"/>
          <w:szCs w:val="24"/>
        </w:rPr>
        <w:t>0.13 µM (lovastatin) and 0.77</w:t>
      </w:r>
      <w:r w:rsidR="008E1C17" w:rsidRPr="00695061">
        <w:rPr>
          <w:rFonts w:cstheme="minorHAnsi"/>
          <w:sz w:val="24"/>
          <w:szCs w:val="24"/>
        </w:rPr>
        <w:t>±</w:t>
      </w:r>
      <w:r w:rsidR="008E1C17" w:rsidRPr="00695061">
        <w:rPr>
          <w:sz w:val="24"/>
          <w:szCs w:val="24"/>
        </w:rPr>
        <w:t xml:space="preserve">0.07 µM </w:t>
      </w:r>
      <w:r w:rsidR="003B3CB1" w:rsidRPr="00695061">
        <w:rPr>
          <w:sz w:val="24"/>
          <w:szCs w:val="24"/>
        </w:rPr>
        <w:t>(</w:t>
      </w:r>
      <w:r w:rsidR="008E1C17" w:rsidRPr="00695061">
        <w:rPr>
          <w:sz w:val="24"/>
          <w:szCs w:val="24"/>
        </w:rPr>
        <w:t>simvastatin</w:t>
      </w:r>
      <w:r w:rsidR="003B3CB1" w:rsidRPr="00695061">
        <w:rPr>
          <w:sz w:val="24"/>
          <w:szCs w:val="24"/>
        </w:rPr>
        <w:t>)</w:t>
      </w:r>
      <w:r w:rsidR="008E1C17" w:rsidRPr="00695061">
        <w:rPr>
          <w:sz w:val="24"/>
          <w:szCs w:val="24"/>
        </w:rPr>
        <w:t>.</w:t>
      </w:r>
      <w:r w:rsidR="00204551" w:rsidRPr="00695061">
        <w:rPr>
          <w:sz w:val="24"/>
          <w:szCs w:val="24"/>
        </w:rPr>
        <w:t xml:space="preserve"> </w:t>
      </w:r>
      <w:r w:rsidR="00A4416F" w:rsidRPr="00695061">
        <w:rPr>
          <w:sz w:val="24"/>
          <w:szCs w:val="24"/>
        </w:rPr>
        <w:t>PDE5i (vardenafil</w:t>
      </w:r>
      <w:r w:rsidR="001029A5" w:rsidRPr="00695061">
        <w:rPr>
          <w:sz w:val="24"/>
          <w:szCs w:val="24"/>
        </w:rPr>
        <w:t>; IC</w:t>
      </w:r>
      <w:r w:rsidR="001029A5" w:rsidRPr="00695061">
        <w:rPr>
          <w:sz w:val="24"/>
          <w:szCs w:val="24"/>
          <w:vertAlign w:val="subscript"/>
        </w:rPr>
        <w:t>50</w:t>
      </w:r>
      <w:r w:rsidR="001029A5" w:rsidRPr="00695061">
        <w:rPr>
          <w:sz w:val="24"/>
          <w:szCs w:val="24"/>
        </w:rPr>
        <w:t>=15</w:t>
      </w:r>
      <w:r w:rsidR="00C74CDC" w:rsidRPr="00695061">
        <w:rPr>
          <w:sz w:val="24"/>
          <w:szCs w:val="24"/>
        </w:rPr>
        <w:t>.0</w:t>
      </w:r>
      <w:r w:rsidR="001029A5" w:rsidRPr="00695061">
        <w:rPr>
          <w:rFonts w:cstheme="minorHAnsi"/>
          <w:sz w:val="24"/>
          <w:szCs w:val="24"/>
        </w:rPr>
        <w:t>±</w:t>
      </w:r>
      <w:r w:rsidR="00EE74F5" w:rsidRPr="00695061">
        <w:rPr>
          <w:sz w:val="24"/>
          <w:szCs w:val="24"/>
        </w:rPr>
        <w:t>1.</w:t>
      </w:r>
      <w:r w:rsidR="00FF4474" w:rsidRPr="00695061">
        <w:rPr>
          <w:sz w:val="24"/>
          <w:szCs w:val="24"/>
        </w:rPr>
        <w:t>1</w:t>
      </w:r>
      <w:r w:rsidR="00C74CDC" w:rsidRPr="00695061">
        <w:rPr>
          <w:sz w:val="24"/>
          <w:szCs w:val="24"/>
        </w:rPr>
        <w:t xml:space="preserve">0 </w:t>
      </w:r>
      <w:r w:rsidR="001029A5" w:rsidRPr="00695061">
        <w:rPr>
          <w:rFonts w:cstheme="minorHAnsi"/>
          <w:sz w:val="24"/>
          <w:szCs w:val="24"/>
        </w:rPr>
        <w:t>µ</w:t>
      </w:r>
      <w:r w:rsidR="001029A5" w:rsidRPr="00695061">
        <w:rPr>
          <w:sz w:val="24"/>
          <w:szCs w:val="24"/>
        </w:rPr>
        <w:t>M</w:t>
      </w:r>
      <w:r w:rsidR="00A4416F" w:rsidRPr="00695061">
        <w:rPr>
          <w:sz w:val="24"/>
          <w:szCs w:val="24"/>
        </w:rPr>
        <w:t>) and SERMs (tamoxifen</w:t>
      </w:r>
      <w:r w:rsidR="00DA1C5B" w:rsidRPr="00695061">
        <w:rPr>
          <w:sz w:val="24"/>
          <w:szCs w:val="24"/>
        </w:rPr>
        <w:t>; IC</w:t>
      </w:r>
      <w:r w:rsidR="00DA1C5B" w:rsidRPr="00695061">
        <w:rPr>
          <w:sz w:val="24"/>
          <w:szCs w:val="24"/>
          <w:vertAlign w:val="subscript"/>
        </w:rPr>
        <w:t>50</w:t>
      </w:r>
      <w:r w:rsidR="00DA1C5B" w:rsidRPr="00695061">
        <w:rPr>
          <w:sz w:val="24"/>
          <w:szCs w:val="24"/>
        </w:rPr>
        <w:t>=1</w:t>
      </w:r>
      <w:r w:rsidR="00EE74F5" w:rsidRPr="00695061">
        <w:rPr>
          <w:sz w:val="24"/>
          <w:szCs w:val="24"/>
        </w:rPr>
        <w:t>3</w:t>
      </w:r>
      <w:r w:rsidR="00C74CDC" w:rsidRPr="00695061">
        <w:rPr>
          <w:sz w:val="24"/>
          <w:szCs w:val="24"/>
        </w:rPr>
        <w:t>.0</w:t>
      </w:r>
      <w:r w:rsidR="00DA1C5B" w:rsidRPr="00695061">
        <w:rPr>
          <w:rFonts w:cstheme="minorHAnsi"/>
          <w:sz w:val="24"/>
          <w:szCs w:val="24"/>
        </w:rPr>
        <w:t>±</w:t>
      </w:r>
      <w:r w:rsidR="00FF4474" w:rsidRPr="00695061">
        <w:rPr>
          <w:sz w:val="24"/>
          <w:szCs w:val="24"/>
        </w:rPr>
        <w:t>0.8</w:t>
      </w:r>
      <w:r w:rsidR="00C74CDC" w:rsidRPr="00695061">
        <w:rPr>
          <w:sz w:val="24"/>
          <w:szCs w:val="24"/>
        </w:rPr>
        <w:t xml:space="preserve">0 </w:t>
      </w:r>
      <w:r w:rsidR="00DA1C5B" w:rsidRPr="00695061">
        <w:rPr>
          <w:rFonts w:cstheme="minorHAnsi"/>
          <w:sz w:val="24"/>
          <w:szCs w:val="24"/>
        </w:rPr>
        <w:t>µ</w:t>
      </w:r>
      <w:r w:rsidR="00DA1C5B" w:rsidRPr="00695061">
        <w:rPr>
          <w:sz w:val="24"/>
          <w:szCs w:val="24"/>
        </w:rPr>
        <w:t>M</w:t>
      </w:r>
      <w:r w:rsidR="00A4416F" w:rsidRPr="00695061">
        <w:rPr>
          <w:sz w:val="24"/>
          <w:szCs w:val="24"/>
        </w:rPr>
        <w:t xml:space="preserve">) also </w:t>
      </w:r>
      <w:r w:rsidR="00AD2EEC" w:rsidRPr="00695061">
        <w:rPr>
          <w:sz w:val="24"/>
          <w:szCs w:val="24"/>
        </w:rPr>
        <w:t xml:space="preserve">elicited </w:t>
      </w:r>
      <w:r w:rsidR="00A4416F" w:rsidRPr="00695061">
        <w:rPr>
          <w:sz w:val="24"/>
          <w:szCs w:val="24"/>
        </w:rPr>
        <w:t>inverse sigmoid curves with upper and lower plateau. Statins appear</w:t>
      </w:r>
      <w:r w:rsidR="00496B0C" w:rsidRPr="00695061">
        <w:rPr>
          <w:sz w:val="24"/>
          <w:szCs w:val="24"/>
        </w:rPr>
        <w:t>ed</w:t>
      </w:r>
      <w:r w:rsidR="00A4416F" w:rsidRPr="00695061">
        <w:rPr>
          <w:sz w:val="24"/>
          <w:szCs w:val="24"/>
        </w:rPr>
        <w:t xml:space="preserve"> more potent than </w:t>
      </w:r>
      <w:r w:rsidR="004627F0" w:rsidRPr="00695061">
        <w:rPr>
          <w:sz w:val="24"/>
          <w:szCs w:val="24"/>
        </w:rPr>
        <w:t>vardenafil or tamoxifen</w:t>
      </w:r>
      <w:r w:rsidR="00916556" w:rsidRPr="00695061">
        <w:rPr>
          <w:sz w:val="24"/>
          <w:szCs w:val="24"/>
        </w:rPr>
        <w:t xml:space="preserve"> when IC</w:t>
      </w:r>
      <w:r w:rsidR="00916556" w:rsidRPr="00695061">
        <w:rPr>
          <w:sz w:val="24"/>
          <w:szCs w:val="24"/>
          <w:vertAlign w:val="subscript"/>
        </w:rPr>
        <w:t>50</w:t>
      </w:r>
      <w:r w:rsidR="00916556" w:rsidRPr="00695061">
        <w:rPr>
          <w:sz w:val="24"/>
          <w:szCs w:val="24"/>
        </w:rPr>
        <w:t xml:space="preserve"> values</w:t>
      </w:r>
      <w:r w:rsidR="004627F0" w:rsidRPr="00695061">
        <w:rPr>
          <w:sz w:val="24"/>
          <w:szCs w:val="24"/>
        </w:rPr>
        <w:t xml:space="preserve"> </w:t>
      </w:r>
      <w:r w:rsidR="00496B0C" w:rsidRPr="00695061">
        <w:rPr>
          <w:sz w:val="24"/>
          <w:szCs w:val="24"/>
        </w:rPr>
        <w:t xml:space="preserve">were </w:t>
      </w:r>
      <w:r w:rsidR="004627F0" w:rsidRPr="00695061">
        <w:rPr>
          <w:sz w:val="24"/>
          <w:szCs w:val="24"/>
        </w:rPr>
        <w:t>compared</w:t>
      </w:r>
      <w:r w:rsidR="00A4416F" w:rsidRPr="00695061">
        <w:rPr>
          <w:sz w:val="24"/>
          <w:szCs w:val="24"/>
        </w:rPr>
        <w:t>.</w:t>
      </w:r>
      <w:r w:rsidR="00C54029" w:rsidRPr="00695061">
        <w:rPr>
          <w:sz w:val="24"/>
          <w:szCs w:val="24"/>
        </w:rPr>
        <w:t xml:space="preserve"> Since simvastatin showed lower variability than </w:t>
      </w:r>
      <w:r w:rsidR="00D215A3" w:rsidRPr="00695061">
        <w:rPr>
          <w:sz w:val="24"/>
          <w:szCs w:val="24"/>
        </w:rPr>
        <w:t xml:space="preserve">lovastatin on our initial experiments, it was used in further combination studies. </w:t>
      </w:r>
    </w:p>
    <w:p w14:paraId="4A594C94" w14:textId="77777777" w:rsidR="00DC1457" w:rsidRPr="00695061" w:rsidRDefault="00DC1457" w:rsidP="00E55D55">
      <w:pPr>
        <w:jc w:val="both"/>
        <w:rPr>
          <w:sz w:val="24"/>
          <w:szCs w:val="24"/>
        </w:rPr>
      </w:pPr>
    </w:p>
    <w:p w14:paraId="73DC72F2" w14:textId="021EE8AD" w:rsidR="002E68B8" w:rsidRPr="00695061" w:rsidRDefault="005867C6" w:rsidP="00E55D55">
      <w:pPr>
        <w:jc w:val="both"/>
        <w:rPr>
          <w:b/>
          <w:bCs/>
          <w:sz w:val="24"/>
          <w:szCs w:val="24"/>
        </w:rPr>
      </w:pPr>
      <w:r w:rsidRPr="00695061">
        <w:rPr>
          <w:b/>
          <w:bCs/>
          <w:sz w:val="24"/>
          <w:szCs w:val="24"/>
        </w:rPr>
        <w:t xml:space="preserve">Combining </w:t>
      </w:r>
      <w:r w:rsidR="00F66B01" w:rsidRPr="00695061">
        <w:rPr>
          <w:b/>
          <w:bCs/>
          <w:sz w:val="24"/>
          <w:szCs w:val="24"/>
        </w:rPr>
        <w:t xml:space="preserve">statins with PDE5i leads to </w:t>
      </w:r>
      <w:proofErr w:type="gramStart"/>
      <w:r w:rsidR="00F66B01" w:rsidRPr="00695061">
        <w:rPr>
          <w:b/>
          <w:bCs/>
          <w:sz w:val="24"/>
          <w:szCs w:val="24"/>
        </w:rPr>
        <w:t>synergy</w:t>
      </w:r>
      <w:proofErr w:type="gramEnd"/>
    </w:p>
    <w:p w14:paraId="3D101BBC" w14:textId="740F7D6A" w:rsidR="00DC1457" w:rsidRPr="00695061" w:rsidRDefault="008F0184" w:rsidP="00DC1457">
      <w:pPr>
        <w:jc w:val="both"/>
        <w:rPr>
          <w:sz w:val="24"/>
          <w:szCs w:val="24"/>
        </w:rPr>
      </w:pPr>
      <w:r w:rsidRPr="00695061">
        <w:rPr>
          <w:sz w:val="24"/>
          <w:szCs w:val="24"/>
        </w:rPr>
        <w:t>To investigate</w:t>
      </w:r>
      <w:r w:rsidR="00E55D55" w:rsidRPr="00695061">
        <w:rPr>
          <w:sz w:val="24"/>
          <w:szCs w:val="24"/>
        </w:rPr>
        <w:t xml:space="preserve"> whether PDE5i would </w:t>
      </w:r>
      <w:r w:rsidR="00496B0C" w:rsidRPr="00695061">
        <w:rPr>
          <w:sz w:val="24"/>
          <w:szCs w:val="24"/>
        </w:rPr>
        <w:t xml:space="preserve">synergise </w:t>
      </w:r>
      <w:r w:rsidR="00E55D55" w:rsidRPr="00695061">
        <w:rPr>
          <w:sz w:val="24"/>
          <w:szCs w:val="24"/>
        </w:rPr>
        <w:t xml:space="preserve">with statins, a full concentration response curve of vardenafil was </w:t>
      </w:r>
      <w:r w:rsidR="00FF23E3" w:rsidRPr="00695061">
        <w:rPr>
          <w:sz w:val="24"/>
          <w:szCs w:val="24"/>
        </w:rPr>
        <w:t xml:space="preserve">constructed </w:t>
      </w:r>
      <w:r w:rsidR="00E55D55" w:rsidRPr="00695061">
        <w:rPr>
          <w:sz w:val="24"/>
          <w:szCs w:val="24"/>
        </w:rPr>
        <w:t xml:space="preserve">in </w:t>
      </w:r>
      <w:r w:rsidR="00FF23E3" w:rsidRPr="00695061">
        <w:rPr>
          <w:sz w:val="24"/>
          <w:szCs w:val="24"/>
        </w:rPr>
        <w:t xml:space="preserve">the </w:t>
      </w:r>
      <w:r w:rsidR="00E55D55" w:rsidRPr="00695061">
        <w:rPr>
          <w:sz w:val="24"/>
          <w:szCs w:val="24"/>
        </w:rPr>
        <w:t xml:space="preserve">presence of 0.3 </w:t>
      </w:r>
      <w:r w:rsidR="00E55D55" w:rsidRPr="00695061">
        <w:rPr>
          <w:rFonts w:cstheme="minorHAnsi"/>
          <w:sz w:val="24"/>
          <w:szCs w:val="24"/>
        </w:rPr>
        <w:t>µ</w:t>
      </w:r>
      <w:r w:rsidR="00E55D55" w:rsidRPr="00695061">
        <w:rPr>
          <w:sz w:val="24"/>
          <w:szCs w:val="24"/>
        </w:rPr>
        <w:t>M of simvastatin</w:t>
      </w:r>
      <w:r w:rsidR="00DD0A47" w:rsidRPr="00695061">
        <w:rPr>
          <w:sz w:val="24"/>
          <w:szCs w:val="24"/>
        </w:rPr>
        <w:t xml:space="preserve"> (IC</w:t>
      </w:r>
      <w:r w:rsidR="00AD5349" w:rsidRPr="00695061">
        <w:rPr>
          <w:sz w:val="24"/>
          <w:szCs w:val="24"/>
          <w:vertAlign w:val="subscript"/>
        </w:rPr>
        <w:t>10</w:t>
      </w:r>
      <w:r w:rsidR="00DD0A47" w:rsidRPr="00695061">
        <w:rPr>
          <w:sz w:val="24"/>
          <w:szCs w:val="24"/>
        </w:rPr>
        <w:t>)</w:t>
      </w:r>
      <w:r w:rsidR="00E55D55" w:rsidRPr="00695061">
        <w:rPr>
          <w:sz w:val="24"/>
          <w:szCs w:val="24"/>
        </w:rPr>
        <w:t xml:space="preserve">. </w:t>
      </w:r>
      <w:r w:rsidR="00AA1B25" w:rsidRPr="00695061">
        <w:rPr>
          <w:sz w:val="24"/>
          <w:szCs w:val="24"/>
        </w:rPr>
        <w:t xml:space="preserve">As can be seen in Figure </w:t>
      </w:r>
      <w:r w:rsidR="00CE5214" w:rsidRPr="00695061">
        <w:rPr>
          <w:sz w:val="24"/>
          <w:szCs w:val="24"/>
        </w:rPr>
        <w:t>2A</w:t>
      </w:r>
      <w:r w:rsidR="00AA1B25" w:rsidRPr="00695061">
        <w:rPr>
          <w:sz w:val="24"/>
          <w:szCs w:val="24"/>
        </w:rPr>
        <w:t xml:space="preserve">, addition of simvastatin </w:t>
      </w:r>
      <w:r w:rsidR="008E5EB3" w:rsidRPr="00695061">
        <w:rPr>
          <w:sz w:val="24"/>
          <w:szCs w:val="24"/>
        </w:rPr>
        <w:t xml:space="preserve">led </w:t>
      </w:r>
      <w:r w:rsidR="00AA1B25" w:rsidRPr="00695061">
        <w:rPr>
          <w:sz w:val="24"/>
          <w:szCs w:val="24"/>
        </w:rPr>
        <w:t xml:space="preserve">to a downward </w:t>
      </w:r>
      <w:r w:rsidR="00C6538A" w:rsidRPr="00695061">
        <w:rPr>
          <w:sz w:val="24"/>
          <w:szCs w:val="24"/>
        </w:rPr>
        <w:t xml:space="preserve">and </w:t>
      </w:r>
      <w:r w:rsidR="0066731E" w:rsidRPr="00695061">
        <w:rPr>
          <w:sz w:val="24"/>
          <w:szCs w:val="24"/>
        </w:rPr>
        <w:t xml:space="preserve">leftward </w:t>
      </w:r>
      <w:r w:rsidR="00AA1B25" w:rsidRPr="00695061">
        <w:rPr>
          <w:sz w:val="24"/>
          <w:szCs w:val="24"/>
        </w:rPr>
        <w:t>shift of the concentration response curve</w:t>
      </w:r>
      <w:r w:rsidR="00D239B3" w:rsidRPr="00695061">
        <w:rPr>
          <w:sz w:val="24"/>
          <w:szCs w:val="24"/>
        </w:rPr>
        <w:t>, whilst lowering the IC</w:t>
      </w:r>
      <w:r w:rsidR="00D239B3" w:rsidRPr="00695061">
        <w:rPr>
          <w:sz w:val="24"/>
          <w:szCs w:val="24"/>
          <w:vertAlign w:val="subscript"/>
        </w:rPr>
        <w:t>50</w:t>
      </w:r>
      <w:r w:rsidR="00D239B3" w:rsidRPr="00695061">
        <w:rPr>
          <w:sz w:val="24"/>
          <w:szCs w:val="24"/>
        </w:rPr>
        <w:t xml:space="preserve"> value </w:t>
      </w:r>
      <w:r w:rsidR="00044833" w:rsidRPr="00695061">
        <w:rPr>
          <w:sz w:val="24"/>
          <w:szCs w:val="24"/>
        </w:rPr>
        <w:t xml:space="preserve">of vardenafil </w:t>
      </w:r>
      <w:r w:rsidR="00605008" w:rsidRPr="00695061">
        <w:rPr>
          <w:sz w:val="24"/>
          <w:szCs w:val="24"/>
        </w:rPr>
        <w:t>from 15</w:t>
      </w:r>
      <w:r w:rsidR="00605008" w:rsidRPr="00695061">
        <w:rPr>
          <w:rFonts w:cstheme="minorHAnsi"/>
          <w:sz w:val="24"/>
          <w:szCs w:val="24"/>
        </w:rPr>
        <w:t>±</w:t>
      </w:r>
      <w:r w:rsidR="00605008" w:rsidRPr="00695061">
        <w:rPr>
          <w:sz w:val="24"/>
          <w:szCs w:val="24"/>
        </w:rPr>
        <w:t>1.1</w:t>
      </w:r>
      <w:r w:rsidR="00605008" w:rsidRPr="00695061">
        <w:rPr>
          <w:rFonts w:cstheme="minorHAnsi"/>
          <w:sz w:val="24"/>
          <w:szCs w:val="24"/>
        </w:rPr>
        <w:t>µ</w:t>
      </w:r>
      <w:r w:rsidR="00605008" w:rsidRPr="00695061">
        <w:rPr>
          <w:sz w:val="24"/>
          <w:szCs w:val="24"/>
        </w:rPr>
        <w:t xml:space="preserve">M </w:t>
      </w:r>
      <w:r w:rsidR="00D239B3" w:rsidRPr="00695061">
        <w:rPr>
          <w:sz w:val="24"/>
          <w:szCs w:val="24"/>
        </w:rPr>
        <w:t>to 8</w:t>
      </w:r>
      <w:r w:rsidR="00605008" w:rsidRPr="00695061">
        <w:rPr>
          <w:sz w:val="24"/>
          <w:szCs w:val="24"/>
        </w:rPr>
        <w:t>.0</w:t>
      </w:r>
      <w:r w:rsidR="00D239B3" w:rsidRPr="00695061">
        <w:rPr>
          <w:rFonts w:cstheme="minorHAnsi"/>
          <w:sz w:val="24"/>
          <w:szCs w:val="24"/>
        </w:rPr>
        <w:t>±</w:t>
      </w:r>
      <w:r w:rsidR="008C17AA" w:rsidRPr="00695061">
        <w:rPr>
          <w:sz w:val="24"/>
          <w:szCs w:val="24"/>
        </w:rPr>
        <w:t>1.6</w:t>
      </w:r>
      <w:r w:rsidR="00D239B3" w:rsidRPr="00695061">
        <w:rPr>
          <w:rFonts w:cstheme="minorHAnsi"/>
          <w:sz w:val="24"/>
          <w:szCs w:val="24"/>
        </w:rPr>
        <w:t>µ</w:t>
      </w:r>
      <w:r w:rsidR="00D239B3" w:rsidRPr="00695061">
        <w:rPr>
          <w:sz w:val="24"/>
          <w:szCs w:val="24"/>
        </w:rPr>
        <w:t>M</w:t>
      </w:r>
      <w:r w:rsidR="00605008" w:rsidRPr="00695061">
        <w:rPr>
          <w:sz w:val="24"/>
          <w:szCs w:val="24"/>
        </w:rPr>
        <w:t xml:space="preserve"> </w:t>
      </w:r>
      <w:r w:rsidR="00E51DF3" w:rsidRPr="00695061">
        <w:rPr>
          <w:sz w:val="24"/>
          <w:szCs w:val="24"/>
        </w:rPr>
        <w:t>(p=0.034)</w:t>
      </w:r>
      <w:r w:rsidR="00F52FD8" w:rsidRPr="00695061">
        <w:rPr>
          <w:sz w:val="24"/>
          <w:szCs w:val="24"/>
        </w:rPr>
        <w:t xml:space="preserve">. </w:t>
      </w:r>
      <w:r w:rsidR="00366BE2" w:rsidRPr="00695061">
        <w:rPr>
          <w:sz w:val="24"/>
          <w:szCs w:val="24"/>
        </w:rPr>
        <w:t>C</w:t>
      </w:r>
      <w:r w:rsidR="00F52FD8" w:rsidRPr="00695061">
        <w:rPr>
          <w:sz w:val="24"/>
          <w:szCs w:val="24"/>
        </w:rPr>
        <w:t xml:space="preserve">ell viability </w:t>
      </w:r>
      <w:r w:rsidR="008E5EB3" w:rsidRPr="00695061">
        <w:rPr>
          <w:sz w:val="24"/>
          <w:szCs w:val="24"/>
        </w:rPr>
        <w:t xml:space="preserve">was </w:t>
      </w:r>
      <w:r w:rsidR="00F52FD8" w:rsidRPr="00695061">
        <w:rPr>
          <w:sz w:val="24"/>
          <w:szCs w:val="24"/>
        </w:rPr>
        <w:t xml:space="preserve">not affected by addition of simvastatin. </w:t>
      </w:r>
      <w:r w:rsidR="003D666D" w:rsidRPr="00695061">
        <w:rPr>
          <w:sz w:val="24"/>
          <w:szCs w:val="24"/>
        </w:rPr>
        <w:t xml:space="preserve"> Table 1 </w:t>
      </w:r>
      <w:r w:rsidR="00A5329D" w:rsidRPr="00695061">
        <w:rPr>
          <w:sz w:val="24"/>
          <w:szCs w:val="24"/>
        </w:rPr>
        <w:t xml:space="preserve">lists the predicted and observed effects along the entire concentration response curve and </w:t>
      </w:r>
      <w:r w:rsidR="00D60E80" w:rsidRPr="00695061">
        <w:rPr>
          <w:sz w:val="24"/>
          <w:szCs w:val="24"/>
        </w:rPr>
        <w:t>demonstrates t</w:t>
      </w:r>
      <w:r w:rsidR="004B5928" w:rsidRPr="00695061">
        <w:rPr>
          <w:sz w:val="24"/>
          <w:szCs w:val="24"/>
        </w:rPr>
        <w:t>hat the</w:t>
      </w:r>
      <w:r w:rsidR="00C563D5" w:rsidRPr="00695061">
        <w:rPr>
          <w:sz w:val="24"/>
          <w:szCs w:val="24"/>
        </w:rPr>
        <w:t xml:space="preserve"> observed effect was greater than </w:t>
      </w:r>
      <w:r w:rsidR="004B5928" w:rsidRPr="00695061">
        <w:rPr>
          <w:sz w:val="24"/>
          <w:szCs w:val="24"/>
        </w:rPr>
        <w:t>the predicted effect</w:t>
      </w:r>
      <w:r w:rsidR="00DD78AC" w:rsidRPr="00695061">
        <w:rPr>
          <w:sz w:val="24"/>
          <w:szCs w:val="24"/>
        </w:rPr>
        <w:t xml:space="preserve"> at all concentrations below 100 </w:t>
      </w:r>
      <w:r w:rsidR="00DD78AC" w:rsidRPr="00695061">
        <w:rPr>
          <w:rFonts w:cstheme="minorHAnsi"/>
          <w:sz w:val="24"/>
          <w:szCs w:val="24"/>
        </w:rPr>
        <w:t>µ</w:t>
      </w:r>
      <w:r w:rsidR="00DD78AC" w:rsidRPr="00695061">
        <w:rPr>
          <w:sz w:val="24"/>
          <w:szCs w:val="24"/>
        </w:rPr>
        <w:t>M</w:t>
      </w:r>
      <w:r w:rsidR="004B5928" w:rsidRPr="00695061">
        <w:rPr>
          <w:sz w:val="24"/>
          <w:szCs w:val="24"/>
        </w:rPr>
        <w:t xml:space="preserve">. </w:t>
      </w:r>
      <w:r w:rsidR="00951ECC" w:rsidRPr="00695061">
        <w:rPr>
          <w:sz w:val="24"/>
          <w:szCs w:val="24"/>
        </w:rPr>
        <w:t xml:space="preserve">A log alpha value </w:t>
      </w:r>
      <w:r w:rsidR="00495A00" w:rsidRPr="00695061">
        <w:rPr>
          <w:sz w:val="24"/>
          <w:szCs w:val="24"/>
        </w:rPr>
        <w:t>[which calculates synergic potency between two drugs</w:t>
      </w:r>
      <w:r w:rsidR="00D1141C" w:rsidRPr="00695061">
        <w:rPr>
          <w:sz w:val="24"/>
          <w:szCs w:val="24"/>
        </w:rPr>
        <w:t xml:space="preserve"> </w:t>
      </w:r>
      <w:r w:rsidR="00D1141C" w:rsidRPr="00695061">
        <w:rPr>
          <w:sz w:val="24"/>
          <w:szCs w:val="24"/>
        </w:rPr>
        <w:fldChar w:fldCharType="begin" w:fldLock="1"/>
      </w:r>
      <w:r w:rsidR="00813D10" w:rsidRPr="00695061">
        <w:rPr>
          <w:sz w:val="24"/>
          <w:szCs w:val="24"/>
        </w:rPr>
        <w:instrText>ADDIN CSL_CITATION {"citationItems":[{"id":"ITEM-1","itemData":{"DOI":"10.1016/j.cels.2019.01.003","ISSN":"24054720","PMID":"30797775","abstract":"Two goals motivate treating diseases with drug combinations: reduce off-target toxicity by minimizing doses (synergistic potency) and improve outcomes by escalating effect (synergistic efficacy). Established drug synergy frameworks obscure such distinction, failing to harness the potential of modern chemical libraries. We therefore developed multi-dimensional synergy of combinations (MuSyC), a formalism based on a generalized, multi-dimensional Hill equation, which decouples synergistic potency and efficacy. In mutant-EGFR-driven lung cancer, MuSyC reveals that combining a mutant-EGFR inhibitor with inhibitors of other kinases may result only in synergistic potency, whereas synergistic efficacy can be achieved by co-targeting mutant-EGFR and epigenetic regulation or microtubule polymerization. In mutant-BRAF melanoma, MuSyC determines whether a molecular correlate of BRAFi insensitivity alters a BRAF inhibitor's potency, efficacy, or both. These findings showcase MuSyC's potential to transform the enterprise of drug-combination screens by precisely guiding translation of combinations toward dose reduction, improved efficacy, or both. Meyer et al. developed a framework for measuring drug combination synergy. The framework, termed MuSyC, distinguishes between two types of synergy. The first quantifies the change in the maximal effect with the combination (synergistic efficacy), and the second measures the change in a drug's potency due to the combination (synergistic potency). By decoupling these two synergies conflated in prior methods, MuSyC rationally guides discovery and translation of drug combinations for the improvement of therapeutic efficacy and reduction of off-target toxicities via dose reduction.","author":[{"dropping-particle":"","family":"Meyer","given":"Christian T.","non-dropping-particle":"","parse-names":false,"suffix":""},{"dropping-particle":"","family":"Wooten","given":"David J.","non-dropping-particle":"","parse-names":false,"suffix":""},{"dropping-particle":"","family":"Paudel","given":"B. Bishal","non-dropping-particle":"","parse-names":false,"suffix":""},{"dropping-particle":"","family":"Bauer","given":"Joshua","non-dropping-particle":"","parse-names":false,"suffix":""},{"dropping-particle":"","family":"Hardeman","given":"Keisha N.","non-dropping-particle":"","parse-names":false,"suffix":""},{"dropping-particle":"","family":"Westover","given":"David","non-dropping-particle":"","parse-names":false,"suffix":""},{"dropping-particle":"","family":"Lovly","given":"Christine M.","non-dropping-particle":"","parse-names":false,"suffix":""},{"dropping-particle":"","family":"Harris","given":"Leonard A.","non-dropping-particle":"","parse-names":false,"suffix":""},{"dropping-particle":"","family":"Tyson","given":"Darren R.","non-dropping-particle":"","parse-names":false,"suffix":""},{"dropping-particle":"","family":"Quaranta","given":"Vito","non-dropping-particle":"","parse-names":false,"suffix":""}],"container-title":"Cell Systems","id":"ITEM-1","issue":"2","issued":{"date-parts":[["2019"]]},"page":"97-108.e16","publisher":"Elsevier Inc.","title":"Quantifying Drug Combination Synergy along Potency and Efficacy Axes","type":"article-journal","volume":"8"},"uris":["http://www.mendeley.com/documents/?uuid=392a1f75-1805-46db-ac73-1e0f6c51ba5f"]}],"mendeley":{"formattedCitation":"[24]","plainTextFormattedCitation":"[24]","previouslyFormattedCitation":"[24]"},"properties":{"noteIndex":0},"schema":"https://github.com/citation-style-language/schema/raw/master/csl-citation.json"}</w:instrText>
      </w:r>
      <w:r w:rsidR="00D1141C" w:rsidRPr="00695061">
        <w:rPr>
          <w:sz w:val="24"/>
          <w:szCs w:val="24"/>
        </w:rPr>
        <w:fldChar w:fldCharType="separate"/>
      </w:r>
      <w:r w:rsidR="00813D10" w:rsidRPr="00695061">
        <w:rPr>
          <w:noProof/>
          <w:sz w:val="24"/>
          <w:szCs w:val="24"/>
        </w:rPr>
        <w:t>[24]</w:t>
      </w:r>
      <w:r w:rsidR="00D1141C" w:rsidRPr="00695061">
        <w:rPr>
          <w:sz w:val="24"/>
          <w:szCs w:val="24"/>
        </w:rPr>
        <w:fldChar w:fldCharType="end"/>
      </w:r>
      <w:r w:rsidR="00D1141C" w:rsidRPr="00695061">
        <w:rPr>
          <w:sz w:val="24"/>
          <w:szCs w:val="24"/>
        </w:rPr>
        <w:t>]</w:t>
      </w:r>
      <w:r w:rsidR="00495A00" w:rsidRPr="00695061">
        <w:rPr>
          <w:sz w:val="24"/>
          <w:szCs w:val="24"/>
        </w:rPr>
        <w:t xml:space="preserve"> </w:t>
      </w:r>
      <w:r w:rsidR="00951ECC" w:rsidRPr="00695061">
        <w:rPr>
          <w:sz w:val="24"/>
          <w:szCs w:val="24"/>
        </w:rPr>
        <w:t>of 1.87 (confidence interval 1.38-2.68) was calculated which confirms synergistic interaction.</w:t>
      </w:r>
    </w:p>
    <w:p w14:paraId="05FB180E" w14:textId="77777777" w:rsidR="00DC1457" w:rsidRPr="00695061" w:rsidRDefault="00DC1457" w:rsidP="00DC1457">
      <w:pPr>
        <w:jc w:val="both"/>
        <w:rPr>
          <w:sz w:val="24"/>
          <w:szCs w:val="24"/>
        </w:rPr>
      </w:pPr>
    </w:p>
    <w:p w14:paraId="46E37146" w14:textId="1E7D5EBA" w:rsidR="00F66B01" w:rsidRPr="00695061" w:rsidRDefault="00F66B01" w:rsidP="00E55D55">
      <w:pPr>
        <w:jc w:val="both"/>
        <w:rPr>
          <w:sz w:val="24"/>
          <w:szCs w:val="24"/>
        </w:rPr>
      </w:pPr>
    </w:p>
    <w:p w14:paraId="4AA7C64F" w14:textId="7F48032B" w:rsidR="00F66B01" w:rsidRPr="00695061" w:rsidRDefault="00F66B01" w:rsidP="00E55D55">
      <w:pPr>
        <w:jc w:val="both"/>
        <w:rPr>
          <w:b/>
          <w:bCs/>
          <w:sz w:val="24"/>
          <w:szCs w:val="24"/>
        </w:rPr>
      </w:pPr>
      <w:r w:rsidRPr="00695061">
        <w:rPr>
          <w:b/>
          <w:bCs/>
          <w:sz w:val="24"/>
          <w:szCs w:val="24"/>
        </w:rPr>
        <w:t>Combining statins with SERM</w:t>
      </w:r>
      <w:r w:rsidR="00DC1457" w:rsidRPr="00695061">
        <w:rPr>
          <w:b/>
          <w:bCs/>
          <w:sz w:val="24"/>
          <w:szCs w:val="24"/>
        </w:rPr>
        <w:t xml:space="preserve"> does not</w:t>
      </w:r>
      <w:r w:rsidRPr="00695061">
        <w:rPr>
          <w:b/>
          <w:bCs/>
          <w:sz w:val="24"/>
          <w:szCs w:val="24"/>
        </w:rPr>
        <w:t xml:space="preserve"> lead to </w:t>
      </w:r>
      <w:proofErr w:type="gramStart"/>
      <w:r w:rsidRPr="00695061">
        <w:rPr>
          <w:b/>
          <w:bCs/>
          <w:sz w:val="24"/>
          <w:szCs w:val="24"/>
        </w:rPr>
        <w:t>synergy</w:t>
      </w:r>
      <w:proofErr w:type="gramEnd"/>
    </w:p>
    <w:p w14:paraId="1B1F3C63" w14:textId="53666AC7" w:rsidR="00F66B01" w:rsidRPr="00695061" w:rsidRDefault="00767A1C" w:rsidP="00E55D55">
      <w:pPr>
        <w:jc w:val="both"/>
        <w:rPr>
          <w:sz w:val="24"/>
          <w:szCs w:val="24"/>
        </w:rPr>
      </w:pPr>
      <w:r w:rsidRPr="00695061">
        <w:rPr>
          <w:sz w:val="24"/>
          <w:szCs w:val="24"/>
        </w:rPr>
        <w:t xml:space="preserve">To assess </w:t>
      </w:r>
      <w:r w:rsidR="00D61F16" w:rsidRPr="00695061">
        <w:rPr>
          <w:sz w:val="24"/>
          <w:szCs w:val="24"/>
        </w:rPr>
        <w:t xml:space="preserve">whether a similar </w:t>
      </w:r>
      <w:r w:rsidR="001E5A70" w:rsidRPr="00695061">
        <w:rPr>
          <w:sz w:val="24"/>
          <w:szCs w:val="24"/>
        </w:rPr>
        <w:t xml:space="preserve">synergistic effect could be achieved in combination with SERMs, a full concentration response curve of tamoxifen was </w:t>
      </w:r>
      <w:r w:rsidR="00FC3621" w:rsidRPr="00695061">
        <w:rPr>
          <w:sz w:val="24"/>
          <w:szCs w:val="24"/>
        </w:rPr>
        <w:t>created in presence of 0.3</w:t>
      </w:r>
      <w:r w:rsidR="00FC3621" w:rsidRPr="00695061">
        <w:rPr>
          <w:rFonts w:cstheme="minorHAnsi"/>
          <w:sz w:val="24"/>
          <w:szCs w:val="24"/>
        </w:rPr>
        <w:t xml:space="preserve"> µ</w:t>
      </w:r>
      <w:r w:rsidR="00FC3621" w:rsidRPr="00695061">
        <w:rPr>
          <w:sz w:val="24"/>
          <w:szCs w:val="24"/>
        </w:rPr>
        <w:t>M simvastatin</w:t>
      </w:r>
      <w:r w:rsidR="00167649" w:rsidRPr="00695061">
        <w:rPr>
          <w:sz w:val="24"/>
          <w:szCs w:val="24"/>
        </w:rPr>
        <w:t xml:space="preserve"> (IC</w:t>
      </w:r>
      <w:r w:rsidR="0051151E" w:rsidRPr="00695061">
        <w:rPr>
          <w:sz w:val="24"/>
          <w:szCs w:val="24"/>
          <w:vertAlign w:val="subscript"/>
        </w:rPr>
        <w:t>10</w:t>
      </w:r>
      <w:r w:rsidR="00167649" w:rsidRPr="00695061">
        <w:rPr>
          <w:sz w:val="24"/>
          <w:szCs w:val="24"/>
        </w:rPr>
        <w:t>)</w:t>
      </w:r>
      <w:r w:rsidR="00FC3621" w:rsidRPr="00695061">
        <w:rPr>
          <w:sz w:val="24"/>
          <w:szCs w:val="24"/>
        </w:rPr>
        <w:t xml:space="preserve">. </w:t>
      </w:r>
      <w:r w:rsidR="007F052B" w:rsidRPr="00695061">
        <w:rPr>
          <w:sz w:val="24"/>
          <w:szCs w:val="24"/>
        </w:rPr>
        <w:t xml:space="preserve">Figure </w:t>
      </w:r>
      <w:r w:rsidR="00CE5214" w:rsidRPr="00695061">
        <w:rPr>
          <w:sz w:val="24"/>
          <w:szCs w:val="24"/>
        </w:rPr>
        <w:t>2B</w:t>
      </w:r>
      <w:r w:rsidR="000E1893" w:rsidRPr="00695061">
        <w:rPr>
          <w:sz w:val="24"/>
          <w:szCs w:val="24"/>
        </w:rPr>
        <w:t xml:space="preserve"> shows the effect of tamoxifen in co-incubation with 0.3</w:t>
      </w:r>
      <w:r w:rsidR="000E1893" w:rsidRPr="00695061">
        <w:rPr>
          <w:rFonts w:cstheme="minorHAnsi"/>
          <w:sz w:val="24"/>
          <w:szCs w:val="24"/>
        </w:rPr>
        <w:t xml:space="preserve"> µ</w:t>
      </w:r>
      <w:r w:rsidR="000E1893" w:rsidRPr="00695061">
        <w:rPr>
          <w:sz w:val="24"/>
          <w:szCs w:val="24"/>
        </w:rPr>
        <w:t>M simvastatin on TGF-</w:t>
      </w:r>
      <w:r w:rsidR="000E1893" w:rsidRPr="00695061">
        <w:rPr>
          <w:rFonts w:cstheme="minorHAnsi"/>
          <w:sz w:val="24"/>
          <w:szCs w:val="24"/>
        </w:rPr>
        <w:t>ß</w:t>
      </w:r>
      <w:r w:rsidR="000E1893" w:rsidRPr="00695061">
        <w:rPr>
          <w:sz w:val="24"/>
          <w:szCs w:val="24"/>
        </w:rPr>
        <w:t>1-induced myofibroblast transformation</w:t>
      </w:r>
      <w:r w:rsidR="00D80E1C" w:rsidRPr="00695061">
        <w:rPr>
          <w:sz w:val="24"/>
          <w:szCs w:val="24"/>
        </w:rPr>
        <w:t xml:space="preserve">. The curve shows a downward </w:t>
      </w:r>
      <w:r w:rsidR="00C045EA" w:rsidRPr="00695061">
        <w:rPr>
          <w:sz w:val="24"/>
          <w:szCs w:val="24"/>
        </w:rPr>
        <w:t xml:space="preserve">and </w:t>
      </w:r>
      <w:r w:rsidR="00D80E1C" w:rsidRPr="00695061">
        <w:rPr>
          <w:sz w:val="24"/>
          <w:szCs w:val="24"/>
        </w:rPr>
        <w:t xml:space="preserve">shift, </w:t>
      </w:r>
      <w:r w:rsidR="00CD7FAA" w:rsidRPr="00695061">
        <w:rPr>
          <w:sz w:val="24"/>
          <w:szCs w:val="24"/>
        </w:rPr>
        <w:t xml:space="preserve">while </w:t>
      </w:r>
      <w:r w:rsidR="00D80E1C" w:rsidRPr="00695061">
        <w:rPr>
          <w:sz w:val="24"/>
          <w:szCs w:val="24"/>
        </w:rPr>
        <w:t>IC</w:t>
      </w:r>
      <w:r w:rsidR="00D80E1C" w:rsidRPr="00695061">
        <w:rPr>
          <w:sz w:val="24"/>
          <w:szCs w:val="24"/>
          <w:vertAlign w:val="subscript"/>
        </w:rPr>
        <w:t>50</w:t>
      </w:r>
      <w:r w:rsidR="00D80E1C" w:rsidRPr="00695061">
        <w:rPr>
          <w:sz w:val="24"/>
          <w:szCs w:val="24"/>
        </w:rPr>
        <w:t xml:space="preserve"> value</w:t>
      </w:r>
      <w:r w:rsidR="0059738D" w:rsidRPr="00695061">
        <w:rPr>
          <w:sz w:val="24"/>
          <w:szCs w:val="24"/>
        </w:rPr>
        <w:t xml:space="preserve">s </w:t>
      </w:r>
      <w:r w:rsidR="00CD7FAA" w:rsidRPr="00695061">
        <w:rPr>
          <w:sz w:val="24"/>
          <w:szCs w:val="24"/>
        </w:rPr>
        <w:t xml:space="preserve">were </w:t>
      </w:r>
      <w:r w:rsidR="0059738D" w:rsidRPr="00695061">
        <w:rPr>
          <w:sz w:val="24"/>
          <w:szCs w:val="24"/>
        </w:rPr>
        <w:t>not affected</w:t>
      </w:r>
      <w:r w:rsidR="00D80E1C" w:rsidRPr="00695061">
        <w:rPr>
          <w:sz w:val="24"/>
          <w:szCs w:val="24"/>
        </w:rPr>
        <w:t xml:space="preserve"> </w:t>
      </w:r>
      <w:r w:rsidR="0059738D" w:rsidRPr="00695061">
        <w:rPr>
          <w:sz w:val="24"/>
          <w:szCs w:val="24"/>
        </w:rPr>
        <w:t>(</w:t>
      </w:r>
      <w:r w:rsidR="001F0F87" w:rsidRPr="00695061">
        <w:rPr>
          <w:sz w:val="24"/>
          <w:szCs w:val="24"/>
        </w:rPr>
        <w:t>13.0</w:t>
      </w:r>
      <w:r w:rsidR="001F0F87" w:rsidRPr="00695061">
        <w:rPr>
          <w:rFonts w:cstheme="minorHAnsi"/>
          <w:sz w:val="24"/>
          <w:szCs w:val="24"/>
        </w:rPr>
        <w:t>±</w:t>
      </w:r>
      <w:r w:rsidR="001F0F87" w:rsidRPr="00695061">
        <w:rPr>
          <w:sz w:val="24"/>
          <w:szCs w:val="24"/>
        </w:rPr>
        <w:t xml:space="preserve">0.80 </w:t>
      </w:r>
      <w:r w:rsidR="00C35700" w:rsidRPr="00695061">
        <w:rPr>
          <w:rFonts w:cstheme="minorHAnsi"/>
          <w:sz w:val="24"/>
          <w:szCs w:val="24"/>
        </w:rPr>
        <w:t>µ</w:t>
      </w:r>
      <w:r w:rsidR="00C35700" w:rsidRPr="00695061">
        <w:rPr>
          <w:sz w:val="24"/>
          <w:szCs w:val="24"/>
        </w:rPr>
        <w:t>M</w:t>
      </w:r>
      <w:r w:rsidR="00C35700" w:rsidRPr="00695061" w:rsidDel="001F0F87">
        <w:rPr>
          <w:sz w:val="24"/>
          <w:szCs w:val="24"/>
        </w:rPr>
        <w:t xml:space="preserve"> </w:t>
      </w:r>
      <w:r w:rsidR="00167649" w:rsidRPr="00695061">
        <w:rPr>
          <w:sz w:val="24"/>
          <w:szCs w:val="24"/>
        </w:rPr>
        <w:t xml:space="preserve">tamoxifen only vs </w:t>
      </w:r>
      <w:r w:rsidR="00E25201" w:rsidRPr="00695061">
        <w:rPr>
          <w:sz w:val="24"/>
          <w:szCs w:val="24"/>
        </w:rPr>
        <w:t>11</w:t>
      </w:r>
      <w:r w:rsidR="00D80E1C" w:rsidRPr="00695061">
        <w:rPr>
          <w:rFonts w:cstheme="minorHAnsi"/>
          <w:sz w:val="24"/>
          <w:szCs w:val="24"/>
        </w:rPr>
        <w:t>±</w:t>
      </w:r>
      <w:r w:rsidR="00D80E1C" w:rsidRPr="00695061">
        <w:rPr>
          <w:sz w:val="24"/>
          <w:szCs w:val="24"/>
        </w:rPr>
        <w:t>1.</w:t>
      </w:r>
      <w:r w:rsidR="008319C4" w:rsidRPr="00695061">
        <w:rPr>
          <w:sz w:val="24"/>
          <w:szCs w:val="24"/>
        </w:rPr>
        <w:t>3</w:t>
      </w:r>
      <w:r w:rsidR="00C35700" w:rsidRPr="00695061">
        <w:rPr>
          <w:sz w:val="24"/>
          <w:szCs w:val="24"/>
        </w:rPr>
        <w:t xml:space="preserve"> </w:t>
      </w:r>
      <w:r w:rsidR="00D80E1C" w:rsidRPr="00695061">
        <w:rPr>
          <w:rFonts w:cstheme="minorHAnsi"/>
          <w:sz w:val="24"/>
          <w:szCs w:val="24"/>
        </w:rPr>
        <w:t>µ</w:t>
      </w:r>
      <w:r w:rsidR="00D80E1C" w:rsidRPr="00695061">
        <w:rPr>
          <w:sz w:val="24"/>
          <w:szCs w:val="24"/>
        </w:rPr>
        <w:t>M</w:t>
      </w:r>
      <w:r w:rsidR="001F0F87" w:rsidRPr="00695061">
        <w:rPr>
          <w:sz w:val="24"/>
          <w:szCs w:val="24"/>
        </w:rPr>
        <w:t xml:space="preserve"> </w:t>
      </w:r>
      <w:r w:rsidR="00167649" w:rsidRPr="00695061">
        <w:rPr>
          <w:sz w:val="24"/>
          <w:szCs w:val="24"/>
        </w:rPr>
        <w:t>tamoxifen</w:t>
      </w:r>
      <w:r w:rsidR="0051151E" w:rsidRPr="00695061">
        <w:rPr>
          <w:sz w:val="24"/>
          <w:szCs w:val="24"/>
        </w:rPr>
        <w:t xml:space="preserve"> in the presence of</w:t>
      </w:r>
      <w:r w:rsidR="00167649" w:rsidRPr="00695061">
        <w:rPr>
          <w:sz w:val="24"/>
          <w:szCs w:val="24"/>
        </w:rPr>
        <w:t xml:space="preserve"> </w:t>
      </w:r>
      <w:r w:rsidR="0051151E" w:rsidRPr="00695061">
        <w:rPr>
          <w:sz w:val="24"/>
          <w:szCs w:val="24"/>
        </w:rPr>
        <w:t>0.3</w:t>
      </w:r>
      <w:r w:rsidR="0051151E" w:rsidRPr="00695061">
        <w:rPr>
          <w:rFonts w:cstheme="minorHAnsi"/>
          <w:sz w:val="24"/>
          <w:szCs w:val="24"/>
        </w:rPr>
        <w:t xml:space="preserve"> µ</w:t>
      </w:r>
      <w:r w:rsidR="0051151E" w:rsidRPr="00695061">
        <w:rPr>
          <w:sz w:val="24"/>
          <w:szCs w:val="24"/>
        </w:rPr>
        <w:t xml:space="preserve">M simvastatin </w:t>
      </w:r>
      <w:r w:rsidR="00E51DF3" w:rsidRPr="00695061">
        <w:rPr>
          <w:sz w:val="24"/>
          <w:szCs w:val="24"/>
        </w:rPr>
        <w:t>(p=0.0858)</w:t>
      </w:r>
      <w:r w:rsidR="0051151E" w:rsidRPr="00695061">
        <w:rPr>
          <w:sz w:val="24"/>
          <w:szCs w:val="24"/>
        </w:rPr>
        <w:t xml:space="preserve">). </w:t>
      </w:r>
      <w:r w:rsidR="00AE04C2" w:rsidRPr="00695061">
        <w:rPr>
          <w:sz w:val="24"/>
          <w:szCs w:val="24"/>
        </w:rPr>
        <w:t xml:space="preserve">Cell viability </w:t>
      </w:r>
      <w:r w:rsidR="0051151E" w:rsidRPr="00695061">
        <w:rPr>
          <w:sz w:val="24"/>
          <w:szCs w:val="24"/>
        </w:rPr>
        <w:t xml:space="preserve">was </w:t>
      </w:r>
      <w:r w:rsidR="00AE04C2" w:rsidRPr="00695061">
        <w:rPr>
          <w:sz w:val="24"/>
          <w:szCs w:val="24"/>
        </w:rPr>
        <w:t xml:space="preserve">unaffected by the addition of simvastatin. </w:t>
      </w:r>
      <w:r w:rsidR="00ED26E3" w:rsidRPr="00695061">
        <w:rPr>
          <w:sz w:val="24"/>
          <w:szCs w:val="24"/>
        </w:rPr>
        <w:t xml:space="preserve">The predicted and observed values for the entire concentration response curve are listed in Table 2. </w:t>
      </w:r>
      <w:r w:rsidR="005F376E" w:rsidRPr="00695061">
        <w:rPr>
          <w:sz w:val="24"/>
          <w:szCs w:val="24"/>
        </w:rPr>
        <w:t>Although a</w:t>
      </w:r>
      <w:r w:rsidR="006D1517" w:rsidRPr="00695061">
        <w:rPr>
          <w:sz w:val="24"/>
          <w:szCs w:val="24"/>
        </w:rPr>
        <w:t xml:space="preserve"> synergistic effect for the combination could be observed </w:t>
      </w:r>
      <w:r w:rsidR="00290F54" w:rsidRPr="00695061">
        <w:rPr>
          <w:sz w:val="24"/>
          <w:szCs w:val="24"/>
        </w:rPr>
        <w:t xml:space="preserve">only at two concentrations </w:t>
      </w:r>
      <w:r w:rsidR="006D1517" w:rsidRPr="00695061">
        <w:rPr>
          <w:sz w:val="24"/>
          <w:szCs w:val="24"/>
        </w:rPr>
        <w:t xml:space="preserve">0.018 </w:t>
      </w:r>
      <w:r w:rsidR="006D1517" w:rsidRPr="00695061">
        <w:rPr>
          <w:rFonts w:cstheme="minorHAnsi"/>
          <w:sz w:val="24"/>
          <w:szCs w:val="24"/>
        </w:rPr>
        <w:t>µ</w:t>
      </w:r>
      <w:r w:rsidR="006D1517" w:rsidRPr="00695061">
        <w:rPr>
          <w:sz w:val="24"/>
          <w:szCs w:val="24"/>
        </w:rPr>
        <w:t xml:space="preserve">M or </w:t>
      </w:r>
      <w:r w:rsidR="00347494" w:rsidRPr="00695061">
        <w:rPr>
          <w:sz w:val="24"/>
          <w:szCs w:val="24"/>
        </w:rPr>
        <w:t xml:space="preserve">0.18 </w:t>
      </w:r>
      <w:r w:rsidR="00347494" w:rsidRPr="00695061">
        <w:rPr>
          <w:rFonts w:cstheme="minorHAnsi"/>
          <w:sz w:val="24"/>
          <w:szCs w:val="24"/>
        </w:rPr>
        <w:t>µ</w:t>
      </w:r>
      <w:r w:rsidR="00347494" w:rsidRPr="00695061">
        <w:rPr>
          <w:sz w:val="24"/>
          <w:szCs w:val="24"/>
        </w:rPr>
        <w:t>M</w:t>
      </w:r>
      <w:r w:rsidR="00A45278" w:rsidRPr="00695061">
        <w:rPr>
          <w:sz w:val="24"/>
          <w:szCs w:val="24"/>
        </w:rPr>
        <w:t>,</w:t>
      </w:r>
      <w:r w:rsidR="005F376E" w:rsidRPr="00695061">
        <w:rPr>
          <w:sz w:val="24"/>
          <w:szCs w:val="24"/>
        </w:rPr>
        <w:t xml:space="preserve"> overall </w:t>
      </w:r>
      <w:r w:rsidR="00A45278" w:rsidRPr="00695061">
        <w:rPr>
          <w:sz w:val="24"/>
          <w:szCs w:val="24"/>
        </w:rPr>
        <w:t xml:space="preserve">interaction between simvastatin and tamoxifen was </w:t>
      </w:r>
      <w:r w:rsidR="00BA7C7B" w:rsidRPr="00695061">
        <w:rPr>
          <w:sz w:val="24"/>
          <w:szCs w:val="24"/>
        </w:rPr>
        <w:t xml:space="preserve">deemed </w:t>
      </w:r>
      <w:r w:rsidR="00A45278" w:rsidRPr="00695061">
        <w:rPr>
          <w:sz w:val="24"/>
          <w:szCs w:val="24"/>
        </w:rPr>
        <w:t>not</w:t>
      </w:r>
      <w:r w:rsidR="00BA7C7B" w:rsidRPr="00695061">
        <w:rPr>
          <w:sz w:val="24"/>
          <w:szCs w:val="24"/>
        </w:rPr>
        <w:t xml:space="preserve"> to be</w:t>
      </w:r>
      <w:r w:rsidR="00A45278" w:rsidRPr="00695061">
        <w:rPr>
          <w:sz w:val="24"/>
          <w:szCs w:val="24"/>
        </w:rPr>
        <w:t xml:space="preserve"> synergistic</w:t>
      </w:r>
      <w:r w:rsidR="00951ECC" w:rsidRPr="00695061">
        <w:rPr>
          <w:sz w:val="24"/>
          <w:szCs w:val="24"/>
        </w:rPr>
        <w:t xml:space="preserve"> since </w:t>
      </w:r>
      <w:r w:rsidR="005234BE" w:rsidRPr="00695061">
        <w:rPr>
          <w:sz w:val="24"/>
          <w:szCs w:val="24"/>
        </w:rPr>
        <w:t>the</w:t>
      </w:r>
      <w:r w:rsidR="00951ECC" w:rsidRPr="00695061">
        <w:rPr>
          <w:sz w:val="24"/>
          <w:szCs w:val="24"/>
        </w:rPr>
        <w:t xml:space="preserve"> log alpha value -0.01 (confidence interval -0.12-0.13) was </w:t>
      </w:r>
      <w:r w:rsidR="007460A7" w:rsidRPr="00695061">
        <w:rPr>
          <w:sz w:val="24"/>
          <w:szCs w:val="24"/>
        </w:rPr>
        <w:t xml:space="preserve">below </w:t>
      </w:r>
      <w:r w:rsidR="00BA7C7B" w:rsidRPr="00695061">
        <w:rPr>
          <w:sz w:val="24"/>
          <w:szCs w:val="24"/>
        </w:rPr>
        <w:t>0</w:t>
      </w:r>
      <w:r w:rsidR="00951ECC" w:rsidRPr="00695061">
        <w:rPr>
          <w:sz w:val="24"/>
          <w:szCs w:val="24"/>
        </w:rPr>
        <w:t>.</w:t>
      </w:r>
    </w:p>
    <w:p w14:paraId="0329727D" w14:textId="6819D583" w:rsidR="00DC1457" w:rsidRPr="00695061" w:rsidRDefault="00DC1457" w:rsidP="00E55D55">
      <w:pPr>
        <w:jc w:val="both"/>
        <w:rPr>
          <w:sz w:val="24"/>
          <w:szCs w:val="24"/>
        </w:rPr>
      </w:pPr>
    </w:p>
    <w:p w14:paraId="4220F3F5" w14:textId="053BE808" w:rsidR="00DC1457" w:rsidRPr="00695061" w:rsidRDefault="00DC1457" w:rsidP="00E55D55">
      <w:pPr>
        <w:jc w:val="both"/>
        <w:rPr>
          <w:sz w:val="24"/>
          <w:szCs w:val="24"/>
        </w:rPr>
      </w:pPr>
    </w:p>
    <w:p w14:paraId="07C935C3" w14:textId="77777777" w:rsidR="00DC1457" w:rsidRPr="00695061" w:rsidRDefault="00DC1457" w:rsidP="00E55D55">
      <w:pPr>
        <w:jc w:val="both"/>
        <w:rPr>
          <w:sz w:val="24"/>
          <w:szCs w:val="24"/>
        </w:rPr>
      </w:pPr>
    </w:p>
    <w:p w14:paraId="0F3AEA15" w14:textId="60006848" w:rsidR="002E68B8" w:rsidRPr="00695061" w:rsidRDefault="00F762CF" w:rsidP="00E55D55">
      <w:pPr>
        <w:jc w:val="both"/>
        <w:rPr>
          <w:b/>
          <w:bCs/>
          <w:sz w:val="24"/>
          <w:szCs w:val="24"/>
        </w:rPr>
      </w:pPr>
      <w:r w:rsidRPr="00695061">
        <w:rPr>
          <w:b/>
          <w:bCs/>
          <w:sz w:val="24"/>
          <w:szCs w:val="24"/>
        </w:rPr>
        <w:t xml:space="preserve">PDE5i and SERMs </w:t>
      </w:r>
      <w:proofErr w:type="gramStart"/>
      <w:r w:rsidRPr="00695061">
        <w:rPr>
          <w:b/>
          <w:bCs/>
          <w:sz w:val="24"/>
          <w:szCs w:val="24"/>
        </w:rPr>
        <w:t>synergize</w:t>
      </w:r>
      <w:proofErr w:type="gramEnd"/>
    </w:p>
    <w:p w14:paraId="0AAD8F11" w14:textId="0FF2E248" w:rsidR="00F762CF" w:rsidRPr="00695061" w:rsidRDefault="00767A1C" w:rsidP="00E55D55">
      <w:pPr>
        <w:jc w:val="both"/>
        <w:rPr>
          <w:sz w:val="24"/>
          <w:szCs w:val="24"/>
        </w:rPr>
      </w:pPr>
      <w:r w:rsidRPr="00695061">
        <w:rPr>
          <w:sz w:val="24"/>
          <w:szCs w:val="24"/>
        </w:rPr>
        <w:t>As previously demonstrated</w:t>
      </w:r>
      <w:r w:rsidR="000B2EB7" w:rsidRPr="00695061">
        <w:rPr>
          <w:sz w:val="24"/>
          <w:szCs w:val="24"/>
        </w:rPr>
        <w:t xml:space="preserve">, PDE5i and SERMs synergize in </w:t>
      </w:r>
      <w:r w:rsidR="000B2EB7" w:rsidRPr="00695061">
        <w:rPr>
          <w:i/>
          <w:iCs/>
          <w:sz w:val="24"/>
          <w:szCs w:val="24"/>
        </w:rPr>
        <w:t>in vitro</w:t>
      </w:r>
      <w:r w:rsidR="000B2EB7" w:rsidRPr="00695061">
        <w:rPr>
          <w:sz w:val="24"/>
          <w:szCs w:val="24"/>
        </w:rPr>
        <w:t xml:space="preserve"> models of PD </w:t>
      </w:r>
      <w:r w:rsidR="00D1141C" w:rsidRPr="00695061">
        <w:rPr>
          <w:sz w:val="24"/>
          <w:szCs w:val="24"/>
        </w:rPr>
        <w:fldChar w:fldCharType="begin" w:fldLock="1"/>
      </w:r>
      <w:r w:rsidR="00813D10" w:rsidRPr="00695061">
        <w:rPr>
          <w:sz w:val="24"/>
          <w:szCs w:val="24"/>
        </w:rPr>
        <w:instrText>ADDIN CSL_CITATION {"citationItems":[{"id":"ITEM-1","itemData":{"DOI":"10.1016/j.eururo.2018.10.014","ISSN":"18737560","abstract":"Background: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Urology","id":"ITEM-1","issue":"2","issued":{"date-parts":[["2019"]]},"page":"329-340","title":"Antifibrotic Synergy Between Phosphodiesterase Type 5 Inhibitors and Selective Oestrogen Receptor Modulators in Peyronie's Disease Models","type":"article-journal","volume":"75"},"uris":["http://www.mendeley.com/documents/?uuid=bff5c9d0-a461-3882-bd6b-be96b76e6abb"]},{"id":"ITEM-2","itemData":{"DOI":"10.1016/j.jsxm.2020.06.022","ISSN":"17436109","PMID":"32771352","abstract":"Background: Myofibroblast transformation is a key step in the pathogenesis of Peyronie's disease (PD). Phosphodiesterase type 5 inhibitors (PDE5is) and selective estrogen receptor modulators (SERMs) can prevent the formation of fibrosis in in vitro and in vivo models of PD. However, it is unknown whether these drugs can also reverse established fibrosis. Aim: To investigate whether PDE5is and SERMs can reverse transforming growth factor beta 1 (TGF-β1)–induced myofibroblast transformation and determine the point of no return. Methods: In-Cell enzyme-linked immunosorbent assay was used to quantify TGF-β1–induced myofibroblast transformation of human primary fibroblasts isolated from tunica albuginea (TA) of patients undergoing surgery for treatment of PD. Extracellular matrix production and collagen contraction assays were used as secondary assays. Reverse transcription–quantitative polymerase chain reaction and In-Cell enzyme-linked immunosorbent assay were used to measure drug target expression. PDE5i (vardenafil) and SERM (tamoxifen) were applied at various time points after TGF-β1. Outcomes: Reversibility of myofibroblast transformation and drug target expression were investigated in a time-dependent manner in TA-derived fibroblasts. Results: Vardenafil or tamoxifen could not reverse the myofibroblast traits of alpha-smooth muscle actin expression and extracellular matrix production, whereas only tamoxifen affected collagen contraction after 72 hours of TGF-β1 treatment. Phosphodiesterase 5A and estrogen receptor (ER)-β were downregulated after 72 hours, and estrogen receptor -α protein could not be quantified. Tamoxifen could prevent myofibroblast transformation until 36 hours after TGF-β1 treatment, whereas vardenafil could prevent only 24 hours after TGF-β1 treatment. This was mirrored by downregulation of drug targets on mRNA and protein level. Furthermore, antifibrotic signaling pathways, peroxisome proliferator-activated receptor gamma and betaglycan (TGFB receptor III), were significantly downregulated after 36 hours of TGF-β1 exposure, as opposed to upregulation of profibrotic thrombospondin-1 at the same time point. Clinical Translation: This study suggests that using PDE5is and SERMs might only help for early-phase PD and further highlights the need to test drugs at the appropriate stage of the disease based on their mechanism of action. Strengths &amp; Limitations: The study uses primary human TA-derived fibroblasts that enhances translatabili…","author":[{"dropping-particle":"","family":"Ilg","given":"Marcus M.","non-dropping-particle":"","parse-names":false,"suffix":""},{"dropping-particle":"","family":"Stafford","given":"Simon J.","non-dropping-particle":"","parse-names":false,"suffix":""},{"dropping-particle":"","family":"Mateus","given":"Marta","non-dropping-particle":"","parse-names":false,"suffix":""},{"dropping-particle":"","family":"Bustin","given":"Stephen A.","non-dropping-particle":"","parse-names":false,"suffix":""},{"dropping-particle":"","family":"Carpenter","given":"Michael J.","non-dropping-particle":"","parse-names":false,"suffix":""},{"dropping-particle":"","family":"Muneer","given":"Asif","non-dropping-particle":"","parse-names":false,"suffix":""},{"dropping-particle":"","family":"Bivalacqua","given":"Trinity J.","non-dropping-particle":"","parse-names":false,"suffix":""},{"dropping-particle":"","family":"Ralph","given":"David J.","non-dropping-particle":"","parse-names":false,"suffix":""},{"dropping-particle":"","family":"Cellek","given":"Selim","non-dropping-particle":"","parse-names":false,"suffix":""}],"container-title":"Journal of Sexual Medicine","id":"ITEM-2","issue":"10","issued":{"date-parts":[["2020","10","1"]]},"page":"1848-1864","publisher":"Elsevier B.V.","title":"Phosphodiesterase Type 5 Inhibitors and Selective Estrogen Receptor Modulators Can Prevent But Not Reverse Myofibroblast Transformation in Peyronie's Disease","type":"article-journal","volume":"17"},"uris":["http://www.mendeley.com/documents/?uuid=c64145e0-084b-3418-b91f-2ab40d640aa0"]}],"mendeley":{"formattedCitation":"[16,23]","plainTextFormattedCitation":"[16,23]","previouslyFormattedCitation":"[16,23]"},"properties":{"noteIndex":0},"schema":"https://github.com/citation-style-language/schema/raw/master/csl-citation.json"}</w:instrText>
      </w:r>
      <w:r w:rsidR="00D1141C" w:rsidRPr="00695061">
        <w:rPr>
          <w:sz w:val="24"/>
          <w:szCs w:val="24"/>
        </w:rPr>
        <w:fldChar w:fldCharType="separate"/>
      </w:r>
      <w:r w:rsidR="00813D10" w:rsidRPr="00695061">
        <w:rPr>
          <w:noProof/>
          <w:sz w:val="24"/>
          <w:szCs w:val="24"/>
        </w:rPr>
        <w:t>[16,23]</w:t>
      </w:r>
      <w:r w:rsidR="00D1141C" w:rsidRPr="00695061">
        <w:rPr>
          <w:sz w:val="24"/>
          <w:szCs w:val="24"/>
        </w:rPr>
        <w:fldChar w:fldCharType="end"/>
      </w:r>
      <w:r w:rsidR="000B2EB7" w:rsidRPr="00695061">
        <w:rPr>
          <w:sz w:val="24"/>
          <w:szCs w:val="24"/>
        </w:rPr>
        <w:t xml:space="preserve">. </w:t>
      </w:r>
      <w:r w:rsidR="00D14507" w:rsidRPr="00695061">
        <w:rPr>
          <w:sz w:val="24"/>
          <w:szCs w:val="24"/>
        </w:rPr>
        <w:t xml:space="preserve">This was replicated in this study as </w:t>
      </w:r>
      <w:r w:rsidR="009B5462" w:rsidRPr="00695061">
        <w:rPr>
          <w:sz w:val="24"/>
          <w:szCs w:val="24"/>
        </w:rPr>
        <w:t>shown in</w:t>
      </w:r>
      <w:r w:rsidR="00D14507" w:rsidRPr="00695061">
        <w:rPr>
          <w:sz w:val="24"/>
          <w:szCs w:val="24"/>
        </w:rPr>
        <w:t xml:space="preserve"> Figure </w:t>
      </w:r>
      <w:r w:rsidR="00CE5214" w:rsidRPr="00695061">
        <w:rPr>
          <w:sz w:val="24"/>
          <w:szCs w:val="24"/>
        </w:rPr>
        <w:t>2C</w:t>
      </w:r>
      <w:r w:rsidR="00C94C0E" w:rsidRPr="00695061">
        <w:rPr>
          <w:sz w:val="24"/>
          <w:szCs w:val="24"/>
        </w:rPr>
        <w:t xml:space="preserve">. </w:t>
      </w:r>
      <w:r w:rsidR="008904C6" w:rsidRPr="00695061">
        <w:rPr>
          <w:sz w:val="24"/>
          <w:szCs w:val="24"/>
        </w:rPr>
        <w:t xml:space="preserve">When concentration response curve to </w:t>
      </w:r>
      <w:r w:rsidR="008904C6" w:rsidRPr="00695061">
        <w:rPr>
          <w:sz w:val="24"/>
          <w:szCs w:val="24"/>
        </w:rPr>
        <w:lastRenderedPageBreak/>
        <w:t xml:space="preserve">vardenafil was constructed in the presence of </w:t>
      </w:r>
      <w:r w:rsidR="006624D4" w:rsidRPr="00695061">
        <w:rPr>
          <w:sz w:val="24"/>
          <w:szCs w:val="24"/>
        </w:rPr>
        <w:t xml:space="preserve">1 </w:t>
      </w:r>
      <w:r w:rsidR="006624D4" w:rsidRPr="00695061">
        <w:rPr>
          <w:rFonts w:cstheme="minorHAnsi"/>
          <w:sz w:val="24"/>
          <w:szCs w:val="24"/>
        </w:rPr>
        <w:t>µ</w:t>
      </w:r>
      <w:r w:rsidR="006624D4" w:rsidRPr="00695061">
        <w:rPr>
          <w:sz w:val="24"/>
          <w:szCs w:val="24"/>
        </w:rPr>
        <w:t xml:space="preserve">M of tamoxifen </w:t>
      </w:r>
      <w:r w:rsidR="00E60834" w:rsidRPr="00695061">
        <w:rPr>
          <w:sz w:val="24"/>
          <w:szCs w:val="24"/>
        </w:rPr>
        <w:t>(IC</w:t>
      </w:r>
      <w:r w:rsidR="002A3529" w:rsidRPr="00695061">
        <w:rPr>
          <w:sz w:val="24"/>
          <w:szCs w:val="24"/>
          <w:vertAlign w:val="subscript"/>
        </w:rPr>
        <w:t>5-10</w:t>
      </w:r>
      <w:r w:rsidR="00E60834" w:rsidRPr="00695061">
        <w:rPr>
          <w:sz w:val="24"/>
          <w:szCs w:val="24"/>
        </w:rPr>
        <w:t xml:space="preserve">), a </w:t>
      </w:r>
      <w:r w:rsidR="006624D4" w:rsidRPr="00695061">
        <w:rPr>
          <w:sz w:val="24"/>
          <w:szCs w:val="24"/>
        </w:rPr>
        <w:t xml:space="preserve">downward </w:t>
      </w:r>
      <w:r w:rsidR="00E60834" w:rsidRPr="00695061">
        <w:rPr>
          <w:sz w:val="24"/>
          <w:szCs w:val="24"/>
        </w:rPr>
        <w:t xml:space="preserve">and leftward </w:t>
      </w:r>
      <w:r w:rsidR="006624D4" w:rsidRPr="00695061">
        <w:rPr>
          <w:sz w:val="24"/>
          <w:szCs w:val="24"/>
        </w:rPr>
        <w:t>shift of the curve</w:t>
      </w:r>
      <w:r w:rsidR="00E60834" w:rsidRPr="00695061">
        <w:rPr>
          <w:sz w:val="24"/>
          <w:szCs w:val="24"/>
        </w:rPr>
        <w:t xml:space="preserve"> was observed </w:t>
      </w:r>
      <w:r w:rsidR="00925ECA" w:rsidRPr="00695061">
        <w:rPr>
          <w:sz w:val="24"/>
          <w:szCs w:val="24"/>
        </w:rPr>
        <w:t>and</w:t>
      </w:r>
      <w:r w:rsidR="006624D4" w:rsidRPr="00695061">
        <w:rPr>
          <w:sz w:val="24"/>
          <w:szCs w:val="24"/>
        </w:rPr>
        <w:t xml:space="preserve"> the IC</w:t>
      </w:r>
      <w:r w:rsidR="006624D4" w:rsidRPr="00695061">
        <w:rPr>
          <w:sz w:val="24"/>
          <w:szCs w:val="24"/>
          <w:vertAlign w:val="subscript"/>
        </w:rPr>
        <w:t>50</w:t>
      </w:r>
      <w:r w:rsidR="006624D4" w:rsidRPr="00695061">
        <w:rPr>
          <w:sz w:val="24"/>
          <w:szCs w:val="24"/>
        </w:rPr>
        <w:t xml:space="preserve"> value</w:t>
      </w:r>
      <w:r w:rsidR="00925ECA" w:rsidRPr="00695061">
        <w:rPr>
          <w:sz w:val="24"/>
          <w:szCs w:val="24"/>
        </w:rPr>
        <w:t xml:space="preserve"> was reduced </w:t>
      </w:r>
      <w:r w:rsidR="002D38E4" w:rsidRPr="00695061">
        <w:rPr>
          <w:sz w:val="24"/>
          <w:szCs w:val="24"/>
        </w:rPr>
        <w:t>from 15.0</w:t>
      </w:r>
      <w:r w:rsidR="002D38E4" w:rsidRPr="00695061">
        <w:rPr>
          <w:rFonts w:cstheme="minorHAnsi"/>
          <w:sz w:val="24"/>
          <w:szCs w:val="24"/>
        </w:rPr>
        <w:t>±</w:t>
      </w:r>
      <w:r w:rsidR="002D38E4" w:rsidRPr="00695061">
        <w:rPr>
          <w:sz w:val="24"/>
          <w:szCs w:val="24"/>
        </w:rPr>
        <w:t xml:space="preserve">1.10 </w:t>
      </w:r>
      <w:r w:rsidR="002D38E4" w:rsidRPr="00695061">
        <w:rPr>
          <w:rFonts w:cstheme="minorHAnsi"/>
          <w:sz w:val="24"/>
          <w:szCs w:val="24"/>
        </w:rPr>
        <w:t>µ</w:t>
      </w:r>
      <w:r w:rsidR="002D38E4" w:rsidRPr="00695061">
        <w:rPr>
          <w:sz w:val="24"/>
          <w:szCs w:val="24"/>
        </w:rPr>
        <w:t xml:space="preserve">M </w:t>
      </w:r>
      <w:r w:rsidR="006624D4" w:rsidRPr="00695061">
        <w:rPr>
          <w:sz w:val="24"/>
          <w:szCs w:val="24"/>
        </w:rPr>
        <w:t xml:space="preserve">to </w:t>
      </w:r>
      <w:r w:rsidR="00BD51D7" w:rsidRPr="00695061">
        <w:rPr>
          <w:sz w:val="24"/>
          <w:szCs w:val="24"/>
        </w:rPr>
        <w:t>8</w:t>
      </w:r>
      <w:r w:rsidR="00997812" w:rsidRPr="00695061">
        <w:rPr>
          <w:sz w:val="24"/>
          <w:szCs w:val="24"/>
        </w:rPr>
        <w:t>.0</w:t>
      </w:r>
      <w:r w:rsidR="006624D4" w:rsidRPr="00695061">
        <w:rPr>
          <w:rFonts w:cstheme="minorHAnsi"/>
          <w:sz w:val="24"/>
          <w:szCs w:val="24"/>
        </w:rPr>
        <w:t>±</w:t>
      </w:r>
      <w:r w:rsidR="006624D4" w:rsidRPr="00695061">
        <w:rPr>
          <w:sz w:val="24"/>
          <w:szCs w:val="24"/>
        </w:rPr>
        <w:t>1.</w:t>
      </w:r>
      <w:r w:rsidR="001F56C0" w:rsidRPr="00695061">
        <w:rPr>
          <w:sz w:val="24"/>
          <w:szCs w:val="24"/>
        </w:rPr>
        <w:t>5</w:t>
      </w:r>
      <w:r w:rsidR="00997812" w:rsidRPr="00695061">
        <w:rPr>
          <w:sz w:val="24"/>
          <w:szCs w:val="24"/>
        </w:rPr>
        <w:t xml:space="preserve"> </w:t>
      </w:r>
      <w:r w:rsidR="006624D4" w:rsidRPr="00695061">
        <w:rPr>
          <w:rFonts w:cstheme="minorHAnsi"/>
          <w:sz w:val="24"/>
          <w:szCs w:val="24"/>
        </w:rPr>
        <w:t>µ</w:t>
      </w:r>
      <w:r w:rsidR="006624D4" w:rsidRPr="00695061">
        <w:rPr>
          <w:sz w:val="24"/>
          <w:szCs w:val="24"/>
        </w:rPr>
        <w:t>M</w:t>
      </w:r>
      <w:r w:rsidR="002D38E4" w:rsidRPr="00695061">
        <w:rPr>
          <w:sz w:val="24"/>
          <w:szCs w:val="24"/>
        </w:rPr>
        <w:t xml:space="preserve"> </w:t>
      </w:r>
      <w:r w:rsidR="00E51DF3" w:rsidRPr="00695061">
        <w:rPr>
          <w:sz w:val="24"/>
          <w:szCs w:val="24"/>
        </w:rPr>
        <w:t>(p=0.029)</w:t>
      </w:r>
      <w:r w:rsidR="002D38E4" w:rsidRPr="00695061">
        <w:rPr>
          <w:sz w:val="24"/>
          <w:szCs w:val="24"/>
        </w:rPr>
        <w:t>.</w:t>
      </w:r>
      <w:r w:rsidR="001F56C0" w:rsidRPr="00695061">
        <w:rPr>
          <w:sz w:val="24"/>
          <w:szCs w:val="24"/>
        </w:rPr>
        <w:t xml:space="preserve"> </w:t>
      </w:r>
      <w:r w:rsidR="006F7E0C" w:rsidRPr="00695061">
        <w:rPr>
          <w:sz w:val="24"/>
          <w:szCs w:val="24"/>
        </w:rPr>
        <w:t xml:space="preserve">Table 3 </w:t>
      </w:r>
      <w:r w:rsidR="001F56C0" w:rsidRPr="00695061">
        <w:rPr>
          <w:sz w:val="24"/>
          <w:szCs w:val="24"/>
        </w:rPr>
        <w:t xml:space="preserve">shows that </w:t>
      </w:r>
      <w:r w:rsidR="006F5F2E" w:rsidRPr="00695061">
        <w:rPr>
          <w:sz w:val="24"/>
          <w:szCs w:val="24"/>
        </w:rPr>
        <w:t xml:space="preserve">the observed inhibition was greater than predicted inhibition </w:t>
      </w:r>
      <w:r w:rsidR="00596D61" w:rsidRPr="00695061">
        <w:rPr>
          <w:sz w:val="24"/>
          <w:szCs w:val="24"/>
        </w:rPr>
        <w:t xml:space="preserve">at all concentrations of vardenafil below 100 </w:t>
      </w:r>
      <w:r w:rsidR="00596D61" w:rsidRPr="00695061">
        <w:rPr>
          <w:rFonts w:cstheme="minorHAnsi"/>
          <w:sz w:val="24"/>
          <w:szCs w:val="24"/>
        </w:rPr>
        <w:t>µ</w:t>
      </w:r>
      <w:r w:rsidR="00596D61" w:rsidRPr="00695061">
        <w:rPr>
          <w:sz w:val="24"/>
          <w:szCs w:val="24"/>
        </w:rPr>
        <w:t>M when</w:t>
      </w:r>
      <w:r w:rsidR="00756E41" w:rsidRPr="00695061">
        <w:rPr>
          <w:sz w:val="24"/>
          <w:szCs w:val="24"/>
        </w:rPr>
        <w:t xml:space="preserve"> they</w:t>
      </w:r>
      <w:r w:rsidR="00596D61" w:rsidRPr="00695061">
        <w:rPr>
          <w:sz w:val="24"/>
          <w:szCs w:val="24"/>
        </w:rPr>
        <w:t xml:space="preserve"> were combined with </w:t>
      </w:r>
      <w:r w:rsidR="00756E41" w:rsidRPr="00695061">
        <w:rPr>
          <w:sz w:val="24"/>
          <w:szCs w:val="24"/>
        </w:rPr>
        <w:t xml:space="preserve">1 </w:t>
      </w:r>
      <w:r w:rsidR="00756E41" w:rsidRPr="00695061">
        <w:rPr>
          <w:rFonts w:cstheme="minorHAnsi"/>
          <w:sz w:val="24"/>
          <w:szCs w:val="24"/>
        </w:rPr>
        <w:t>µ</w:t>
      </w:r>
      <w:r w:rsidR="00756E41" w:rsidRPr="00695061">
        <w:rPr>
          <w:sz w:val="24"/>
          <w:szCs w:val="24"/>
        </w:rPr>
        <w:t xml:space="preserve">M tamoxifen. </w:t>
      </w:r>
      <w:r w:rsidR="00545DFA" w:rsidRPr="00695061">
        <w:rPr>
          <w:sz w:val="24"/>
          <w:szCs w:val="24"/>
        </w:rPr>
        <w:t xml:space="preserve">The synergistic interaction was confirmed with a log alpha value of 8 (confidence interval </w:t>
      </w:r>
      <w:r w:rsidR="005E485A" w:rsidRPr="00695061">
        <w:rPr>
          <w:sz w:val="24"/>
          <w:szCs w:val="24"/>
        </w:rPr>
        <w:t xml:space="preserve">0 and 7.99). </w:t>
      </w:r>
    </w:p>
    <w:p w14:paraId="1C316228" w14:textId="0125483F" w:rsidR="00DC1457" w:rsidRPr="00695061" w:rsidRDefault="00DC1457" w:rsidP="00E55D55">
      <w:pPr>
        <w:jc w:val="both"/>
        <w:rPr>
          <w:sz w:val="24"/>
          <w:szCs w:val="24"/>
        </w:rPr>
      </w:pPr>
    </w:p>
    <w:p w14:paraId="0E5141BA" w14:textId="5E532FD2" w:rsidR="00DC1457" w:rsidRPr="00695061" w:rsidRDefault="00DC1457" w:rsidP="00E55D55">
      <w:pPr>
        <w:jc w:val="both"/>
        <w:rPr>
          <w:sz w:val="24"/>
          <w:szCs w:val="24"/>
        </w:rPr>
      </w:pPr>
    </w:p>
    <w:p w14:paraId="385E79EC" w14:textId="1B7820D0" w:rsidR="00DC1457" w:rsidRPr="00695061" w:rsidRDefault="00DC1457" w:rsidP="00E55D55">
      <w:pPr>
        <w:jc w:val="both"/>
        <w:rPr>
          <w:sz w:val="24"/>
          <w:szCs w:val="24"/>
        </w:rPr>
      </w:pPr>
    </w:p>
    <w:p w14:paraId="6A8F8960" w14:textId="1F962276" w:rsidR="00DC1457" w:rsidRPr="00695061" w:rsidRDefault="00DC1457" w:rsidP="00E55D55">
      <w:pPr>
        <w:jc w:val="both"/>
        <w:rPr>
          <w:sz w:val="24"/>
          <w:szCs w:val="24"/>
        </w:rPr>
      </w:pPr>
    </w:p>
    <w:p w14:paraId="5DB4C2A3" w14:textId="7A9BC2C6" w:rsidR="00DC1457" w:rsidRPr="00695061" w:rsidRDefault="00DC1457" w:rsidP="00E55D55">
      <w:pPr>
        <w:jc w:val="both"/>
        <w:rPr>
          <w:sz w:val="24"/>
          <w:szCs w:val="24"/>
        </w:rPr>
      </w:pPr>
    </w:p>
    <w:p w14:paraId="448C24C9" w14:textId="4F6BFA6D" w:rsidR="00DC1457" w:rsidRPr="00695061" w:rsidRDefault="00DC1457" w:rsidP="00E55D55">
      <w:pPr>
        <w:jc w:val="both"/>
        <w:rPr>
          <w:sz w:val="24"/>
          <w:szCs w:val="24"/>
        </w:rPr>
      </w:pPr>
    </w:p>
    <w:p w14:paraId="7C730568" w14:textId="77777777" w:rsidR="00DC1457" w:rsidRPr="00695061" w:rsidRDefault="00DC1457" w:rsidP="00E55D55">
      <w:pPr>
        <w:jc w:val="both"/>
        <w:rPr>
          <w:sz w:val="24"/>
          <w:szCs w:val="24"/>
        </w:rPr>
      </w:pPr>
    </w:p>
    <w:p w14:paraId="67B42FEB" w14:textId="069F2E7B" w:rsidR="00F762CF" w:rsidRPr="00695061" w:rsidRDefault="00F762CF" w:rsidP="00E55D55">
      <w:pPr>
        <w:jc w:val="both"/>
        <w:rPr>
          <w:sz w:val="24"/>
          <w:szCs w:val="24"/>
        </w:rPr>
      </w:pPr>
    </w:p>
    <w:p w14:paraId="23C6CB93" w14:textId="408282DA" w:rsidR="00F762CF" w:rsidRPr="00695061" w:rsidRDefault="004A2A15" w:rsidP="00B453B7">
      <w:pPr>
        <w:jc w:val="both"/>
        <w:rPr>
          <w:b/>
          <w:bCs/>
          <w:sz w:val="24"/>
          <w:szCs w:val="24"/>
        </w:rPr>
      </w:pPr>
      <w:r w:rsidRPr="00695061">
        <w:rPr>
          <w:b/>
          <w:bCs/>
          <w:sz w:val="24"/>
          <w:szCs w:val="24"/>
        </w:rPr>
        <w:t>Statin-PDE5i-SERM-combination mostly not synergistic</w:t>
      </w:r>
    </w:p>
    <w:p w14:paraId="5849D832" w14:textId="238C788A" w:rsidR="00E36F70" w:rsidRPr="00695061" w:rsidRDefault="002D0227" w:rsidP="00B453B7">
      <w:pPr>
        <w:jc w:val="both"/>
        <w:rPr>
          <w:sz w:val="24"/>
          <w:szCs w:val="24"/>
        </w:rPr>
      </w:pPr>
      <w:r w:rsidRPr="00695061">
        <w:rPr>
          <w:sz w:val="24"/>
          <w:szCs w:val="24"/>
        </w:rPr>
        <w:t>To further investigate</w:t>
      </w:r>
      <w:r w:rsidR="00E36F70" w:rsidRPr="00695061">
        <w:rPr>
          <w:sz w:val="24"/>
          <w:szCs w:val="24"/>
        </w:rPr>
        <w:t xml:space="preserve"> the effects of </w:t>
      </w:r>
      <w:r w:rsidR="00126055" w:rsidRPr="00695061">
        <w:rPr>
          <w:sz w:val="24"/>
          <w:szCs w:val="24"/>
        </w:rPr>
        <w:t xml:space="preserve">the interplay between the </w:t>
      </w:r>
      <w:r w:rsidR="00756E41" w:rsidRPr="00695061">
        <w:rPr>
          <w:sz w:val="24"/>
          <w:szCs w:val="24"/>
        </w:rPr>
        <w:t xml:space="preserve">three </w:t>
      </w:r>
      <w:r w:rsidR="00126055" w:rsidRPr="00695061">
        <w:rPr>
          <w:sz w:val="24"/>
          <w:szCs w:val="24"/>
        </w:rPr>
        <w:t>drug classes</w:t>
      </w:r>
      <w:r w:rsidR="00E36F70" w:rsidRPr="00695061">
        <w:rPr>
          <w:sz w:val="24"/>
          <w:szCs w:val="24"/>
        </w:rPr>
        <w:t>, a triple combination of statin, PDE5i and SERM was investigated</w:t>
      </w:r>
      <w:r w:rsidR="001159B0" w:rsidRPr="00695061">
        <w:rPr>
          <w:sz w:val="24"/>
          <w:szCs w:val="24"/>
        </w:rPr>
        <w:t xml:space="preserve">. </w:t>
      </w:r>
      <w:r w:rsidR="00CC0902" w:rsidRPr="00695061">
        <w:rPr>
          <w:sz w:val="24"/>
          <w:szCs w:val="24"/>
        </w:rPr>
        <w:t xml:space="preserve">The data on the triple combination is summarized in Figure </w:t>
      </w:r>
      <w:r w:rsidR="000713A3" w:rsidRPr="00695061">
        <w:rPr>
          <w:sz w:val="24"/>
          <w:szCs w:val="24"/>
        </w:rPr>
        <w:t>2</w:t>
      </w:r>
      <w:r w:rsidR="006430BE" w:rsidRPr="00695061">
        <w:rPr>
          <w:sz w:val="24"/>
          <w:szCs w:val="24"/>
        </w:rPr>
        <w:t>D</w:t>
      </w:r>
      <w:r w:rsidR="00CC0902" w:rsidRPr="00695061">
        <w:rPr>
          <w:sz w:val="24"/>
          <w:szCs w:val="24"/>
        </w:rPr>
        <w:t xml:space="preserve">. </w:t>
      </w:r>
      <w:r w:rsidR="0019550E" w:rsidRPr="00695061">
        <w:rPr>
          <w:sz w:val="24"/>
          <w:szCs w:val="24"/>
        </w:rPr>
        <w:t xml:space="preserve">A concentration response curve to </w:t>
      </w:r>
      <w:r w:rsidR="00C35C5C" w:rsidRPr="00695061">
        <w:rPr>
          <w:sz w:val="24"/>
          <w:szCs w:val="24"/>
        </w:rPr>
        <w:t xml:space="preserve">vardenafil (0.1-300 </w:t>
      </w:r>
      <w:r w:rsidR="00C35C5C" w:rsidRPr="00695061">
        <w:rPr>
          <w:rFonts w:cstheme="minorHAnsi"/>
          <w:sz w:val="24"/>
          <w:szCs w:val="24"/>
        </w:rPr>
        <w:t>µ</w:t>
      </w:r>
      <w:r w:rsidR="00C35C5C" w:rsidRPr="00695061">
        <w:rPr>
          <w:sz w:val="24"/>
          <w:szCs w:val="24"/>
        </w:rPr>
        <w:t xml:space="preserve">M) was constructed in the presence of </w:t>
      </w:r>
      <w:r w:rsidR="00CC0902" w:rsidRPr="00695061">
        <w:rPr>
          <w:sz w:val="24"/>
          <w:szCs w:val="24"/>
        </w:rPr>
        <w:t xml:space="preserve">1 </w:t>
      </w:r>
      <w:r w:rsidR="00C20969" w:rsidRPr="00695061">
        <w:rPr>
          <w:rFonts w:cstheme="minorHAnsi"/>
          <w:sz w:val="24"/>
          <w:szCs w:val="24"/>
        </w:rPr>
        <w:t>µ</w:t>
      </w:r>
      <w:r w:rsidR="00C20969" w:rsidRPr="00695061">
        <w:rPr>
          <w:sz w:val="24"/>
          <w:szCs w:val="24"/>
        </w:rPr>
        <w:t xml:space="preserve">M tamoxifen and 0.3 </w:t>
      </w:r>
      <w:r w:rsidR="00C20969" w:rsidRPr="00695061">
        <w:rPr>
          <w:rFonts w:cstheme="minorHAnsi"/>
          <w:sz w:val="24"/>
          <w:szCs w:val="24"/>
        </w:rPr>
        <w:t>µ</w:t>
      </w:r>
      <w:r w:rsidR="00C20969" w:rsidRPr="00695061">
        <w:rPr>
          <w:sz w:val="24"/>
          <w:szCs w:val="24"/>
        </w:rPr>
        <w:t>M simvastatin</w:t>
      </w:r>
      <w:r w:rsidR="00380500" w:rsidRPr="00695061">
        <w:rPr>
          <w:sz w:val="24"/>
          <w:szCs w:val="24"/>
        </w:rPr>
        <w:t xml:space="preserve">. </w:t>
      </w:r>
      <w:r w:rsidR="00BB3A5E" w:rsidRPr="00695061">
        <w:rPr>
          <w:sz w:val="24"/>
          <w:szCs w:val="24"/>
        </w:rPr>
        <w:t xml:space="preserve">This curve was shifted downwards and leftward compared to control double </w:t>
      </w:r>
      <w:r w:rsidR="00295BCC" w:rsidRPr="00695061">
        <w:rPr>
          <w:sz w:val="24"/>
          <w:szCs w:val="24"/>
        </w:rPr>
        <w:t>combination</w:t>
      </w:r>
      <w:r w:rsidR="00BB3A5E" w:rsidRPr="00695061">
        <w:rPr>
          <w:sz w:val="24"/>
          <w:szCs w:val="24"/>
        </w:rPr>
        <w:t xml:space="preserve"> curve (</w:t>
      </w:r>
      <w:r w:rsidR="00E51DF3" w:rsidRPr="00695061">
        <w:rPr>
          <w:sz w:val="24"/>
          <w:szCs w:val="24"/>
        </w:rPr>
        <w:t>PDE5i plus tamoxifen</w:t>
      </w:r>
      <w:r w:rsidR="00295BCC" w:rsidRPr="00695061">
        <w:rPr>
          <w:sz w:val="24"/>
          <w:szCs w:val="24"/>
        </w:rPr>
        <w:t xml:space="preserve">). </w:t>
      </w:r>
      <w:r w:rsidR="00380500" w:rsidRPr="00695061">
        <w:rPr>
          <w:sz w:val="24"/>
          <w:szCs w:val="24"/>
        </w:rPr>
        <w:t xml:space="preserve"> </w:t>
      </w:r>
      <w:r w:rsidR="007A5071" w:rsidRPr="00695061">
        <w:rPr>
          <w:sz w:val="24"/>
          <w:szCs w:val="24"/>
        </w:rPr>
        <w:t>The IC</w:t>
      </w:r>
      <w:r w:rsidR="007A5071" w:rsidRPr="00695061">
        <w:rPr>
          <w:sz w:val="24"/>
          <w:szCs w:val="24"/>
          <w:vertAlign w:val="subscript"/>
        </w:rPr>
        <w:t>50</w:t>
      </w:r>
      <w:r w:rsidR="007A5071" w:rsidRPr="00695061">
        <w:rPr>
          <w:sz w:val="24"/>
          <w:szCs w:val="24"/>
        </w:rPr>
        <w:t xml:space="preserve"> value </w:t>
      </w:r>
      <w:r w:rsidR="00037183" w:rsidRPr="00695061">
        <w:rPr>
          <w:sz w:val="24"/>
          <w:szCs w:val="24"/>
        </w:rPr>
        <w:t xml:space="preserve">was </w:t>
      </w:r>
      <w:r w:rsidR="007A5071" w:rsidRPr="00695061">
        <w:rPr>
          <w:sz w:val="24"/>
          <w:szCs w:val="24"/>
        </w:rPr>
        <w:t>reduced</w:t>
      </w:r>
      <w:r w:rsidR="002A28B1" w:rsidRPr="00695061">
        <w:rPr>
          <w:sz w:val="24"/>
          <w:szCs w:val="24"/>
        </w:rPr>
        <w:t xml:space="preserve"> from</w:t>
      </w:r>
      <w:r w:rsidR="007A5071" w:rsidRPr="00695061">
        <w:rPr>
          <w:sz w:val="24"/>
          <w:szCs w:val="24"/>
        </w:rPr>
        <w:t xml:space="preserve"> </w:t>
      </w:r>
      <w:r w:rsidR="00E51DF3" w:rsidRPr="00695061">
        <w:rPr>
          <w:sz w:val="24"/>
          <w:szCs w:val="24"/>
        </w:rPr>
        <w:t>8.0</w:t>
      </w:r>
      <w:r w:rsidR="00E51DF3" w:rsidRPr="00695061">
        <w:rPr>
          <w:rFonts w:cstheme="minorHAnsi"/>
          <w:sz w:val="24"/>
          <w:szCs w:val="24"/>
        </w:rPr>
        <w:t>±</w:t>
      </w:r>
      <w:r w:rsidR="00E51DF3" w:rsidRPr="00695061">
        <w:rPr>
          <w:sz w:val="24"/>
          <w:szCs w:val="24"/>
        </w:rPr>
        <w:t xml:space="preserve">1.5 </w:t>
      </w:r>
      <w:r w:rsidR="00E51DF3" w:rsidRPr="00695061">
        <w:rPr>
          <w:rFonts w:cstheme="minorHAnsi"/>
          <w:sz w:val="24"/>
          <w:szCs w:val="24"/>
        </w:rPr>
        <w:t>µ</w:t>
      </w:r>
      <w:r w:rsidR="00E51DF3" w:rsidRPr="00695061">
        <w:rPr>
          <w:sz w:val="24"/>
          <w:szCs w:val="24"/>
        </w:rPr>
        <w:t xml:space="preserve">M </w:t>
      </w:r>
      <w:r w:rsidR="007A5071" w:rsidRPr="00695061">
        <w:rPr>
          <w:sz w:val="24"/>
          <w:szCs w:val="24"/>
        </w:rPr>
        <w:t>to 3</w:t>
      </w:r>
      <w:r w:rsidR="007A5071" w:rsidRPr="00695061">
        <w:rPr>
          <w:rFonts w:cstheme="minorHAnsi"/>
          <w:sz w:val="24"/>
          <w:szCs w:val="24"/>
        </w:rPr>
        <w:t>±</w:t>
      </w:r>
      <w:r w:rsidR="007A5071" w:rsidRPr="00695061">
        <w:rPr>
          <w:sz w:val="24"/>
          <w:szCs w:val="24"/>
        </w:rPr>
        <w:t>1.6</w:t>
      </w:r>
      <w:r w:rsidR="007A5071" w:rsidRPr="00695061">
        <w:rPr>
          <w:rFonts w:cstheme="minorHAnsi"/>
          <w:sz w:val="24"/>
          <w:szCs w:val="24"/>
        </w:rPr>
        <w:t>µ</w:t>
      </w:r>
      <w:r w:rsidR="007A5071" w:rsidRPr="00695061">
        <w:rPr>
          <w:sz w:val="24"/>
          <w:szCs w:val="24"/>
        </w:rPr>
        <w:t>M</w:t>
      </w:r>
      <w:r w:rsidR="00115172" w:rsidRPr="00695061">
        <w:rPr>
          <w:sz w:val="24"/>
          <w:szCs w:val="24"/>
        </w:rPr>
        <w:t xml:space="preserve"> (p=0.0168).</w:t>
      </w:r>
      <w:r w:rsidR="00E51DF3" w:rsidRPr="00695061">
        <w:rPr>
          <w:sz w:val="24"/>
          <w:szCs w:val="24"/>
        </w:rPr>
        <w:t xml:space="preserve"> </w:t>
      </w:r>
      <w:r w:rsidR="00B453B7" w:rsidRPr="00695061">
        <w:rPr>
          <w:sz w:val="24"/>
          <w:szCs w:val="24"/>
        </w:rPr>
        <w:t xml:space="preserve">The statistical analysis is summarized in </w:t>
      </w:r>
      <w:r w:rsidR="00115172" w:rsidRPr="00695061">
        <w:rPr>
          <w:sz w:val="24"/>
          <w:szCs w:val="24"/>
        </w:rPr>
        <w:t>Table 4</w:t>
      </w:r>
      <w:r w:rsidR="008E7F77" w:rsidRPr="00695061">
        <w:rPr>
          <w:sz w:val="24"/>
          <w:szCs w:val="24"/>
        </w:rPr>
        <w:t xml:space="preserve">. </w:t>
      </w:r>
      <w:r w:rsidR="00B453B7" w:rsidRPr="00695061">
        <w:rPr>
          <w:sz w:val="24"/>
          <w:szCs w:val="24"/>
        </w:rPr>
        <w:t xml:space="preserve">When the </w:t>
      </w:r>
      <w:r w:rsidR="008E7F77" w:rsidRPr="00695061">
        <w:rPr>
          <w:sz w:val="24"/>
          <w:szCs w:val="24"/>
        </w:rPr>
        <w:t xml:space="preserve">predicted effect of the triple combination </w:t>
      </w:r>
      <w:r w:rsidR="007F5CDD" w:rsidRPr="00695061">
        <w:rPr>
          <w:sz w:val="24"/>
          <w:szCs w:val="24"/>
        </w:rPr>
        <w:t xml:space="preserve">was compared </w:t>
      </w:r>
      <w:r w:rsidR="008E7F77" w:rsidRPr="00695061">
        <w:rPr>
          <w:sz w:val="24"/>
          <w:szCs w:val="24"/>
        </w:rPr>
        <w:t xml:space="preserve">with the observed effect of the triple combination, </w:t>
      </w:r>
      <w:r w:rsidR="008E5B84" w:rsidRPr="00695061">
        <w:rPr>
          <w:sz w:val="24"/>
          <w:szCs w:val="24"/>
        </w:rPr>
        <w:t xml:space="preserve">the only significant difference was observed at 10 </w:t>
      </w:r>
      <w:r w:rsidR="008E5B84" w:rsidRPr="00695061">
        <w:rPr>
          <w:rFonts w:cstheme="minorHAnsi"/>
          <w:sz w:val="24"/>
          <w:szCs w:val="24"/>
        </w:rPr>
        <w:t>µ</w:t>
      </w:r>
      <w:r w:rsidR="008E5B84" w:rsidRPr="00695061">
        <w:rPr>
          <w:sz w:val="24"/>
          <w:szCs w:val="24"/>
        </w:rPr>
        <w:t xml:space="preserve">M vardenafil with 1 </w:t>
      </w:r>
      <w:r w:rsidR="008E5B84" w:rsidRPr="00695061">
        <w:rPr>
          <w:rFonts w:cstheme="minorHAnsi"/>
          <w:sz w:val="24"/>
          <w:szCs w:val="24"/>
        </w:rPr>
        <w:t>µ</w:t>
      </w:r>
      <w:r w:rsidR="008E5B84" w:rsidRPr="00695061">
        <w:rPr>
          <w:sz w:val="24"/>
          <w:szCs w:val="24"/>
        </w:rPr>
        <w:t xml:space="preserve">M tamoxifen and 0.3 </w:t>
      </w:r>
      <w:r w:rsidR="008E5B84" w:rsidRPr="00695061">
        <w:rPr>
          <w:rFonts w:cstheme="minorHAnsi"/>
          <w:sz w:val="24"/>
          <w:szCs w:val="24"/>
        </w:rPr>
        <w:t>µ</w:t>
      </w:r>
      <w:r w:rsidR="008E5B84" w:rsidRPr="00695061">
        <w:rPr>
          <w:sz w:val="24"/>
          <w:szCs w:val="24"/>
        </w:rPr>
        <w:t>M simvastatin</w:t>
      </w:r>
      <w:r w:rsidR="00094684" w:rsidRPr="00695061">
        <w:rPr>
          <w:sz w:val="24"/>
          <w:szCs w:val="24"/>
        </w:rPr>
        <w:t xml:space="preserve"> (p=0.0274). </w:t>
      </w:r>
      <w:r w:rsidR="00133321" w:rsidRPr="00695061">
        <w:rPr>
          <w:sz w:val="24"/>
          <w:szCs w:val="24"/>
        </w:rPr>
        <w:t xml:space="preserve">When comparing </w:t>
      </w:r>
      <w:r w:rsidR="006A09B4" w:rsidRPr="00695061">
        <w:rPr>
          <w:sz w:val="24"/>
          <w:szCs w:val="24"/>
        </w:rPr>
        <w:t>the observed double combination (vardenafil and tamoxifen) with the observed triple combination (vardenafil, tamoxifen, simvastatin)</w:t>
      </w:r>
      <w:r w:rsidR="00CA363D" w:rsidRPr="00695061">
        <w:rPr>
          <w:sz w:val="24"/>
          <w:szCs w:val="24"/>
        </w:rPr>
        <w:t xml:space="preserve"> the</w:t>
      </w:r>
      <w:r w:rsidR="00760396" w:rsidRPr="00695061">
        <w:rPr>
          <w:sz w:val="24"/>
          <w:szCs w:val="24"/>
        </w:rPr>
        <w:t xml:space="preserve"> </w:t>
      </w:r>
      <w:r w:rsidR="00CA363D" w:rsidRPr="00695061">
        <w:rPr>
          <w:sz w:val="24"/>
          <w:szCs w:val="24"/>
        </w:rPr>
        <w:t>triple combination showed significantly higher inhibition at ranges b</w:t>
      </w:r>
      <w:r w:rsidR="00760396" w:rsidRPr="00695061">
        <w:rPr>
          <w:sz w:val="24"/>
          <w:szCs w:val="24"/>
        </w:rPr>
        <w:t xml:space="preserve">etween 0.3 to 10 </w:t>
      </w:r>
      <w:r w:rsidR="00760396" w:rsidRPr="00695061">
        <w:rPr>
          <w:rFonts w:cstheme="minorHAnsi"/>
          <w:sz w:val="24"/>
          <w:szCs w:val="24"/>
        </w:rPr>
        <w:t>µ</w:t>
      </w:r>
      <w:r w:rsidR="00760396" w:rsidRPr="00695061">
        <w:rPr>
          <w:sz w:val="24"/>
          <w:szCs w:val="24"/>
        </w:rPr>
        <w:t>M of vardenafil, suggesting an additive effect</w:t>
      </w:r>
      <w:r w:rsidR="00F62068" w:rsidRPr="00695061">
        <w:rPr>
          <w:sz w:val="24"/>
          <w:szCs w:val="24"/>
        </w:rPr>
        <w:t xml:space="preserve"> in these ranges.</w:t>
      </w:r>
      <w:r w:rsidR="00702D42" w:rsidRPr="00695061">
        <w:rPr>
          <w:sz w:val="24"/>
          <w:szCs w:val="24"/>
        </w:rPr>
        <w:t xml:space="preserve"> Log alpha value could not be calculated in these triple drug experiments since th</w:t>
      </w:r>
      <w:r w:rsidR="003F552B" w:rsidRPr="00695061">
        <w:rPr>
          <w:sz w:val="24"/>
          <w:szCs w:val="24"/>
        </w:rPr>
        <w:t>is</w:t>
      </w:r>
      <w:r w:rsidR="00702D42" w:rsidRPr="00695061">
        <w:rPr>
          <w:sz w:val="24"/>
          <w:szCs w:val="24"/>
        </w:rPr>
        <w:t xml:space="preserve"> algo</w:t>
      </w:r>
      <w:r w:rsidR="00AF2890" w:rsidRPr="00695061">
        <w:rPr>
          <w:sz w:val="24"/>
          <w:szCs w:val="24"/>
        </w:rPr>
        <w:t>rithm can calculate potency of synergy between two drugs only.</w:t>
      </w:r>
    </w:p>
    <w:p w14:paraId="7E896287" w14:textId="23F18D6D" w:rsidR="004A2A15" w:rsidRPr="00695061" w:rsidRDefault="004A2A15" w:rsidP="008153F1">
      <w:pPr>
        <w:rPr>
          <w:sz w:val="24"/>
          <w:szCs w:val="24"/>
        </w:rPr>
      </w:pPr>
    </w:p>
    <w:p w14:paraId="04CB5555" w14:textId="07956357" w:rsidR="00DC1457" w:rsidRPr="00695061" w:rsidRDefault="00DC1457" w:rsidP="008153F1">
      <w:pPr>
        <w:rPr>
          <w:sz w:val="24"/>
          <w:szCs w:val="24"/>
        </w:rPr>
      </w:pPr>
    </w:p>
    <w:p w14:paraId="0910C2B2" w14:textId="77777777" w:rsidR="00DC1457" w:rsidRPr="00695061" w:rsidRDefault="00DC1457" w:rsidP="008153F1">
      <w:pPr>
        <w:rPr>
          <w:sz w:val="24"/>
          <w:szCs w:val="24"/>
        </w:rPr>
      </w:pPr>
    </w:p>
    <w:p w14:paraId="2B1B92C2" w14:textId="77777777" w:rsidR="00AA6BAA" w:rsidRPr="00695061" w:rsidRDefault="00AA6BAA" w:rsidP="00E55D55">
      <w:pPr>
        <w:jc w:val="both"/>
        <w:rPr>
          <w:b/>
          <w:bCs/>
          <w:sz w:val="24"/>
          <w:szCs w:val="24"/>
        </w:rPr>
      </w:pPr>
    </w:p>
    <w:p w14:paraId="539D79DB" w14:textId="2EEE6017" w:rsidR="00154963" w:rsidRPr="00695061" w:rsidRDefault="00154963" w:rsidP="00E55D55">
      <w:pPr>
        <w:jc w:val="both"/>
        <w:rPr>
          <w:b/>
          <w:bCs/>
          <w:sz w:val="28"/>
          <w:szCs w:val="28"/>
        </w:rPr>
      </w:pPr>
      <w:r w:rsidRPr="00695061">
        <w:rPr>
          <w:b/>
          <w:bCs/>
          <w:sz w:val="28"/>
          <w:szCs w:val="28"/>
        </w:rPr>
        <w:t>Discussion:</w:t>
      </w:r>
    </w:p>
    <w:p w14:paraId="33AA5BA6" w14:textId="64C46B5D" w:rsidR="00393BA5" w:rsidRPr="00695061" w:rsidRDefault="006757A6" w:rsidP="00024FCE">
      <w:pPr>
        <w:jc w:val="both"/>
        <w:rPr>
          <w:sz w:val="24"/>
          <w:szCs w:val="24"/>
        </w:rPr>
      </w:pPr>
      <w:r w:rsidRPr="00695061">
        <w:rPr>
          <w:sz w:val="24"/>
          <w:szCs w:val="24"/>
        </w:rPr>
        <w:lastRenderedPageBreak/>
        <w:t>With the aim of finding new therapeutics for PD, w</w:t>
      </w:r>
      <w:r w:rsidR="00605331" w:rsidRPr="00695061">
        <w:rPr>
          <w:sz w:val="24"/>
          <w:szCs w:val="24"/>
        </w:rPr>
        <w:t>e developed a phenotypic screening assay which measures the transformation of TA</w:t>
      </w:r>
      <w:r w:rsidRPr="00695061">
        <w:rPr>
          <w:sz w:val="24"/>
          <w:szCs w:val="24"/>
        </w:rPr>
        <w:t>-</w:t>
      </w:r>
      <w:r w:rsidR="00605331" w:rsidRPr="00695061">
        <w:rPr>
          <w:sz w:val="24"/>
          <w:szCs w:val="24"/>
        </w:rPr>
        <w:t>derived</w:t>
      </w:r>
      <w:r w:rsidRPr="00695061">
        <w:rPr>
          <w:sz w:val="24"/>
          <w:szCs w:val="24"/>
        </w:rPr>
        <w:t xml:space="preserve"> fibroblasts to myofibroblasts in response to TGF-</w:t>
      </w:r>
      <w:proofErr w:type="gramStart"/>
      <w:r w:rsidRPr="00695061">
        <w:rPr>
          <w:sz w:val="24"/>
          <w:szCs w:val="24"/>
        </w:rPr>
        <w:t>β1</w:t>
      </w:r>
      <w:r w:rsidR="002002DD" w:rsidRPr="00695061">
        <w:rPr>
          <w:sz w:val="24"/>
          <w:szCs w:val="24"/>
        </w:rPr>
        <w:t>;</w:t>
      </w:r>
      <w:proofErr w:type="gramEnd"/>
      <w:r w:rsidR="002002DD" w:rsidRPr="00695061">
        <w:rPr>
          <w:sz w:val="24"/>
          <w:szCs w:val="24"/>
        </w:rPr>
        <w:t xml:space="preserve"> the key pro-fibrotic cytokine in PD pathophysiology. Using this </w:t>
      </w:r>
      <w:r w:rsidR="00305FFF" w:rsidRPr="00695061">
        <w:rPr>
          <w:sz w:val="24"/>
          <w:szCs w:val="24"/>
        </w:rPr>
        <w:t>assay,</w:t>
      </w:r>
      <w:r w:rsidR="002002DD" w:rsidRPr="00695061">
        <w:rPr>
          <w:sz w:val="24"/>
          <w:szCs w:val="24"/>
        </w:rPr>
        <w:t xml:space="preserve"> we ran several screening campaigns including 1,954 FDA-approved drugs</w:t>
      </w:r>
      <w:r w:rsidR="00605331" w:rsidRPr="00695061">
        <w:rPr>
          <w:sz w:val="24"/>
          <w:szCs w:val="24"/>
        </w:rPr>
        <w:t xml:space="preserve"> </w:t>
      </w:r>
      <w:r w:rsidR="00666796" w:rsidRPr="00695061">
        <w:rPr>
          <w:sz w:val="24"/>
          <w:szCs w:val="24"/>
        </w:rPr>
        <w:t xml:space="preserve">which revealed PDE5i and SERM as hits. When </w:t>
      </w:r>
      <w:r w:rsidR="00AE2660" w:rsidRPr="00695061">
        <w:rPr>
          <w:sz w:val="24"/>
          <w:szCs w:val="24"/>
        </w:rPr>
        <w:t>these</w:t>
      </w:r>
      <w:r w:rsidR="00666796" w:rsidRPr="00695061">
        <w:rPr>
          <w:sz w:val="24"/>
          <w:szCs w:val="24"/>
        </w:rPr>
        <w:t xml:space="preserve"> two classes were tested </w:t>
      </w:r>
      <w:r w:rsidR="00AE2660" w:rsidRPr="00695061">
        <w:rPr>
          <w:sz w:val="24"/>
          <w:szCs w:val="24"/>
        </w:rPr>
        <w:t>simultaneously</w:t>
      </w:r>
      <w:r w:rsidR="00666796" w:rsidRPr="00695061">
        <w:rPr>
          <w:sz w:val="24"/>
          <w:szCs w:val="24"/>
        </w:rPr>
        <w:t>, we observed a synergy</w:t>
      </w:r>
      <w:r w:rsidR="00C762F0" w:rsidRPr="00695061">
        <w:rPr>
          <w:sz w:val="24"/>
          <w:szCs w:val="24"/>
        </w:rPr>
        <w:t xml:space="preserve"> both </w:t>
      </w:r>
      <w:r w:rsidR="00C762F0" w:rsidRPr="00695061">
        <w:rPr>
          <w:i/>
          <w:iCs/>
          <w:sz w:val="24"/>
          <w:szCs w:val="24"/>
        </w:rPr>
        <w:t>in vitro</w:t>
      </w:r>
      <w:r w:rsidR="00C762F0" w:rsidRPr="00695061">
        <w:rPr>
          <w:sz w:val="24"/>
          <w:szCs w:val="24"/>
        </w:rPr>
        <w:t xml:space="preserve"> and </w:t>
      </w:r>
      <w:r w:rsidR="00C762F0" w:rsidRPr="00695061">
        <w:rPr>
          <w:i/>
          <w:iCs/>
          <w:sz w:val="24"/>
          <w:szCs w:val="24"/>
        </w:rPr>
        <w:t xml:space="preserve">in vivo </w:t>
      </w:r>
      <w:r w:rsidR="00C762F0" w:rsidRPr="00695061">
        <w:rPr>
          <w:sz w:val="24"/>
          <w:szCs w:val="24"/>
        </w:rPr>
        <w:t xml:space="preserve">animal model </w:t>
      </w:r>
      <w:r w:rsidR="00D61ADB" w:rsidRPr="00695061">
        <w:rPr>
          <w:sz w:val="24"/>
          <w:szCs w:val="24"/>
        </w:rPr>
        <w:fldChar w:fldCharType="begin" w:fldLock="1"/>
      </w:r>
      <w:r w:rsidR="00813D10" w:rsidRPr="00695061">
        <w:rPr>
          <w:sz w:val="24"/>
          <w:szCs w:val="24"/>
        </w:rPr>
        <w:instrText>ADDIN CSL_CITATION {"citationItems":[{"id":"ITEM-1","itemData":{"DOI":"10.1016/j.eururo.2018.10.014","ISSN":"18737560","abstract":"Background: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Urology","id":"ITEM-1","issue":"2","issued":{"date-parts":[["2019"]]},"page":"329-340","title":"Antifibrotic Synergy Between Phosphodiesterase Type 5 Inhibitors and Selective Oestrogen Receptor Modulators in Peyronie's Disease Models","type":"article-journal","volume":"75"},"uris":["http://www.mendeley.com/documents/?uuid=bff5c9d0-a461-3882-bd6b-be96b76e6abb"]}],"mendeley":{"formattedCitation":"[16]","plainTextFormattedCitation":"[16]","previouslyFormattedCitation":"[16]"},"properties":{"noteIndex":0},"schema":"https://github.com/citation-style-language/schema/raw/master/csl-citation.json"}</w:instrText>
      </w:r>
      <w:r w:rsidR="00D61ADB" w:rsidRPr="00695061">
        <w:rPr>
          <w:sz w:val="24"/>
          <w:szCs w:val="24"/>
        </w:rPr>
        <w:fldChar w:fldCharType="separate"/>
      </w:r>
      <w:r w:rsidR="00813D10" w:rsidRPr="00695061">
        <w:rPr>
          <w:noProof/>
          <w:sz w:val="24"/>
          <w:szCs w:val="24"/>
        </w:rPr>
        <w:t>[16]</w:t>
      </w:r>
      <w:r w:rsidR="00D61ADB" w:rsidRPr="00695061">
        <w:rPr>
          <w:sz w:val="24"/>
          <w:szCs w:val="24"/>
        </w:rPr>
        <w:fldChar w:fldCharType="end"/>
      </w:r>
      <w:r w:rsidR="00AE2660" w:rsidRPr="00695061">
        <w:rPr>
          <w:sz w:val="24"/>
          <w:szCs w:val="24"/>
        </w:rPr>
        <w:t>.</w:t>
      </w:r>
      <w:r w:rsidR="00B2035B" w:rsidRPr="00695061">
        <w:rPr>
          <w:sz w:val="24"/>
          <w:szCs w:val="24"/>
        </w:rPr>
        <w:t xml:space="preserve"> We </w:t>
      </w:r>
      <w:r w:rsidR="00583D7C" w:rsidRPr="00695061">
        <w:rPr>
          <w:sz w:val="24"/>
          <w:szCs w:val="24"/>
        </w:rPr>
        <w:t>then</w:t>
      </w:r>
      <w:r w:rsidR="00B2035B" w:rsidRPr="00695061">
        <w:rPr>
          <w:sz w:val="24"/>
          <w:szCs w:val="24"/>
        </w:rPr>
        <w:t xml:space="preserve"> retrospectively analysed the clinical effect of a combination of tamoxifen and PDE5i </w:t>
      </w:r>
      <w:r w:rsidR="00583D7C" w:rsidRPr="00695061">
        <w:rPr>
          <w:sz w:val="24"/>
          <w:szCs w:val="24"/>
        </w:rPr>
        <w:t>in men presenting with acute PD</w:t>
      </w:r>
      <w:r w:rsidR="00D804D2" w:rsidRPr="00695061">
        <w:rPr>
          <w:sz w:val="24"/>
          <w:szCs w:val="24"/>
        </w:rPr>
        <w:t xml:space="preserve">. </w:t>
      </w:r>
      <w:r w:rsidR="00B2035B" w:rsidRPr="00695061">
        <w:rPr>
          <w:sz w:val="24"/>
          <w:szCs w:val="24"/>
        </w:rPr>
        <w:t xml:space="preserve">The initial results </w:t>
      </w:r>
      <w:r w:rsidR="00D804D2" w:rsidRPr="00695061">
        <w:rPr>
          <w:sz w:val="24"/>
          <w:szCs w:val="24"/>
        </w:rPr>
        <w:t>suggest that</w:t>
      </w:r>
      <w:r w:rsidR="00B2035B" w:rsidRPr="00695061">
        <w:rPr>
          <w:sz w:val="24"/>
          <w:szCs w:val="24"/>
        </w:rPr>
        <w:t xml:space="preserve"> the combination treatment was able to slow the progression of the disease in patients with early PD</w:t>
      </w:r>
      <w:r w:rsidR="00D61134" w:rsidRPr="00695061">
        <w:rPr>
          <w:sz w:val="24"/>
          <w:szCs w:val="24"/>
        </w:rPr>
        <w:t xml:space="preserve"> </w:t>
      </w:r>
      <w:r w:rsidR="00D61134" w:rsidRPr="00695061">
        <w:rPr>
          <w:sz w:val="24"/>
          <w:szCs w:val="24"/>
        </w:rPr>
        <w:fldChar w:fldCharType="begin" w:fldLock="1"/>
      </w:r>
      <w:r w:rsidR="007D7BEE" w:rsidRPr="00695061">
        <w:rPr>
          <w:sz w:val="24"/>
          <w:szCs w:val="24"/>
        </w:rPr>
        <w:instrText>ADDIN CSL_CITATION {"citationItems":[{"id":"ITEM-1","itemData":{"author":[{"dropping-particle":"","family":"Matthew Megson","given":"","non-dropping-particle":"","parse-names":false,"suffix":""},{"dropping-particle":"","family":"Christopher Merrett","given":"","non-dropping-particle":"","parse-names":false,"suffix":""},{"dropping-particle":"","family":"Marcus Ilg","given":"","non-dropping-particle":"","parse-names":false,"suffix":""},{"dropping-particle":"","family":"Selim Cellek","given":"","non-dropping-particle":"","parse-names":false,"suffix":""},{"dropping-particle":"","family":"David Ralph","given":"","non-dropping-particle":"","parse-names":false,"suffix":""}],"container-title":"Presented at European Society for Sexual Medicine Annual Congress, 17-19 February 2022. Abstract to be published in Journal of Sexual Medicine. ","id":"ITEM-1","issued":{"date-parts":[["0"]]},"title":"Can tamoxifen and a PDE5 inhibitor slow the progression of Peyronie’s disease?","type":"article-journal"},"uris":["http://www.mendeley.com/documents/?uuid=c830eb75-148d-3624-bb3b-a545bdb9bb13"]}],"mendeley":{"formattedCitation":"[17]","plainTextFormattedCitation":"[17]","previouslyFormattedCitation":"[17]"},"properties":{"noteIndex":0},"schema":"https://github.com/citation-style-language/schema/raw/master/csl-citation.json"}</w:instrText>
      </w:r>
      <w:r w:rsidR="00D61134" w:rsidRPr="00695061">
        <w:rPr>
          <w:sz w:val="24"/>
          <w:szCs w:val="24"/>
        </w:rPr>
        <w:fldChar w:fldCharType="separate"/>
      </w:r>
      <w:r w:rsidR="007D7BEE" w:rsidRPr="00695061">
        <w:rPr>
          <w:noProof/>
          <w:sz w:val="24"/>
          <w:szCs w:val="24"/>
        </w:rPr>
        <w:t>[17]</w:t>
      </w:r>
      <w:r w:rsidR="00D61134" w:rsidRPr="00695061">
        <w:rPr>
          <w:sz w:val="24"/>
          <w:szCs w:val="24"/>
        </w:rPr>
        <w:fldChar w:fldCharType="end"/>
      </w:r>
      <w:r w:rsidR="00B2035B" w:rsidRPr="00695061">
        <w:rPr>
          <w:sz w:val="24"/>
          <w:szCs w:val="24"/>
        </w:rPr>
        <w:t>.</w:t>
      </w:r>
      <w:r w:rsidR="00393BA5" w:rsidRPr="00695061">
        <w:rPr>
          <w:sz w:val="24"/>
          <w:szCs w:val="24"/>
        </w:rPr>
        <w:t xml:space="preserve"> These results suggest that phenotypic assay of myofibroblast transformation is able to detect drugs that can be translated into clinic. </w:t>
      </w:r>
      <w:r w:rsidR="001510D0" w:rsidRPr="00695061">
        <w:rPr>
          <w:sz w:val="24"/>
          <w:szCs w:val="24"/>
        </w:rPr>
        <w:t xml:space="preserve">In the current study, </w:t>
      </w:r>
      <w:r w:rsidR="0048272E" w:rsidRPr="00695061">
        <w:rPr>
          <w:sz w:val="24"/>
          <w:szCs w:val="24"/>
        </w:rPr>
        <w:t xml:space="preserve">we have utilised the same assay which has been validated previously </w:t>
      </w:r>
      <w:r w:rsidR="00D61134" w:rsidRPr="00695061">
        <w:rPr>
          <w:sz w:val="24"/>
          <w:szCs w:val="24"/>
        </w:rPr>
        <w:fldChar w:fldCharType="begin" w:fldLock="1"/>
      </w:r>
      <w:r w:rsidR="00813D10" w:rsidRPr="00695061">
        <w:rPr>
          <w:sz w:val="24"/>
          <w:szCs w:val="24"/>
        </w:rPr>
        <w:instrText>ADDIN CSL_CITATION {"citationItems":[{"id":"ITEM-1","itemData":{"DOI":"10.1016/j.jsxm.2018.05.003","ISSN":"17436109","PMID":"29891411","abstract":"Background: Peyronie's disease (PD) is a chronic fibrotic disease of the penis affecting a significant number of men worldwide without effective medical treatments. Myofibroblasts are pivotal in the pathogenesis of PD. Adenosine and adenosine receptors have been suggested to be involved in the pathophysiology of fibrosis. Aim: To understand the role of adenosine receptors in myofibroblast transformation in PD. Methods: Fibroblasts were isolated from the non-PD tunica albuginea (TA) tissue and PD plaque tissue and were transformed into myofibroblasts using transforming growth factor (TGF)-β1. Quantification of α-smooth muscle actin and adenosine receptors (adenosine receptor A1 [ADORA1], adenosine receptor A2A, adenosine receptor A2B [ADORA2B], and adenosine receptor A3) was performed using immuno-cytochemistry, in-cell enzyme-linked immuno-sorbent assay (ICE), and real-time reverse transcription quantitative polymerase chain reaction. The effect of various adenosine receptor agonists or antagonists on TGF-β1-induced myofibroblast transformation was measured using ICE. Outcomes: Expression of adenosine receptors in myofibroblasts obtained from human TA and the effect of adenosine receptor ligands on myofibroblast transformation were investigated. Results: The experiments showed that the protein and messenger RNA levels of α-smooth muscle actin in non-PD TA cells and PD plaque-derived cells were significantly higher in cells exposed to TGF-β1 than those not treated with TGF-β1. 2 of 4 adenosine receptors (ADORA1 and ADORA2B) were found to be expressed in both cell populations. Among various adenosine receptor agonists/antagonist investigated, only ADORA2B agonist, BAY 60-6583, significantly inhibited myofibroblast transformation in a concentration-dependent manner when applied simultaneously with TGF-β1 (IC 50 = 30 μmol/L). Clinical Translation: ADORA2B agonists may be clinically efficacious in early-stage PD. Strengths &amp; Limitations: The strength of this study is the use of primary fibroblasts from human TA. Limitation of the study is the high concentrations of the ligands used. Conclusion: The effect of an ADORA2B agonist on TGF-β1-induced myofibroblast transformation shows a novel potential therapeutic target for PD if applied during early, non-stable phase of PD. Mateus M, Ilg MM, Stebbeds WJ, et al. Understanding the Role of Adenosine Receptors in the Myofibroblast Transformation in Peyronie's Disease. J Sex Med 2018;15:947–957.","author":[{"dropping-particle":"","family":"Mateus","given":"Marta","non-dropping-particle":"","parse-names":false,"suffix":""},{"dropping-particle":"","family":"Ilg","given":"Marcus M.","non-dropping-particle":"","parse-names":false,"suffix":""},{"dropping-particle":"","family":"Stebbeds","given":"William J.","non-dropping-particle":"","parse-names":false,"suffix":""},{"dropping-particle":"","family":"Christopher","given":"Nim","non-dropping-particle":"","parse-names":false,"suffix":""},{"dropping-particle":"","family":"Muneer","given":"Asif","non-dropping-particle":"","parse-names":false,"suffix":""},{"dropping-particle":"","family":"Ralph","given":"David J.","non-dropping-particle":"","parse-names":false,"suffix":""},{"dropping-particle":"","family":"Cellek","given":"Selim","non-dropping-particle":"","parse-names":false,"suffix":""}],"container-title":"Journal of Sexual Medicine","id":"ITEM-1","issue":"7","issued":{"date-parts":[["2018"]]},"page":"947-957","title":"Understanding the Role of Adenosine Receptors in the Myofibroblast Transformation in Peyronie's Disease","type":"article-journal","volume":"15"},"uris":["http://www.mendeley.com/documents/?uuid=f459540c-50a3-3911-acda-4d6832299e2f"]},{"id":"ITEM-2","itemData":{"DOI":"10.1016/j.eururo.2018.10.014","ISSN":"18737560","abstract":"Background: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Urology","id":"ITEM-2","issue":"2","issued":{"date-parts":[["2019"]]},"page":"329-340","title":"Antifibrotic Synergy Between Phosphodiesterase Type 5 Inhibitors and Selective Oestrogen Receptor Modulators in Peyronie's Disease Models","type":"article-journal","volume":"75"},"uris":["http://www.mendeley.com/documents/?uuid=bff5c9d0-a461-3882-bd6b-be96b76e6abb"]}],"mendeley":{"formattedCitation":"[16,22]","plainTextFormattedCitation":"[16,22]","previouslyFormattedCitation":"[16,22]"},"properties":{"noteIndex":0},"schema":"https://github.com/citation-style-language/schema/raw/master/csl-citation.json"}</w:instrText>
      </w:r>
      <w:r w:rsidR="00D61134" w:rsidRPr="00695061">
        <w:rPr>
          <w:sz w:val="24"/>
          <w:szCs w:val="24"/>
        </w:rPr>
        <w:fldChar w:fldCharType="separate"/>
      </w:r>
      <w:r w:rsidR="00813D10" w:rsidRPr="00695061">
        <w:rPr>
          <w:noProof/>
          <w:sz w:val="24"/>
          <w:szCs w:val="24"/>
        </w:rPr>
        <w:t>[16,22]</w:t>
      </w:r>
      <w:r w:rsidR="00D61134" w:rsidRPr="00695061">
        <w:rPr>
          <w:sz w:val="24"/>
          <w:szCs w:val="24"/>
        </w:rPr>
        <w:fldChar w:fldCharType="end"/>
      </w:r>
      <w:r w:rsidR="004E4220" w:rsidRPr="00695061">
        <w:rPr>
          <w:sz w:val="24"/>
          <w:szCs w:val="24"/>
        </w:rPr>
        <w:t>.</w:t>
      </w:r>
    </w:p>
    <w:p w14:paraId="0AB7BA38" w14:textId="331EAF2C" w:rsidR="00281857" w:rsidRPr="00695061" w:rsidRDefault="00427A28" w:rsidP="00024FCE">
      <w:pPr>
        <w:jc w:val="both"/>
        <w:rPr>
          <w:sz w:val="24"/>
          <w:szCs w:val="24"/>
        </w:rPr>
      </w:pPr>
      <w:r w:rsidRPr="00695061">
        <w:rPr>
          <w:sz w:val="24"/>
          <w:szCs w:val="24"/>
        </w:rPr>
        <w:t xml:space="preserve">Statins have </w:t>
      </w:r>
      <w:r w:rsidR="00CC0D25" w:rsidRPr="00695061">
        <w:rPr>
          <w:sz w:val="24"/>
          <w:szCs w:val="24"/>
        </w:rPr>
        <w:t xml:space="preserve">previously </w:t>
      </w:r>
      <w:r w:rsidRPr="00695061">
        <w:rPr>
          <w:sz w:val="24"/>
          <w:szCs w:val="24"/>
        </w:rPr>
        <w:t>been reported to have anti-fibrotic effects in animal model</w:t>
      </w:r>
      <w:r w:rsidR="005D4967" w:rsidRPr="00695061">
        <w:rPr>
          <w:sz w:val="24"/>
          <w:szCs w:val="24"/>
        </w:rPr>
        <w:t>s</w:t>
      </w:r>
      <w:r w:rsidRPr="00695061">
        <w:rPr>
          <w:sz w:val="24"/>
          <w:szCs w:val="24"/>
        </w:rPr>
        <w:t xml:space="preserve"> of </w:t>
      </w:r>
      <w:r w:rsidR="00A44A7E" w:rsidRPr="00695061">
        <w:rPr>
          <w:sz w:val="24"/>
          <w:szCs w:val="24"/>
        </w:rPr>
        <w:t xml:space="preserve">intestinal fibrosis </w:t>
      </w:r>
      <w:r w:rsidR="009F4A06" w:rsidRPr="00695061">
        <w:rPr>
          <w:sz w:val="24"/>
          <w:szCs w:val="24"/>
        </w:rPr>
        <w:fldChar w:fldCharType="begin" w:fldLock="1"/>
      </w:r>
      <w:r w:rsidR="007D7BEE" w:rsidRPr="00695061">
        <w:rPr>
          <w:sz w:val="24"/>
          <w:szCs w:val="24"/>
        </w:rPr>
        <w:instrText>ADDIN CSL_CITATION {"citationItems":[{"id":"ITEM-1","itemData":{"DOI":"10.1158/1078-0432.CCR-07-0625","ISSN":"10780432","PMID":"17875761","abstract":"Purposes: Intestinal complications after radiotherapy are caused by transmural fibrosis and impair the quality of life of cancer survivors. Radiation fibrosis was considered permanent and irreversible, but recently, its dynamic nature was shown, providing new opportunities for the development of antifibrotic therapies. Among these new targets, we identified the Rho/ROCK pathway and thought to investigate whether pravastatin treatment inhibits Rho pathway activation and elicits an antifibrotic action. Experimental Design: Rho and ROCK activities were monitored in human explants presenting radiation fibrosis remodeling after incubation with pravastatin. Subsequent modulation of CCN2, type I collagen, and fibronectin expression were assessed ex vivo and in intestinal smooth muscle cells derived from radiation enteropathy. Then, the therapeutic relevance of the antifibrotic action of pravastatin was explored in vivo in a rat model of chronic radiation fibrosis (19 Gy X-rays) treated with 30 mg/kg/d pravastatin in the drinking water. Results: The results obtained with human explants show that pravastatin specifically inhibits Rho activity in submucosal mesenchymal cells. Pravastatin also elicits ROCK inhibition, and subsequent CCN2 production in human explants and smooth muscle cells isolated from radiation enteropathy. Inhibition of type I collagen and fibronectin does occur, showing that pravastatin modulates the secretory phenotype of mesenchymal cells. Lastly, curative pravastatin administration improves radiation enteropathy in rats. This structural improvement is associated with decreased deposition of CCN2 and subsequent decreased extracellular matrix deposition. Conclusion: Targeting established fibrosis with pravastatin is an efficient and safe antifibrotic strategy in radiation-induced enteropathy, and is easily transferable into the clinic. © 2007 American Association for Cancer Research.","author":[{"dropping-particle":"","family":"Haydont","given":"Valérie","non-dropping-particle":"","parse-names":false,"suffix":""},{"dropping-particle":"","family":"Bourgier","given":"Céline","non-dropping-particle":"","parse-names":false,"suffix":""},{"dropping-particle":"","family":"Pocard","given":"Marc","non-dropping-particle":"","parse-names":false,"suffix":""},{"dropping-particle":"","family":"Lusinchi","given":"Antoine","non-dropping-particle":"","parse-names":false,"suffix":""},{"dropping-particle":"","family":"Aigueperse","given":"Jocelyne","non-dropping-particle":"","parse-names":false,"suffix":""},{"dropping-particle":"","family":"Mathé","given":"Denis","non-dropping-particle":"","parse-names":false,"suffix":""},{"dropping-particle":"","family":"Bourhis","given":"Jean","non-dropping-particle":"","parse-names":false,"suffix":""},{"dropping-particle":"","family":"Vozenin-Brotons","given":"Marie Catherine","non-dropping-particle":"","parse-names":false,"suffix":""}],"container-title":"Clinical Cancer Research","id":"ITEM-1","issue":"18","issued":{"date-parts":[["2007","9","15"]]},"page":"5331-5340","title":"Pravastatin inhibits the Rho/CCN2/extracellular matrix cascade in human fibrosis explants and improves radiation-induced intestinal fibrosis in rats","type":"article-journal","volume":"13"},"uris":["http://www.mendeley.com/documents/?uuid=34d19e8e-c9b2-3695-979b-3fc7e5d19ae0"]}],"mendeley":{"formattedCitation":"[26]","plainTextFormattedCitation":"[26]","previouslyFormattedCitation":"[26]"},"properties":{"noteIndex":0},"schema":"https://github.com/citation-style-language/schema/raw/master/csl-citation.json"}</w:instrText>
      </w:r>
      <w:r w:rsidR="009F4A06" w:rsidRPr="00695061">
        <w:rPr>
          <w:sz w:val="24"/>
          <w:szCs w:val="24"/>
        </w:rPr>
        <w:fldChar w:fldCharType="separate"/>
      </w:r>
      <w:r w:rsidR="007D7BEE" w:rsidRPr="00695061">
        <w:rPr>
          <w:noProof/>
          <w:sz w:val="24"/>
          <w:szCs w:val="24"/>
        </w:rPr>
        <w:t>[26]</w:t>
      </w:r>
      <w:r w:rsidR="009F4A06" w:rsidRPr="00695061">
        <w:rPr>
          <w:sz w:val="24"/>
          <w:szCs w:val="24"/>
        </w:rPr>
        <w:fldChar w:fldCharType="end"/>
      </w:r>
      <w:r w:rsidR="008137BA" w:rsidRPr="00695061">
        <w:rPr>
          <w:sz w:val="24"/>
          <w:szCs w:val="24"/>
        </w:rPr>
        <w:t xml:space="preserve">, kidney </w:t>
      </w:r>
      <w:r w:rsidR="00D6648F" w:rsidRPr="00695061">
        <w:rPr>
          <w:sz w:val="24"/>
          <w:szCs w:val="24"/>
        </w:rPr>
        <w:fldChar w:fldCharType="begin" w:fldLock="1"/>
      </w:r>
      <w:r w:rsidR="007D7BEE" w:rsidRPr="00695061">
        <w:rPr>
          <w:sz w:val="24"/>
          <w:szCs w:val="24"/>
        </w:rPr>
        <w:instrText>ADDIN CSL_CITATION {"citationItems":[{"id":"ITEM-1","itemData":{"ISSN":"0263-6352","abstract":"Background and objectives \n\nEpithelial-to-mesenchymal transition contributes to renal fibrogenesis, which is regulated by profibrogenic and antifibrogenic mediators. 3-Hydroxy-3-methylglutaryl coenzyme A reductase inhibitors can prevent epithelial-to-mesenchymal transition in some models. Therefore, we tested the hypothesis that epithelial-to-mesenchymal transition participates in renal injury in porcine atherosclerotic renovascular disease and can be attenuated by simvastatin.\n\nMethods \n\nRenal hemodynamics, function, and endothelial function were quantified in vivo in pigs after 12 weeks of combined hypercholesterolemia + renal artery stenosis without (n = 8) or with oral simvastatin supplementation (1.2 mg/kg, n = 6), and in controls (n = 8). Ex-vivo studies assessed renal immunoreactivity to fibrogenic factors and renal histology.\n\nResults \n\nBlood pressure, cholesterol levels, and basal renal function were similar in treated and untreated pigs with hypercholesterolemia + renal artery stenosis. Hypercholesterolemia + renal artery stenosis significantly upregulated renal transforming growth factor-β signaling and elicited epithelial-to-mesenchymal transition, accompanied by glomerulosclerosis and renal fibrosis. Simvastatin did not affect smad 2/3 expression but upregulated expression of hepatocyte growth factor, bone morphogenetic factor-7, and smad 7 and prevented most of these renal structural and functional alterations. Furthermore, simvastatin improved renal blood flow response to endothelium-dependent challenge (+111.3 ± 35.5 vs. −30.4 ± 18.7 ml/min in untreated pigs, P &lt; 0.05).\n\nConclusion \n\nSimvastatin upregulates inhibitors of transforming growth factor-β signaling, attenuates epithelial-to-mesenchymal transition, and decreases renal fibrosis in hypercholesterolemia + renal artery stenosis. These lipid-lowering-independent effects result in improvement of renal function, suggesting clinically valuable potential for statins in preserving the stenotic kidney and limiting deterioration of renal function in atherosclerotic renovascular disease.","author":[{"dropping-particle":"","family":"Chade","given":"Alejandro R","non-dropping-particle":"","parse-names":false,"suffix":""},{"dropping-particle":"","family":"Zhu","given":"Xiang Yang","non-dropping-particle":"","parse-names":false,"suffix":""},{"dropping-particle":"","family":"Grande","given":"Joseph P","non-dropping-particle":"","parse-names":false,"suffix":""},{"dropping-particle":"","family":"Krier","given":"James D","non-dropping-particle":"","parse-names":false,"suffix":""},{"dropping-particle":"","family":"Lerman","given":"Amir","non-dropping-particle":"","parse-names":false,"suffix":""},{"dropping-particle":"","family":"Lerman","given":"Lilach O","non-dropping-particle":"","parse-names":false,"suffix":""}],"container-title":"Journal of Hypertension","id":"ITEM-1","issue":"8","issued":{"date-parts":[["2008"]]},"title":"Simvastatin abates development of renal fibrosis in experimental renovascular disease","type":"article-journal","volume":"26"},"uris":["http://www.mendeley.com/documents/?uuid=57718ba4-b72a-38bb-b881-274982c032f8"]}],"mendeley":{"formattedCitation":"[27]","plainTextFormattedCitation":"[27]","previouslyFormattedCitation":"[27]"},"properties":{"noteIndex":0},"schema":"https://github.com/citation-style-language/schema/raw/master/csl-citation.json"}</w:instrText>
      </w:r>
      <w:r w:rsidR="00D6648F" w:rsidRPr="00695061">
        <w:rPr>
          <w:sz w:val="24"/>
          <w:szCs w:val="24"/>
        </w:rPr>
        <w:fldChar w:fldCharType="separate"/>
      </w:r>
      <w:r w:rsidR="007D7BEE" w:rsidRPr="00695061">
        <w:rPr>
          <w:noProof/>
          <w:sz w:val="24"/>
          <w:szCs w:val="24"/>
        </w:rPr>
        <w:t>[27]</w:t>
      </w:r>
      <w:r w:rsidR="00D6648F" w:rsidRPr="00695061">
        <w:rPr>
          <w:sz w:val="24"/>
          <w:szCs w:val="24"/>
        </w:rPr>
        <w:fldChar w:fldCharType="end"/>
      </w:r>
      <w:r w:rsidR="005D4967" w:rsidRPr="00695061">
        <w:rPr>
          <w:sz w:val="24"/>
          <w:szCs w:val="24"/>
        </w:rPr>
        <w:t xml:space="preserve"> and cardiac fibrosis </w:t>
      </w:r>
      <w:r w:rsidR="00A50C05" w:rsidRPr="00695061">
        <w:rPr>
          <w:sz w:val="24"/>
          <w:szCs w:val="24"/>
        </w:rPr>
        <w:fldChar w:fldCharType="begin" w:fldLock="1"/>
      </w:r>
      <w:r w:rsidR="007D7BEE" w:rsidRPr="00695061">
        <w:rPr>
          <w:sz w:val="24"/>
          <w:szCs w:val="24"/>
        </w:rPr>
        <w:instrText>ADDIN CSL_CITATION {"citationItems":[{"id":"ITEM-1","itemData":{"DOI":"10.1111/bph.13166","ISSN":"14765381","PMID":"25884615","abstract":"Background and Purpose Statins decrease heart disease risk, but their mechanisms are not completely understood. We examined the role of the TGF-β receptor III (TGFBR3) in the inhibition of cardiac fibrosis by simvastatin. Experimental Approach Myocardial infarction (MI) was induced by ligation of the left anterior descending coronary artery in mice given simvastatin orally for 7 days. Cardiac fibrosis was measured by Masson staining and electron microscopy. Heart function was evaluated by echocardiography. Signalling through TGFBR3, ERK1/2, JNK and p38 pathways was measured using Western blotting. Collagen content and cell viability were measured in cultures of neonatal mouse cardiac fibroblasts (NMCFs). Interactions between TGFBR3 and the scaffolding protein, GAIP-interacting protein C-terminus (GIPC) were detected using co-immunoprecipitation (co-IP). In vivo, hearts were injected with lentivirus carrying shRNA for TGFBR3. Key Results Simvastatin prevented fibrosis following MI, improved heart ultrastructure and function, up-regulated TGFBR3 and decreased ERK1/2 and JNK phosphorylation. Simvastatin up-regulated TGFBR3 in NMCFs, whereas silencing TGFBR3 reversed inhibitory effects of simvastatin on cell proliferation and collagen production. Simvastatin inhibited ERK1/2 and JNK signalling while silencing TGFBR3 opposed this effect. Co-IP demonstrated TGFBR3 binding to GIPC. Overexpressing TGFBR3 inhibited ERK1/2 and JNK signalling which was abolished by knock-down of GIPC. In vivo, suppression of cardiac TGFBR3 abolished anti-fibrotic effects, improvement of cardiac function and changes in related proteins after simvastatin. Conclusions and Implications TGFBR3 mediated the decreased cardiac fibrosis, collagen deposition and fibroblast activity, induced by simvastatin, following MI. These effects involved GIPC inhibition of the ERK1/2/JNK pathway.","author":[{"dropping-particle":"","family":"Sun","given":"Fei","non-dropping-particle":"","parse-names":false,"suffix":""},{"dropping-particle":"","family":"Duan","given":"Wenqi","non-dropping-particle":"","parse-names":false,"suffix":""},{"dropping-particle":"","family":"Zhang","given":"Yu","non-dropping-particle":"","parse-names":false,"suffix":""},{"dropping-particle":"","family":"Zhang","given":"Lingling","non-dropping-particle":"","parse-names":false,"suffix":""},{"dropping-particle":"","family":"Qile","given":"Muge","non-dropping-particle":"","parse-names":false,"suffix":""},{"dropping-particle":"","family":"Liu","given":"Zengyan","non-dropping-particle":"","parse-names":false,"suffix":""},{"dropping-particle":"","family":"Qiu","given":"Fang","non-dropping-particle":"","parse-names":false,"suffix":""},{"dropping-particle":"","family":"Zhao","given":"Dan","non-dropping-particle":"","parse-names":false,"suffix":""},{"dropping-particle":"","family":"Lu","given":"Yanjie","non-dropping-particle":"","parse-names":false,"suffix":""},{"dropping-particle":"","family":"Chu","given":"Wenfeng","non-dropping-particle":"","parse-names":false,"suffix":""}],"container-title":"British Journal of Pharmacology","id":"ITEM-1","issue":"15","issued":{"date-parts":[["2015","8","1"]]},"page":"3779-3792","publisher":"John Wiley and Sons Inc.","title":"Simvastatin alleviates cardiac fibrosis induced by infarction via up-regulation of TGF-β receptor III expression","type":"article-journal","volume":"172"},"uris":["http://www.mendeley.com/documents/?uuid=f307e815-5381-3ee9-8479-cc49d361bc04"]},{"id":"ITEM-2","itemData":{"DOI":"10.1038/hr.2010.243","ISSN":"09169636","PMID":"21160482","abstract":"Statins exert pleiotropic effects, including antioxidative and cellular protective effects. Endogenous adrenomedullin (AM) induces anti-inflammatory, anti-fibrotic and proangiogenic effects. We examined the effects of simvastatin on cardiac fibrosis and apoptosis in AM heterozygous knockout (AM+/-) mice treated with angiotensin (Ang) II and high salt loading. Seven-week-old AM+/- mice were infused with Ang II while on a high-salt diet with or without simvastatin for 2 weeks. Hearts were stained by hematoxylin-eosin or Masson's trichrome, and were immunostained with isolectin B4 and α-smooth muscle actin antibodies. Expression of c-Kit and Sca-1 messenger RNA (mRNA) was evaluated by real-time PCR analysis. Apoptotic cells in hearts were identified by terminal deoxynucleotidyl transferase-mediated UTP end labeling (TUNEL) staining. Hearts from Ang II/salt loading AM+/- mice showed marked perivascular fibrosis around coronary arteries. Treatment with simvastatin significantly inhibited the fibrosis around coronary arteries in Ang II/salt-loading AM+/- mice. Expression of c-Kit and Sca-1 mRNAs in hearts from Ang II/salt-loading AM+/- mice was significantly lower than in hearts from wild-type mice. Treatment with simvastatin significantly increased the suppressed expression of c-Kit and Sca-1 mRNAs. In addition, treatment with simvastatin significantly increased the number of isolectin B4-positive capillary arteries in hearts from Ang II/salt-loading AM+/- mice. Ang II/high salt significantly increased apoptotic cells in hearts from AM+/- mice; this trend was reversed by treatment with simvastatin. Thus, statins have potent cardioprotective effects that may be associated with anti-fibrotic, proangiogenic and anti-apoptotic effects in Ang II/salt-loading AM+/- mice. © 2011 The Japanese Society of Hypertension All rights reserved.","author":[{"dropping-particle":"","family":"Yamamoto","given":"Chii","non-dropping-particle":"","parse-names":false,"suffix":""},{"dropping-particle":"","family":"Fukuda","given":"Noboru","non-dropping-particle":"","parse-names":false,"suffix":""},{"dropping-particle":"","family":"Jumabay","given":"Medet","non-dropping-particle":"","parse-names":false,"suffix":""},{"dropping-particle":"","family":"Saito","given":"Kosuke","non-dropping-particle":"","parse-names":false,"suffix":""},{"dropping-particle":"","family":"Matsumoto","given":"Taro","non-dropping-particle":"","parse-names":false,"suffix":""},{"dropping-particle":"","family":"Ueno","given":"Takahiro","non-dropping-particle":"","parse-names":false,"suffix":""},{"dropping-particle":"","family":"Soma","given":"Masayoshi","non-dropping-particle":"","parse-names":false,"suffix":""},{"dropping-particle":"","family":"Matsumoto","given":"Koichi","non-dropping-particle":"","parse-names":false,"suffix":""},{"dropping-particle":"","family":"Shimosawa","given":"Tatsuo","non-dropping-particle":"","parse-names":false,"suffix":""}],"container-title":"Hypertension Research","id":"ITEM-2","issue":"3","issued":{"date-parts":[["2011","3"]]},"page":"348-353","title":"Protective effects of statin on cardiac fibrosis and apoptosis in adrenomedullin-knockout mice treated with angiotensin II and high salt loading","type":"article-journal","volume":"34"},"uris":["http://www.mendeley.com/documents/?uuid=de1d87b4-678b-345d-a105-6fae3ba9a861"]}],"mendeley":{"formattedCitation":"[28,29]","plainTextFormattedCitation":"[28,29]","previouslyFormattedCitation":"[28,29]"},"properties":{"noteIndex":0},"schema":"https://github.com/citation-style-language/schema/raw/master/csl-citation.json"}</w:instrText>
      </w:r>
      <w:r w:rsidR="00A50C05" w:rsidRPr="00695061">
        <w:rPr>
          <w:sz w:val="24"/>
          <w:szCs w:val="24"/>
        </w:rPr>
        <w:fldChar w:fldCharType="separate"/>
      </w:r>
      <w:r w:rsidR="007D7BEE" w:rsidRPr="00695061">
        <w:rPr>
          <w:noProof/>
          <w:sz w:val="24"/>
          <w:szCs w:val="24"/>
        </w:rPr>
        <w:t>[28,29]</w:t>
      </w:r>
      <w:r w:rsidR="00A50C05" w:rsidRPr="00695061">
        <w:rPr>
          <w:sz w:val="24"/>
          <w:szCs w:val="24"/>
        </w:rPr>
        <w:fldChar w:fldCharType="end"/>
      </w:r>
      <w:r w:rsidR="005D4967" w:rsidRPr="00695061">
        <w:rPr>
          <w:sz w:val="24"/>
          <w:szCs w:val="24"/>
        </w:rPr>
        <w:t xml:space="preserve"> and in </w:t>
      </w:r>
      <w:r w:rsidR="005D4967" w:rsidRPr="00695061">
        <w:rPr>
          <w:i/>
          <w:iCs/>
          <w:sz w:val="24"/>
          <w:szCs w:val="24"/>
        </w:rPr>
        <w:t>in vitro</w:t>
      </w:r>
      <w:r w:rsidR="005D4967" w:rsidRPr="00695061">
        <w:rPr>
          <w:sz w:val="24"/>
          <w:szCs w:val="24"/>
        </w:rPr>
        <w:t xml:space="preserve"> models of lung fibrosis </w:t>
      </w:r>
      <w:r w:rsidR="009F4A06" w:rsidRPr="00695061">
        <w:rPr>
          <w:sz w:val="24"/>
          <w:szCs w:val="24"/>
        </w:rPr>
        <w:fldChar w:fldCharType="begin" w:fldLock="1"/>
      </w:r>
      <w:r w:rsidR="007D7BEE" w:rsidRPr="00695061">
        <w:rPr>
          <w:sz w:val="24"/>
          <w:szCs w:val="24"/>
        </w:rPr>
        <w:instrText>ADDIN CSL_CITATION {"citationItems":[{"id":"ITEM-1","itemData":{"DOI":"10.1165/rcmb.2019-0296OC","ISSN":"15354989","PMID":"31944822","abstract":"Idiopathic pulmonary fibrosis is a lung disease with limited therapeutic options that is characterized by pathological fibroblast activation and aberrant lung remodeling with scar formation. YAP (Yes-associated protein) is a transcriptional coactivator that mediates mechanical and biochemical signals controlling fibroblast activation. In this study, we developed a high-throughput small-molecule screen for YAP inhibitors in primary human lung fibroblasts. Multiple HMG-CoA (hydroxymethylglutaryl-coenzyme A) reductase inhibitors (statins) were found to inhibit YAP nuclear localization via induction of YAP phosphorylation, cytoplasmic retention, and degradation. We further show that the mevalonate pathway regulates YAP activation, and that simvastatin treatment reduces fibrosis markers in activated human lung fibroblasts and in the bleomycin mouse model of pulmonary fibrosis. Finally, we show that simvastatin modulates YAP in vivo in mouse lung fibroblasts. Our results highlight the potential of small-molecule screens for YAP inhibitors and provide a mechanism for the antifibrotic activity of statins in idiopathic pulmonary fibrosis.","author":[{"dropping-particle":"","family":"Santos","given":"Daniela M.","non-dropping-particle":"","parse-names":false,"suffix":""},{"dropping-particle":"","family":"Pantano","given":"Lorena","non-dropping-particle":"","parse-names":false,"suffix":""},{"dropping-particle":"","family":"Pronzati","given":"Gina","non-dropping-particle":"","parse-names":false,"suffix":""},{"dropping-particle":"","family":"Grasberger","given":"Paula","non-dropping-particle":"","parse-names":false,"suffix":""},{"dropping-particle":"","family":"Probst","given":"Clemens K.","non-dropping-particle":"","parse-names":false,"suffix":""},{"dropping-particle":"","family":"Black","given":"Katharine E.","non-dropping-particle":"","parse-names":false,"suffix":""},{"dropping-particle":"","family":"Spinney","given":"Jillian J.","non-dropping-particle":"","parse-names":false,"suffix":""},{"dropping-particle":"","family":"Hariri","given":"Lida P.","non-dropping-particle":"","parse-names":false,"suffix":""},{"dropping-particle":"","family":"Nichols","given":"Royale","non-dropping-particle":"","parse-names":false,"suffix":""},{"dropping-particle":"","family":"Lin","given":"Yufei","non-dropping-particle":"","parse-names":false,"suffix":""},{"dropping-particle":"","family":"Bieler","given":"Michael","non-dropping-particle":"","parse-names":false,"suffix":""},{"dropping-particle":"","family":"Seither","given":"Peter","non-dropping-particle":"","parse-names":false,"suffix":""},{"dropping-particle":"","family":"Nicklin","given":"Paul","non-dropping-particle":"","parse-names":false,"suffix":""},{"dropping-particle":"","family":"Wyatt","given":"David","non-dropping-particle":"","parse-names":false,"suffix":""},{"dropping-particle":"","family":"Tager","given":"Andrew M.","non-dropping-particle":"","parse-names":false,"suffix":""},{"dropping-particle":"","family":"Medoff","given":"Benjamin D.","non-dropping-particle":"","parse-names":false,"suffix":""}],"container-title":"American Journal of Respiratory Cell and Molecular Biology","id":"ITEM-1","issue":"4","issued":{"date-parts":[["2020"]]},"page":"479-492","publisher":"American Thoracic Society","title":"Screening for YAP inhibitors identifies statins as modulators of fibrosis","type":"article-journal","volume":"62"},"uris":["http://www.mendeley.com/documents/?uuid=ab0765c8-7df6-3034-bb0f-8695d7b62fb7"]}],"mendeley":{"formattedCitation":"[30]","plainTextFormattedCitation":"[30]","previouslyFormattedCitation":"[30]"},"properties":{"noteIndex":0},"schema":"https://github.com/citation-style-language/schema/raw/master/csl-citation.json"}</w:instrText>
      </w:r>
      <w:r w:rsidR="009F4A06" w:rsidRPr="00695061">
        <w:rPr>
          <w:sz w:val="24"/>
          <w:szCs w:val="24"/>
        </w:rPr>
        <w:fldChar w:fldCharType="separate"/>
      </w:r>
      <w:r w:rsidR="007D7BEE" w:rsidRPr="00695061">
        <w:rPr>
          <w:noProof/>
          <w:sz w:val="24"/>
          <w:szCs w:val="24"/>
        </w:rPr>
        <w:t>[30]</w:t>
      </w:r>
      <w:r w:rsidR="009F4A06" w:rsidRPr="00695061">
        <w:rPr>
          <w:sz w:val="24"/>
          <w:szCs w:val="24"/>
        </w:rPr>
        <w:fldChar w:fldCharType="end"/>
      </w:r>
      <w:r w:rsidR="009915BF" w:rsidRPr="00695061">
        <w:rPr>
          <w:sz w:val="24"/>
          <w:szCs w:val="24"/>
        </w:rPr>
        <w:t xml:space="preserve">. </w:t>
      </w:r>
      <w:r w:rsidR="00912892" w:rsidRPr="00695061">
        <w:rPr>
          <w:sz w:val="24"/>
          <w:szCs w:val="24"/>
        </w:rPr>
        <w:t>In the context of PD, a</w:t>
      </w:r>
      <w:r w:rsidR="003B3C67" w:rsidRPr="00695061">
        <w:rPr>
          <w:sz w:val="24"/>
          <w:szCs w:val="24"/>
        </w:rPr>
        <w:t xml:space="preserve"> previous study demonstrated that </w:t>
      </w:r>
      <w:r w:rsidR="00762578" w:rsidRPr="00695061">
        <w:rPr>
          <w:sz w:val="24"/>
          <w:szCs w:val="24"/>
        </w:rPr>
        <w:t>simvastatin inhibited TGF-β1-induced transformation of TA-derived fibroblasts to myofibroblasts</w:t>
      </w:r>
      <w:r w:rsidR="000A1A38" w:rsidRPr="00695061">
        <w:rPr>
          <w:sz w:val="24"/>
          <w:szCs w:val="24"/>
        </w:rPr>
        <w:t xml:space="preserve"> </w:t>
      </w:r>
      <w:r w:rsidR="00AB1445" w:rsidRPr="00695061">
        <w:rPr>
          <w:sz w:val="24"/>
          <w:szCs w:val="24"/>
        </w:rPr>
        <w:fldChar w:fldCharType="begin" w:fldLock="1"/>
      </w:r>
      <w:r w:rsidR="00813D10" w:rsidRPr="00695061">
        <w:rPr>
          <w:sz w:val="24"/>
          <w:szCs w:val="24"/>
        </w:rPr>
        <w:instrText>ADDIN CSL_CITATION {"citationItems":[{"id":"ITEM-1","itemData":{"DOI":"10.1111/bju.14638","ISSN":"1464410X","abstract":"© 2018 The Authors BJU International © 2018 BJU International Published by John Wiley &amp; Sons Ltd Objectives: To uncover the anti-myofibroblast (MFB) properties of Rho-kinase inhibitor (compound Y-27632) and simvastatin in an in vitro model of Peyronie's disease (PD), a sexually debilitating disease caused by an irreversible fibrotic plaque in the penile tunica albuginea (TA). Materials and Methods: Primary human fibroblasts (FBs) were isolated from surgically obtained TA tissue from patients with PD. To induce MFB status, cells were stimulated with 3 ng/mL transforming growth factor-β1 (TGF-β1). Increasing doses of Y-27632 and simvastatin were added. Real-time quantitative PCR was used to assess mRNA expression of α-smooth muscle actin (α-SMA), collagen III, elastin and connective tissue growth factor (CTGF) after 72 h. Western blot analysis was used to quantify α-SMA protein contents, and immunofluorescence (IF) was used to visualize MFB differentiation by staining for α-SMA after 72 h. A resazurin-based assay was used to assess cell viability to ensure the anti-MFB effect of the drugs. A mechanistic study was performed using IF staining for YAP/TAZ nuclear translocation. Results: After 72 h of stimulation with TGF-β1, a six- to 10-fold upregulation of α-SMA could be observed. When treated with Y-27632 or simvastatin, the α-SMA, collagen III, elastin and CTGF mRNA expression was impeded. Additionally, TGF-β1 stimulation showed a twofold increase in α-SMA protein expression, which was reversed to non-stimulated levels after treatment with Y-27632 and simvastatin. Using IF, stimulated cells were identified as MFB (α-SMA+, Vim+) as opposed to the non-stimulated, Y-27632- and simvastatin-treated cells (α-SMA−, Vim+). The resazurin-based assay confirmed that the cell viability was not compromised by the administered drugs. On stimulation with TGF-β1, nuclear translocation of YAP/TAZ could be observed, which was prevented by adding the aforementioned compounds. Conclusion: Transformation of FBs into the contractile and extracellular matrix-producing MFBs occurs after TGF-β1 stimulation. In our experiments, Rho-kinase inhibition and simvastatin treatment were shown to prevent this in TGF-β1-stimulated cells on an RNA and protein level through the inhibition of YAP/TAZ nuclear translocation. Y-27632 and simvastatin could become a novel treatment option in the early treatment of PD.","author":[{"dropping-particle":"","family":"Milenkovic","given":"Uros","non-dropping-particle":"","parse-names":false,"suffix":""},{"dropping-particle":"","family":"Ilg","given":"Marcus M.","non-dropping-particle":"","parse-names":false,"suffix":""},{"dropping-particle":"","family":"Zuccato","given":"Carola","non-dropping-particle":"","parse-names":false,"suffix":""},{"dropping-particle":"","family":"Ramazani","given":"Yasaman","non-dropping-particle":"","parse-names":false,"suffix":""},{"dropping-particle":"","family":"Ridder","given":"Dirk","non-dropping-particle":"De","parse-names":false,"suffix":""},{"dropping-particle":"","family":"Albersen","given":"Maarten","non-dropping-particle":"","parse-names":false,"suffix":""}],"container-title":"BJU International","id":"ITEM-1","issue":"4","issued":{"date-parts":[["2019"]]},"page":"703-715","title":"Simvastatin and the Rho-kinase inhibitor Y-27632 prevent myofibroblast transformation in Peyronie's disease-derived fibroblasts via inhibition of YAP/TAZ nuclear translocation","type":"article-journal","volume":"123"},"uris":["http://www.mendeley.com/documents/?uuid=74301ece-ff75-3299-8f1a-f94dff98eb8b"]}],"mendeley":{"formattedCitation":"[18]","plainTextFormattedCitation":"[18]","previouslyFormattedCitation":"[18]"},"properties":{"noteIndex":0},"schema":"https://github.com/citation-style-language/schema/raw/master/csl-citation.json"}</w:instrText>
      </w:r>
      <w:r w:rsidR="00AB1445" w:rsidRPr="00695061">
        <w:rPr>
          <w:sz w:val="24"/>
          <w:szCs w:val="24"/>
        </w:rPr>
        <w:fldChar w:fldCharType="separate"/>
      </w:r>
      <w:r w:rsidR="00813D10" w:rsidRPr="00695061">
        <w:rPr>
          <w:noProof/>
          <w:sz w:val="24"/>
          <w:szCs w:val="24"/>
        </w:rPr>
        <w:t>[18]</w:t>
      </w:r>
      <w:r w:rsidR="00AB1445" w:rsidRPr="00695061">
        <w:rPr>
          <w:sz w:val="24"/>
          <w:szCs w:val="24"/>
        </w:rPr>
        <w:fldChar w:fldCharType="end"/>
      </w:r>
      <w:r w:rsidR="00EC14A7" w:rsidRPr="00695061">
        <w:rPr>
          <w:sz w:val="24"/>
          <w:szCs w:val="24"/>
        </w:rPr>
        <w:t>. Although the a</w:t>
      </w:r>
      <w:r w:rsidR="00DC29E7" w:rsidRPr="00695061">
        <w:rPr>
          <w:sz w:val="24"/>
          <w:szCs w:val="24"/>
        </w:rPr>
        <w:t>uthors of the previous study did not report the IC</w:t>
      </w:r>
      <w:r w:rsidR="00DC29E7" w:rsidRPr="00695061">
        <w:rPr>
          <w:sz w:val="24"/>
          <w:szCs w:val="24"/>
          <w:vertAlign w:val="subscript"/>
        </w:rPr>
        <w:t>50</w:t>
      </w:r>
      <w:r w:rsidR="00DC29E7" w:rsidRPr="00695061">
        <w:rPr>
          <w:sz w:val="24"/>
          <w:szCs w:val="24"/>
        </w:rPr>
        <w:t xml:space="preserve"> value of simvastatin</w:t>
      </w:r>
      <w:r w:rsidR="00C834BE" w:rsidRPr="00695061">
        <w:rPr>
          <w:sz w:val="24"/>
          <w:szCs w:val="24"/>
        </w:rPr>
        <w:t xml:space="preserve">, </w:t>
      </w:r>
      <w:r w:rsidR="006B7770" w:rsidRPr="00695061">
        <w:rPr>
          <w:sz w:val="24"/>
          <w:szCs w:val="24"/>
        </w:rPr>
        <w:t xml:space="preserve">from their published figures </w:t>
      </w:r>
      <w:r w:rsidR="00C834BE" w:rsidRPr="00695061">
        <w:rPr>
          <w:sz w:val="24"/>
          <w:szCs w:val="24"/>
        </w:rPr>
        <w:t xml:space="preserve">we estimate it to be </w:t>
      </w:r>
      <w:r w:rsidR="001C60C4" w:rsidRPr="00695061">
        <w:rPr>
          <w:sz w:val="24"/>
          <w:szCs w:val="24"/>
        </w:rPr>
        <w:t>somewhere</w:t>
      </w:r>
      <w:r w:rsidR="00C834BE" w:rsidRPr="00695061">
        <w:rPr>
          <w:sz w:val="24"/>
          <w:szCs w:val="24"/>
        </w:rPr>
        <w:t xml:space="preserve"> between </w:t>
      </w:r>
      <w:r w:rsidR="001C60C4" w:rsidRPr="00695061">
        <w:rPr>
          <w:sz w:val="24"/>
          <w:szCs w:val="24"/>
        </w:rPr>
        <w:t xml:space="preserve">0.5-1 </w:t>
      </w:r>
      <w:r w:rsidR="001C60C4" w:rsidRPr="00695061">
        <w:rPr>
          <w:rFonts w:cstheme="minorHAnsi"/>
          <w:sz w:val="24"/>
          <w:szCs w:val="24"/>
        </w:rPr>
        <w:t>µ</w:t>
      </w:r>
      <w:r w:rsidR="001C60C4" w:rsidRPr="00695061">
        <w:rPr>
          <w:sz w:val="24"/>
          <w:szCs w:val="24"/>
        </w:rPr>
        <w:t>M which is similar to our findings</w:t>
      </w:r>
      <w:r w:rsidR="006B7770" w:rsidRPr="00695061">
        <w:rPr>
          <w:sz w:val="24"/>
          <w:szCs w:val="24"/>
        </w:rPr>
        <w:t>.</w:t>
      </w:r>
      <w:r w:rsidR="000A1A38" w:rsidRPr="00695061">
        <w:rPr>
          <w:sz w:val="24"/>
          <w:szCs w:val="24"/>
        </w:rPr>
        <w:t xml:space="preserve"> </w:t>
      </w:r>
      <w:r w:rsidR="00705411" w:rsidRPr="00695061">
        <w:rPr>
          <w:sz w:val="24"/>
          <w:szCs w:val="24"/>
        </w:rPr>
        <w:t xml:space="preserve">Although exact mechanism by which statins exert their anti-fibrotic effect </w:t>
      </w:r>
      <w:r w:rsidR="0029372C" w:rsidRPr="00695061">
        <w:rPr>
          <w:sz w:val="24"/>
          <w:szCs w:val="24"/>
        </w:rPr>
        <w:t xml:space="preserve">is unknown, </w:t>
      </w:r>
      <w:r w:rsidR="004E2354" w:rsidRPr="00695061">
        <w:rPr>
          <w:sz w:val="24"/>
          <w:szCs w:val="24"/>
        </w:rPr>
        <w:t xml:space="preserve">it has been suggested that statins </w:t>
      </w:r>
      <w:r w:rsidR="005C29EF" w:rsidRPr="00695061">
        <w:rPr>
          <w:sz w:val="24"/>
          <w:szCs w:val="24"/>
        </w:rPr>
        <w:t xml:space="preserve">suppress expression of </w:t>
      </w:r>
      <w:r w:rsidR="00B0026E" w:rsidRPr="00695061">
        <w:rPr>
          <w:sz w:val="24"/>
          <w:szCs w:val="24"/>
        </w:rPr>
        <w:t xml:space="preserve">connective tissue growth factor (CTGF), a potent pro-fibrotic </w:t>
      </w:r>
      <w:r w:rsidR="00DA3294" w:rsidRPr="00695061">
        <w:rPr>
          <w:sz w:val="24"/>
          <w:szCs w:val="24"/>
        </w:rPr>
        <w:t xml:space="preserve">mediator downstream of TGF-β1, through </w:t>
      </w:r>
      <w:r w:rsidR="00B2597A" w:rsidRPr="00695061">
        <w:rPr>
          <w:sz w:val="24"/>
          <w:szCs w:val="24"/>
        </w:rPr>
        <w:t>inhibition of the nuclear translocation of YAP/TAZ</w:t>
      </w:r>
      <w:r w:rsidR="00CF4BBF" w:rsidRPr="00695061">
        <w:rPr>
          <w:sz w:val="24"/>
          <w:szCs w:val="24"/>
        </w:rPr>
        <w:t xml:space="preserve"> </w:t>
      </w:r>
      <w:r w:rsidR="00C306EF" w:rsidRPr="00695061">
        <w:rPr>
          <w:sz w:val="24"/>
          <w:szCs w:val="24"/>
        </w:rPr>
        <w:fldChar w:fldCharType="begin" w:fldLock="1"/>
      </w:r>
      <w:r w:rsidR="00813D10" w:rsidRPr="00695061">
        <w:rPr>
          <w:sz w:val="24"/>
          <w:szCs w:val="24"/>
        </w:rPr>
        <w:instrText>ADDIN CSL_CITATION {"citationItems":[{"id":"ITEM-1","itemData":{"DOI":"10.1111/bju.14638","ISSN":"1464410X","abstract":"© 2018 The Authors BJU International © 2018 BJU International Published by John Wiley &amp; Sons Ltd Objectives: To uncover the anti-myofibroblast (MFB) properties of Rho-kinase inhibitor (compound Y-27632) and simvastatin in an in vitro model of Peyronie's disease (PD), a sexually debilitating disease caused by an irreversible fibrotic plaque in the penile tunica albuginea (TA). Materials and Methods: Primary human fibroblasts (FBs) were isolated from surgically obtained TA tissue from patients with PD. To induce MFB status, cells were stimulated with 3 ng/mL transforming growth factor-β1 (TGF-β1). Increasing doses of Y-27632 and simvastatin were added. Real-time quantitative PCR was used to assess mRNA expression of α-smooth muscle actin (α-SMA), collagen III, elastin and connective tissue growth factor (CTGF) after 72 h. Western blot analysis was used to quantify α-SMA protein contents, and immunofluorescence (IF) was used to visualize MFB differentiation by staining for α-SMA after 72 h. A resazurin-based assay was used to assess cell viability to ensure the anti-MFB effect of the drugs. A mechanistic study was performed using IF staining for YAP/TAZ nuclear translocation. Results: After 72 h of stimulation with TGF-β1, a six- to 10-fold upregulation of α-SMA could be observed. When treated with Y-27632 or simvastatin, the α-SMA, collagen III, elastin and CTGF mRNA expression was impeded. Additionally, TGF-β1 stimulation showed a twofold increase in α-SMA protein expression, which was reversed to non-stimulated levels after treatment with Y-27632 and simvastatin. Using IF, stimulated cells were identified as MFB (α-SMA+, Vim+) as opposed to the non-stimulated, Y-27632- and simvastatin-treated cells (α-SMA−, Vim+). The resazurin-based assay confirmed that the cell viability was not compromised by the administered drugs. On stimulation with TGF-β1, nuclear translocation of YAP/TAZ could be observed, which was prevented by adding the aforementioned compounds. Conclusion: Transformation of FBs into the contractile and extracellular matrix-producing MFBs occurs after TGF-β1 stimulation. In our experiments, Rho-kinase inhibition and simvastatin treatment were shown to prevent this in TGF-β1-stimulated cells on an RNA and protein level through the inhibition of YAP/TAZ nuclear translocation. Y-27632 and simvastatin could become a novel treatment option in the early treatment of PD.","author":[{"dropping-particle":"","family":"Milenkovic","given":"Uros","non-dropping-particle":"","parse-names":false,"suffix":""},{"dropping-particle":"","family":"Ilg","given":"Marcus M.","non-dropping-particle":"","parse-names":false,"suffix":""},{"dropping-particle":"","family":"Zuccato","given":"Carola","non-dropping-particle":"","parse-names":false,"suffix":""},{"dropping-particle":"","family":"Ramazani","given":"Yasaman","non-dropping-particle":"","parse-names":false,"suffix":""},{"dropping-particle":"","family":"Ridder","given":"Dirk","non-dropping-particle":"De","parse-names":false,"suffix":""},{"dropping-particle":"","family":"Albersen","given":"Maarten","non-dropping-particle":"","parse-names":false,"suffix":""}],"container-title":"BJU International","id":"ITEM-1","issue":"4","issued":{"date-parts":[["2019"]]},"page":"703-715","title":"Simvastatin and the Rho-kinase inhibitor Y-27632 prevent myofibroblast transformation in Peyronie's disease-derived fibroblasts via inhibition of YAP/TAZ nuclear translocation","type":"article-journal","volume":"123"},"uris":["http://www.mendeley.com/documents/?uuid=74301ece-ff75-3299-8f1a-f94dff98eb8b"]}],"mendeley":{"formattedCitation":"[18]","plainTextFormattedCitation":"[18]","previouslyFormattedCitation":"[18]"},"properties":{"noteIndex":0},"schema":"https://github.com/citation-style-language/schema/raw/master/csl-citation.json"}</w:instrText>
      </w:r>
      <w:r w:rsidR="00C306EF" w:rsidRPr="00695061">
        <w:rPr>
          <w:sz w:val="24"/>
          <w:szCs w:val="24"/>
        </w:rPr>
        <w:fldChar w:fldCharType="separate"/>
      </w:r>
      <w:r w:rsidR="00813D10" w:rsidRPr="00695061">
        <w:rPr>
          <w:noProof/>
          <w:sz w:val="24"/>
          <w:szCs w:val="24"/>
        </w:rPr>
        <w:t>[18]</w:t>
      </w:r>
      <w:r w:rsidR="00C306EF" w:rsidRPr="00695061">
        <w:rPr>
          <w:sz w:val="24"/>
          <w:szCs w:val="24"/>
        </w:rPr>
        <w:fldChar w:fldCharType="end"/>
      </w:r>
      <w:r w:rsidR="00CF4BBF" w:rsidRPr="00695061">
        <w:rPr>
          <w:sz w:val="24"/>
          <w:szCs w:val="24"/>
        </w:rPr>
        <w:t>.</w:t>
      </w:r>
      <w:r w:rsidR="006B7770" w:rsidRPr="00695061">
        <w:rPr>
          <w:sz w:val="24"/>
          <w:szCs w:val="24"/>
        </w:rPr>
        <w:t xml:space="preserve"> </w:t>
      </w:r>
    </w:p>
    <w:p w14:paraId="0E668BF2" w14:textId="4E0FB633" w:rsidR="00873DB5" w:rsidRPr="00695061" w:rsidRDefault="0063151A" w:rsidP="00024FCE">
      <w:pPr>
        <w:jc w:val="both"/>
        <w:rPr>
          <w:sz w:val="24"/>
          <w:szCs w:val="24"/>
        </w:rPr>
      </w:pPr>
      <w:r w:rsidRPr="00695061">
        <w:rPr>
          <w:sz w:val="24"/>
          <w:szCs w:val="24"/>
        </w:rPr>
        <w:t xml:space="preserve">Our experiments suggest that </w:t>
      </w:r>
      <w:r w:rsidR="00ED1037" w:rsidRPr="00695061">
        <w:rPr>
          <w:sz w:val="24"/>
          <w:szCs w:val="24"/>
        </w:rPr>
        <w:t xml:space="preserve">when simvastatin was combined with vardenafil, the effect was synergistic. </w:t>
      </w:r>
      <w:r w:rsidR="001C3306" w:rsidRPr="00695061">
        <w:rPr>
          <w:sz w:val="24"/>
          <w:szCs w:val="24"/>
        </w:rPr>
        <w:t xml:space="preserve">A synergy between these drug classes </w:t>
      </w:r>
      <w:r w:rsidR="00584FC6" w:rsidRPr="00695061">
        <w:rPr>
          <w:sz w:val="24"/>
          <w:szCs w:val="24"/>
        </w:rPr>
        <w:t xml:space="preserve">was demonstrated </w:t>
      </w:r>
      <w:r w:rsidR="00EE2FFB" w:rsidRPr="00695061">
        <w:rPr>
          <w:sz w:val="24"/>
          <w:szCs w:val="24"/>
        </w:rPr>
        <w:t xml:space="preserve">in improving </w:t>
      </w:r>
      <w:r w:rsidR="00232A95" w:rsidRPr="00695061">
        <w:rPr>
          <w:sz w:val="24"/>
          <w:szCs w:val="24"/>
        </w:rPr>
        <w:t>fine motor function in a mouse ischaemic stroke model</w:t>
      </w:r>
      <w:r w:rsidR="00C306EF" w:rsidRPr="00695061">
        <w:rPr>
          <w:sz w:val="24"/>
          <w:szCs w:val="24"/>
        </w:rPr>
        <w:t xml:space="preserve"> </w:t>
      </w:r>
      <w:r w:rsidR="00C306EF" w:rsidRPr="00695061">
        <w:rPr>
          <w:sz w:val="24"/>
          <w:szCs w:val="24"/>
        </w:rPr>
        <w:fldChar w:fldCharType="begin" w:fldLock="1"/>
      </w:r>
      <w:r w:rsidR="007D7BEE" w:rsidRPr="00695061">
        <w:rPr>
          <w:sz w:val="24"/>
          <w:szCs w:val="24"/>
        </w:rPr>
        <w:instrText>ADDIN CSL_CITATION {"citationItems":[{"id":"ITEM-1","itemData":{"DOI":"10.1097/PHM.0b013e3182643f1a","ISSN":"08949115","PMID":"22854903","abstract":"OBJECTIVE: The aim of this study was to test the hypothesis that a combination of atorvastatin and sildenafil promotes recovery in an additive manner after ischemic stroke in mice. DESIGN: Adult C57BL/6 mice (n = 67) were subjected to transient middle cerebral artery occlusion. Vehicle-control (H 2O), atorvastatin (0.3 mg/kg), sildenafil (0.3 mg/kg), or combined atorvastatin (0.3 mg/kg) and sildenafil (0.3 mg/kg) were administrated via oral gavage daily for 6 days starting 24 hrs after ischemia. Behavioral studies including neurologic score and adhesive removal test were performed before surgery and on postoperative days 1 and 7; cylinder test was performed before surgery and on postoperative day 7. Mice were killed after 7 days and brain slices were stained with hematoxylin and eosin to measure the infarct volume. RESULTS: The combination group performed significantly better in the adhesive removal test (mean ± SD) (50 ± 54 secs) as compared with the control group (147 ± 109 secs) (P &lt; 0.05) and to atorvastatin (144 ± 102 secs) (P &lt; 0.05) but did not show statistically significant improvement as compared with sildenafil (107 ± 115 secs) (P = 0.148). There were no significant differences among the groups in neurologic score and cylinder test. There was no significant difference in the infarct volume. CONCLUSIONS: The data suggest that combined atorvastatin and sildenafil generates a better functional outcome as compared with atorvastatin-only treatment, but not sildenafil-only treatment, in one of multiple variables tested. Copyright © 2013 by Lippincott Williams &amp; Wilkins.","author":[{"dropping-particle":"","family":"Wang","given":"Qing Mei","non-dropping-particle":"","parse-names":false,"suffix":""},{"dropping-particle":"","family":"Wei","given":"Ying","non-dropping-particle":"","parse-names":false,"suffix":""},{"dropping-particle":"","family":"Zheng","given":"Yi","non-dropping-particle":"","parse-names":false,"suffix":""},{"dropping-particle":"","family":"Waeber","given":"Christian","non-dropping-particle":"","parse-names":false,"suffix":""}],"container-title":"American Journal of Physical Medicine and Rehabilitation","id":"ITEM-1","issue":"2","issued":{"date-parts":[["2013","2"]]},"page":"143-150","title":"Efficacy of combined atorvastatin and sildenafil in promoting recovery after ischemic stroke in mice","type":"article-journal","volume":"92"},"uris":["http://www.mendeley.com/documents/?uuid=c3f0df18-7829-3d61-b963-44bc072cba1a"]}],"mendeley":{"formattedCitation":"[31]","plainTextFormattedCitation":"[31]","previouslyFormattedCitation":"[31]"},"properties":{"noteIndex":0},"schema":"https://github.com/citation-style-language/schema/raw/master/csl-citation.json"}</w:instrText>
      </w:r>
      <w:r w:rsidR="00C306EF" w:rsidRPr="00695061">
        <w:rPr>
          <w:sz w:val="24"/>
          <w:szCs w:val="24"/>
        </w:rPr>
        <w:fldChar w:fldCharType="separate"/>
      </w:r>
      <w:r w:rsidR="007D7BEE" w:rsidRPr="00695061">
        <w:rPr>
          <w:noProof/>
          <w:sz w:val="24"/>
          <w:szCs w:val="24"/>
        </w:rPr>
        <w:t>[31]</w:t>
      </w:r>
      <w:r w:rsidR="00C306EF" w:rsidRPr="00695061">
        <w:rPr>
          <w:sz w:val="24"/>
          <w:szCs w:val="24"/>
        </w:rPr>
        <w:fldChar w:fldCharType="end"/>
      </w:r>
      <w:r w:rsidR="00232A95" w:rsidRPr="00695061">
        <w:rPr>
          <w:sz w:val="24"/>
          <w:szCs w:val="24"/>
        </w:rPr>
        <w:t xml:space="preserve"> </w:t>
      </w:r>
      <w:r w:rsidR="00733E2E" w:rsidRPr="00695061">
        <w:rPr>
          <w:sz w:val="24"/>
          <w:szCs w:val="24"/>
        </w:rPr>
        <w:t xml:space="preserve">and </w:t>
      </w:r>
      <w:r w:rsidR="00B030FF" w:rsidRPr="00695061">
        <w:rPr>
          <w:sz w:val="24"/>
          <w:szCs w:val="24"/>
        </w:rPr>
        <w:t>in reducing right ventricular hypertrophy and pulmonary vascular muscularisation</w:t>
      </w:r>
      <w:r w:rsidR="003B032C" w:rsidRPr="00695061">
        <w:rPr>
          <w:sz w:val="24"/>
          <w:szCs w:val="24"/>
        </w:rPr>
        <w:t xml:space="preserve"> in a rat model of hypoxia-induced pulmonary hypertension</w:t>
      </w:r>
      <w:r w:rsidR="00C306EF" w:rsidRPr="00695061">
        <w:rPr>
          <w:sz w:val="24"/>
          <w:szCs w:val="24"/>
        </w:rPr>
        <w:t xml:space="preserve"> </w:t>
      </w:r>
      <w:r w:rsidR="00C306EF" w:rsidRPr="00695061">
        <w:rPr>
          <w:sz w:val="24"/>
          <w:szCs w:val="24"/>
        </w:rPr>
        <w:fldChar w:fldCharType="begin" w:fldLock="1"/>
      </w:r>
      <w:r w:rsidR="007D7BEE" w:rsidRPr="00695061">
        <w:rPr>
          <w:sz w:val="24"/>
          <w:szCs w:val="24"/>
        </w:rPr>
        <w:instrText>ADDIN CSL_CITATION {"citationItems":[{"id":"ITEM-1","itemData":{"DOI":"10.1183/09031936.00143508","ISSN":"09031936","PMID":"19797670","abstract":"Statins have been proposed to be a potential treatment for pulmonary arterial hypertension. If introduced into clinical practice, the statin would have to be used in conjunction with established therapy. We investigated the effects of combining simvastatin with a phosphodiesterase type-5 inhibitor, sildenafil, in the rat model of hypoxia-induced pulmonary hypertension. Rats were allocated to either: 1) a prevention protocol, to receive simvastatin 20 mg·kg-1·day-1 by intraperitoneal injection or sildenafil 75 mg·kg-1·day-1 orally or the combination (or vehicle) for 2 weeks beginning at the start of exposure to hypoxia (10% inspired oxygen); or 2) a treatment protocol, where the same agents were administered in the last 2 weeks of a 4-week period of hypoxia. In both protocols, the combination of sildenafil and simvastatin lowered pulmonary artery pressure and produced a significantly greater reduction in right ventricular hypertrophy and pulmonary vascular muscularisation than either drug alone. Moreover, the combination augmented significantly endothelial nitric oxide synthase expression and cGMP levels in the lung and right ventricle above that produced by either drug independently and resulted in greater inhibition of RhoA activity. These data suggest that simvastatin can be usefully combined with sildenafil in the treatment of pulmonary arterial hypertension to achieve greater therapeutic benefit. Copyright©ERS Journals Ltd 2009.","author":[{"dropping-particle":"","family":"Zhao","given":"L.","non-dropping-particle":"","parse-names":false,"suffix":""},{"dropping-particle":"","family":"Sebkhi","given":"A.","non-dropping-particle":"","parse-names":false,"suffix":""},{"dropping-particle":"","family":"Ali","given":"O.","non-dropping-particle":"","parse-names":false,"suffix":""},{"dropping-particle":"","family":"Wojciak-Stothard","given":"B.","non-dropping-particle":"","parse-names":false,"suffix":""},{"dropping-particle":"","family":"Mamanova","given":"L.","non-dropping-particle":"","parse-names":false,"suffix":""},{"dropping-particle":"","family":"Yang","given":"Q.","non-dropping-particle":"","parse-names":false,"suffix":""},{"dropping-particle":"","family":"Wharton","given":"J.","non-dropping-particle":"","parse-names":false,"suffix":""},{"dropping-particle":"","family":"Wilkins","given":"M. R.","non-dropping-particle":"","parse-names":false,"suffix":""}],"container-title":"European Respiratory Journal","id":"ITEM-1","issue":"4","issued":{"date-parts":[["2009","10"]]},"page":"948-957","title":"Simvastatin and sildenafil combine to attenuate pulmonary hypertension","type":"article-journal","volume":"34"},"uris":["http://www.mendeley.com/documents/?uuid=65ce1ce7-909a-3414-a3b8-3188a235dcb2"]}],"mendeley":{"formattedCitation":"[32]","plainTextFormattedCitation":"[32]","previouslyFormattedCitation":"[32]"},"properties":{"noteIndex":0},"schema":"https://github.com/citation-style-language/schema/raw/master/csl-citation.json"}</w:instrText>
      </w:r>
      <w:r w:rsidR="00C306EF" w:rsidRPr="00695061">
        <w:rPr>
          <w:sz w:val="24"/>
          <w:szCs w:val="24"/>
        </w:rPr>
        <w:fldChar w:fldCharType="separate"/>
      </w:r>
      <w:r w:rsidR="007D7BEE" w:rsidRPr="00695061">
        <w:rPr>
          <w:noProof/>
          <w:sz w:val="24"/>
          <w:szCs w:val="24"/>
        </w:rPr>
        <w:t>[32]</w:t>
      </w:r>
      <w:r w:rsidR="00C306EF" w:rsidRPr="00695061">
        <w:rPr>
          <w:sz w:val="24"/>
          <w:szCs w:val="24"/>
        </w:rPr>
        <w:fldChar w:fldCharType="end"/>
      </w:r>
      <w:r w:rsidR="00C306EF" w:rsidRPr="00695061">
        <w:rPr>
          <w:sz w:val="24"/>
          <w:szCs w:val="24"/>
        </w:rPr>
        <w:t>.</w:t>
      </w:r>
      <w:r w:rsidR="00232A95" w:rsidRPr="00695061">
        <w:rPr>
          <w:sz w:val="24"/>
          <w:szCs w:val="24"/>
        </w:rPr>
        <w:t xml:space="preserve"> </w:t>
      </w:r>
      <w:r w:rsidR="00275E05" w:rsidRPr="00695061">
        <w:rPr>
          <w:sz w:val="24"/>
          <w:szCs w:val="24"/>
        </w:rPr>
        <w:t>F</w:t>
      </w:r>
      <w:r w:rsidR="0031378A" w:rsidRPr="00695061">
        <w:rPr>
          <w:sz w:val="24"/>
          <w:szCs w:val="24"/>
        </w:rPr>
        <w:t xml:space="preserve">urthermore, in </w:t>
      </w:r>
      <w:r w:rsidR="00275E05" w:rsidRPr="00695061">
        <w:rPr>
          <w:sz w:val="24"/>
          <w:szCs w:val="24"/>
        </w:rPr>
        <w:t xml:space="preserve">a </w:t>
      </w:r>
      <w:r w:rsidR="0031378A" w:rsidRPr="00695061">
        <w:rPr>
          <w:sz w:val="24"/>
          <w:szCs w:val="24"/>
        </w:rPr>
        <w:t>clinical context, a synergy between statins and PDE5i has been suggested for treatment of erectile dysfunction</w:t>
      </w:r>
      <w:r w:rsidR="00C306EF" w:rsidRPr="00695061">
        <w:rPr>
          <w:sz w:val="24"/>
          <w:szCs w:val="24"/>
        </w:rPr>
        <w:t xml:space="preserve"> </w:t>
      </w:r>
      <w:r w:rsidR="00C306EF" w:rsidRPr="00695061">
        <w:rPr>
          <w:sz w:val="24"/>
          <w:szCs w:val="24"/>
        </w:rPr>
        <w:fldChar w:fldCharType="begin" w:fldLock="1"/>
      </w:r>
      <w:r w:rsidR="007D7BEE" w:rsidRPr="00695061">
        <w:rPr>
          <w:sz w:val="24"/>
          <w:szCs w:val="24"/>
        </w:rPr>
        <w:instrText>ADDIN CSL_CITATION {"citationItems":[{"id":"ITEM-1","itemData":{"DOI":"10.2164/jandrol.111.015230","ISSN":"01963635","PMID":"22052777","abstract":"Recently, it was reported that the administration of statins (lipid-lowering drugs) is associated with reduced levels of testosterone, and this evidence has opened a debate on the consequences these widely used drugs might have on the quality of erection. This is a very important clinical problem because patients with dyslipidemia are at increased risk of developing erectile dysfunction (ED); hence, statins exert a protective effect. At the same time, the administration of these drugs reduce endothelial dysfunction, a key etiopathogenetic factor in the onset of ED. Moreover, statins are universally considered a key element of secondary prevention for vascular events; therefore, several points are opened. In this critical summary, we attempt to evaluate the effects of statins on ED and to understand the mechanisms through which statins improve the quality of erection and the possible synergism with V phosphodiesterase inhibitors, drugs largely used for the treatment of ED. © American Society of Andrology.","author":[{"dropping-particle":"","family":"Vignera","given":"Sandro","non-dropping-particle":"La","parse-names":false,"suffix":""},{"dropping-particle":"","family":"Condorelli","given":"Rosita A.","non-dropping-particle":"","parse-names":false,"suffix":""},{"dropping-particle":"","family":"Vicari","given":"Enzo","non-dropping-particle":"","parse-names":false,"suffix":""},{"dropping-particle":"","family":"Calogero","given":"Aldo E.","non-dropping-particle":"","parse-names":false,"suffix":""}],"container-title":"Journal of Andrology","id":"ITEM-1","issue":"4","issued":{"date-parts":[["2012","7"]]},"page":"552-558","title":"Statins and erectile dysfunction: A critical summary of current evidence","type":"article","volume":"33"},"uris":["http://www.mendeley.com/documents/?uuid=08879e2c-1a1b-3a8f-bd1f-a0ea003402f5"]}],"mendeley":{"formattedCitation":"[33]","plainTextFormattedCitation":"[33]","previouslyFormattedCitation":"[33]"},"properties":{"noteIndex":0},"schema":"https://github.com/citation-style-language/schema/raw/master/csl-citation.json"}</w:instrText>
      </w:r>
      <w:r w:rsidR="00C306EF" w:rsidRPr="00695061">
        <w:rPr>
          <w:sz w:val="24"/>
          <w:szCs w:val="24"/>
        </w:rPr>
        <w:fldChar w:fldCharType="separate"/>
      </w:r>
      <w:r w:rsidR="007D7BEE" w:rsidRPr="00695061">
        <w:rPr>
          <w:noProof/>
          <w:sz w:val="24"/>
          <w:szCs w:val="24"/>
        </w:rPr>
        <w:t>[33]</w:t>
      </w:r>
      <w:r w:rsidR="00C306EF" w:rsidRPr="00695061">
        <w:rPr>
          <w:sz w:val="24"/>
          <w:szCs w:val="24"/>
        </w:rPr>
        <w:fldChar w:fldCharType="end"/>
      </w:r>
      <w:r w:rsidR="00C306EF" w:rsidRPr="00695061">
        <w:rPr>
          <w:sz w:val="24"/>
          <w:szCs w:val="24"/>
        </w:rPr>
        <w:t>.</w:t>
      </w:r>
      <w:r w:rsidR="0031378A" w:rsidRPr="00695061">
        <w:rPr>
          <w:sz w:val="24"/>
          <w:szCs w:val="24"/>
        </w:rPr>
        <w:t xml:space="preserve"> </w:t>
      </w:r>
      <w:r w:rsidR="00AA5EAD" w:rsidRPr="00695061">
        <w:rPr>
          <w:sz w:val="24"/>
          <w:szCs w:val="24"/>
        </w:rPr>
        <w:t>Although exact molecular mechanism by which the two drug cl</w:t>
      </w:r>
      <w:r w:rsidR="00BC59C7" w:rsidRPr="00695061">
        <w:rPr>
          <w:sz w:val="24"/>
          <w:szCs w:val="24"/>
        </w:rPr>
        <w:t>asses exert synergy is not known, an increased bioavailability of NO</w:t>
      </w:r>
      <w:r w:rsidR="00C93DA1" w:rsidRPr="00695061">
        <w:rPr>
          <w:sz w:val="24"/>
          <w:szCs w:val="24"/>
        </w:rPr>
        <w:t>, decreased Rho</w:t>
      </w:r>
      <w:r w:rsidR="00D50B91" w:rsidRPr="00695061">
        <w:rPr>
          <w:sz w:val="24"/>
          <w:szCs w:val="24"/>
        </w:rPr>
        <w:t xml:space="preserve">-associated kinase (ROCK) expression </w:t>
      </w:r>
      <w:r w:rsidR="00616EBF" w:rsidRPr="00695061">
        <w:rPr>
          <w:sz w:val="24"/>
          <w:szCs w:val="24"/>
        </w:rPr>
        <w:t>and increased intracellular cGMP concentrations have been suggested</w:t>
      </w:r>
      <w:r w:rsidR="00007DD0" w:rsidRPr="00695061">
        <w:rPr>
          <w:sz w:val="24"/>
          <w:szCs w:val="24"/>
        </w:rPr>
        <w:t xml:space="preserve"> </w:t>
      </w:r>
      <w:r w:rsidR="00C306EF" w:rsidRPr="00695061">
        <w:rPr>
          <w:sz w:val="24"/>
          <w:szCs w:val="24"/>
        </w:rPr>
        <w:fldChar w:fldCharType="begin" w:fldLock="1"/>
      </w:r>
      <w:r w:rsidR="007D7BEE" w:rsidRPr="00695061">
        <w:rPr>
          <w:sz w:val="24"/>
          <w:szCs w:val="24"/>
        </w:rPr>
        <w:instrText>ADDIN CSL_CITATION {"citationItems":[{"id":"ITEM-1","itemData":{"DOI":"10.1183/09031936.00143508","ISSN":"09031936","PMID":"19797670","abstract":"Statins have been proposed to be a potential treatment for pulmonary arterial hypertension. If introduced into clinical practice, the statin would have to be used in conjunction with established therapy. We investigated the effects of combining simvastatin with a phosphodiesterase type-5 inhibitor, sildenafil, in the rat model of hypoxia-induced pulmonary hypertension. Rats were allocated to either: 1) a prevention protocol, to receive simvastatin 20 mg·kg-1·day-1 by intraperitoneal injection or sildenafil 75 mg·kg-1·day-1 orally or the combination (or vehicle) for 2 weeks beginning at the start of exposure to hypoxia (10% inspired oxygen); or 2) a treatment protocol, where the same agents were administered in the last 2 weeks of a 4-week period of hypoxia. In both protocols, the combination of sildenafil and simvastatin lowered pulmonary artery pressure and produced a significantly greater reduction in right ventricular hypertrophy and pulmonary vascular muscularisation than either drug alone. Moreover, the combination augmented significantly endothelial nitric oxide synthase expression and cGMP levels in the lung and right ventricle above that produced by either drug independently and resulted in greater inhibition of RhoA activity. These data suggest that simvastatin can be usefully combined with sildenafil in the treatment of pulmonary arterial hypertension to achieve greater therapeutic benefit. Copyright©ERS Journals Ltd 2009.","author":[{"dropping-particle":"","family":"Zhao","given":"L.","non-dropping-particle":"","parse-names":false,"suffix":""},{"dropping-particle":"","family":"Sebkhi","given":"A.","non-dropping-particle":"","parse-names":false,"suffix":""},{"dropping-particle":"","family":"Ali","given":"O.","non-dropping-particle":"","parse-names":false,"suffix":""},{"dropping-particle":"","family":"Wojciak-Stothard","given":"B.","non-dropping-particle":"","parse-names":false,"suffix":""},{"dropping-particle":"","family":"Mamanova","given":"L.","non-dropping-particle":"","parse-names":false,"suffix":""},{"dropping-particle":"","family":"Yang","given":"Q.","non-dropping-particle":"","parse-names":false,"suffix":""},{"dropping-particle":"","family":"Wharton","given":"J.","non-dropping-particle":"","parse-names":false,"suffix":""},{"dropping-particle":"","family":"Wilkins","given":"M. R.","non-dropping-particle":"","parse-names":false,"suffix":""}],"container-title":"European Respiratory Journal","id":"ITEM-1","issue":"4","issued":{"date-parts":[["2009","10"]]},"page":"948-957","title":"Simvastatin and sildenafil combine to attenuate pulmonary hypertension","type":"article-journal","volume":"34"},"uris":["http://www.mendeley.com/documents/?uuid=65ce1ce7-909a-3414-a3b8-3188a235dcb2"]}],"mendeley":{"formattedCitation":"[32]","plainTextFormattedCitation":"[32]","previouslyFormattedCitation":"[32]"},"properties":{"noteIndex":0},"schema":"https://github.com/citation-style-language/schema/raw/master/csl-citation.json"}</w:instrText>
      </w:r>
      <w:r w:rsidR="00C306EF" w:rsidRPr="00695061">
        <w:rPr>
          <w:sz w:val="24"/>
          <w:szCs w:val="24"/>
        </w:rPr>
        <w:fldChar w:fldCharType="separate"/>
      </w:r>
      <w:r w:rsidR="007D7BEE" w:rsidRPr="00695061">
        <w:rPr>
          <w:noProof/>
          <w:sz w:val="24"/>
          <w:szCs w:val="24"/>
        </w:rPr>
        <w:t>[32]</w:t>
      </w:r>
      <w:r w:rsidR="00C306EF" w:rsidRPr="00695061">
        <w:rPr>
          <w:sz w:val="24"/>
          <w:szCs w:val="24"/>
        </w:rPr>
        <w:fldChar w:fldCharType="end"/>
      </w:r>
      <w:r w:rsidR="00C306EF" w:rsidRPr="00695061">
        <w:rPr>
          <w:sz w:val="24"/>
          <w:szCs w:val="24"/>
        </w:rPr>
        <w:t>.</w:t>
      </w:r>
      <w:r w:rsidR="00616EBF" w:rsidRPr="00695061">
        <w:rPr>
          <w:sz w:val="24"/>
          <w:szCs w:val="24"/>
        </w:rPr>
        <w:t xml:space="preserve"> </w:t>
      </w:r>
      <w:r w:rsidR="00570DDC" w:rsidRPr="00695061">
        <w:rPr>
          <w:sz w:val="24"/>
          <w:szCs w:val="24"/>
        </w:rPr>
        <w:t xml:space="preserve">Whether such a molecular interaction would result in inhibition of myofibroblast </w:t>
      </w:r>
      <w:r w:rsidR="00007DD0" w:rsidRPr="00695061">
        <w:rPr>
          <w:sz w:val="24"/>
          <w:szCs w:val="24"/>
        </w:rPr>
        <w:t>transformation warrants further research.</w:t>
      </w:r>
    </w:p>
    <w:p w14:paraId="04302231" w14:textId="0ECDDB9B" w:rsidR="0044512A" w:rsidRPr="00695061" w:rsidRDefault="0044512A" w:rsidP="00024FCE">
      <w:pPr>
        <w:jc w:val="both"/>
        <w:rPr>
          <w:sz w:val="24"/>
          <w:szCs w:val="24"/>
        </w:rPr>
      </w:pPr>
      <w:r w:rsidRPr="00695061">
        <w:rPr>
          <w:sz w:val="24"/>
          <w:szCs w:val="24"/>
        </w:rPr>
        <w:t xml:space="preserve">Selective </w:t>
      </w:r>
      <w:proofErr w:type="spellStart"/>
      <w:r w:rsidRPr="00695061">
        <w:rPr>
          <w:sz w:val="24"/>
          <w:szCs w:val="24"/>
        </w:rPr>
        <w:t>estrogen</w:t>
      </w:r>
      <w:proofErr w:type="spellEnd"/>
      <w:r w:rsidRPr="00695061">
        <w:rPr>
          <w:sz w:val="24"/>
          <w:szCs w:val="24"/>
        </w:rPr>
        <w:t xml:space="preserve"> receptor modulators such as tamoxifen have previously been investigated in clinical studies </w:t>
      </w:r>
      <w:r w:rsidR="002D2DC7" w:rsidRPr="00695061">
        <w:rPr>
          <w:sz w:val="24"/>
          <w:szCs w:val="24"/>
        </w:rPr>
        <w:t xml:space="preserve">on men with PD. A non-randomised study </w:t>
      </w:r>
      <w:r w:rsidR="005138E7" w:rsidRPr="00695061">
        <w:rPr>
          <w:sz w:val="24"/>
          <w:szCs w:val="24"/>
        </w:rPr>
        <w:t xml:space="preserve">of 36 men </w:t>
      </w:r>
      <w:r w:rsidR="00E94411" w:rsidRPr="00695061">
        <w:rPr>
          <w:sz w:val="24"/>
          <w:szCs w:val="24"/>
        </w:rPr>
        <w:t xml:space="preserve">demonstrated that patients with early disease responded </w:t>
      </w:r>
      <w:r w:rsidR="00160431" w:rsidRPr="00695061">
        <w:rPr>
          <w:sz w:val="24"/>
          <w:szCs w:val="24"/>
        </w:rPr>
        <w:t>better to tamoxifen than patients with a longer history</w:t>
      </w:r>
      <w:r w:rsidR="00F15529" w:rsidRPr="00695061">
        <w:rPr>
          <w:sz w:val="24"/>
          <w:szCs w:val="24"/>
        </w:rPr>
        <w:t xml:space="preserve"> in </w:t>
      </w:r>
      <w:r w:rsidR="00C26D22" w:rsidRPr="00695061">
        <w:rPr>
          <w:sz w:val="24"/>
          <w:szCs w:val="24"/>
        </w:rPr>
        <w:t>painful</w:t>
      </w:r>
      <w:r w:rsidR="00F15529" w:rsidRPr="00695061">
        <w:rPr>
          <w:sz w:val="24"/>
          <w:szCs w:val="24"/>
        </w:rPr>
        <w:t xml:space="preserve"> erection scores, curvature degree and plaque scores</w:t>
      </w:r>
      <w:r w:rsidR="00214486" w:rsidRPr="00695061">
        <w:rPr>
          <w:sz w:val="24"/>
          <w:szCs w:val="24"/>
        </w:rPr>
        <w:t xml:space="preserve"> </w:t>
      </w:r>
      <w:r w:rsidR="00214486" w:rsidRPr="00695061">
        <w:rPr>
          <w:sz w:val="24"/>
          <w:szCs w:val="24"/>
        </w:rPr>
        <w:fldChar w:fldCharType="begin" w:fldLock="1"/>
      </w:r>
      <w:r w:rsidR="007D7BEE" w:rsidRPr="00695061">
        <w:rPr>
          <w:sz w:val="24"/>
          <w:szCs w:val="24"/>
        </w:rPr>
        <w:instrText>ADDIN CSL_CITATION {"citationItems":[{"id":"ITEM-1","itemData":{"author":[{"dropping-particle":"","family":"Ralph","given":"D J","non-dropping-particle":"","parse-names":false,"suffix":""},{"dropping-particle":"","family":"Brooks","given":"M D","non-dropping-particle":"","parse-names":false,"suffix":""},{"dropping-particle":"","family":"Bottazoo","given":"G F","non-dropping-particle":"","parse-names":false,"suffix":""},{"dropping-particle":"","family":"Pryor","given":"J P","non-dropping-particle":"","parse-names":false,"suffix":""}],"container-title":"British Journal of Urology","id":"ITEM-1","issue":"70","issued":{"date-parts":[["1992"]]},"page":"648-651","title":"The Treatment of Peyronie's Disease with Tamoxifen","type":"article-journal"},"uris":["http://www.mendeley.com/documents/?uuid=3ebf9a87-97c9-35a9-bbc5-d2403f732104"]}],"mendeley":{"formattedCitation":"[34]","plainTextFormattedCitation":"[34]","previouslyFormattedCitation":"[34]"},"properties":{"noteIndex":0},"schema":"https://github.com/citation-style-language/schema/raw/master/csl-citation.json"}</w:instrText>
      </w:r>
      <w:r w:rsidR="00214486" w:rsidRPr="00695061">
        <w:rPr>
          <w:sz w:val="24"/>
          <w:szCs w:val="24"/>
        </w:rPr>
        <w:fldChar w:fldCharType="separate"/>
      </w:r>
      <w:r w:rsidR="007D7BEE" w:rsidRPr="00695061">
        <w:rPr>
          <w:noProof/>
          <w:sz w:val="24"/>
          <w:szCs w:val="24"/>
        </w:rPr>
        <w:t>[34]</w:t>
      </w:r>
      <w:r w:rsidR="00214486" w:rsidRPr="00695061">
        <w:rPr>
          <w:sz w:val="24"/>
          <w:szCs w:val="24"/>
        </w:rPr>
        <w:fldChar w:fldCharType="end"/>
      </w:r>
      <w:r w:rsidR="00214486" w:rsidRPr="00695061">
        <w:rPr>
          <w:sz w:val="24"/>
          <w:szCs w:val="24"/>
        </w:rPr>
        <w:t>.</w:t>
      </w:r>
      <w:r w:rsidR="00C26D22" w:rsidRPr="00695061">
        <w:rPr>
          <w:sz w:val="24"/>
          <w:szCs w:val="24"/>
        </w:rPr>
        <w:t xml:space="preserve"> In a rand</w:t>
      </w:r>
      <w:r w:rsidR="005A64C9" w:rsidRPr="00695061">
        <w:rPr>
          <w:sz w:val="24"/>
          <w:szCs w:val="24"/>
        </w:rPr>
        <w:t>o</w:t>
      </w:r>
      <w:r w:rsidR="00C26D22" w:rsidRPr="00695061">
        <w:rPr>
          <w:sz w:val="24"/>
          <w:szCs w:val="24"/>
        </w:rPr>
        <w:t xml:space="preserve">mised </w:t>
      </w:r>
      <w:r w:rsidR="00C00F29" w:rsidRPr="00695061">
        <w:rPr>
          <w:sz w:val="24"/>
          <w:szCs w:val="24"/>
        </w:rPr>
        <w:t xml:space="preserve">placebo-controlled </w:t>
      </w:r>
      <w:r w:rsidR="005A64C9" w:rsidRPr="00695061">
        <w:rPr>
          <w:sz w:val="24"/>
          <w:szCs w:val="24"/>
        </w:rPr>
        <w:t>study of</w:t>
      </w:r>
      <w:r w:rsidR="00C00F29" w:rsidRPr="00695061">
        <w:rPr>
          <w:sz w:val="24"/>
          <w:szCs w:val="24"/>
        </w:rPr>
        <w:t xml:space="preserve"> 25 men showed no statistically significant differences between the </w:t>
      </w:r>
      <w:r w:rsidR="000344B9" w:rsidRPr="00695061">
        <w:rPr>
          <w:sz w:val="24"/>
          <w:szCs w:val="24"/>
        </w:rPr>
        <w:t>tamoxifen</w:t>
      </w:r>
      <w:r w:rsidR="00C00F29" w:rsidRPr="00695061">
        <w:rPr>
          <w:sz w:val="24"/>
          <w:szCs w:val="24"/>
        </w:rPr>
        <w:t xml:space="preserve"> and placebo group</w:t>
      </w:r>
      <w:r w:rsidR="000344B9" w:rsidRPr="00695061">
        <w:rPr>
          <w:sz w:val="24"/>
          <w:szCs w:val="24"/>
        </w:rPr>
        <w:t>s</w:t>
      </w:r>
      <w:r w:rsidR="00C00F29" w:rsidRPr="00695061">
        <w:rPr>
          <w:sz w:val="24"/>
          <w:szCs w:val="24"/>
        </w:rPr>
        <w:t xml:space="preserve"> </w:t>
      </w:r>
      <w:r w:rsidR="00AF040B" w:rsidRPr="00695061">
        <w:rPr>
          <w:sz w:val="24"/>
          <w:szCs w:val="24"/>
        </w:rPr>
        <w:t>in regard to</w:t>
      </w:r>
      <w:r w:rsidR="00C00F29" w:rsidRPr="00695061">
        <w:rPr>
          <w:sz w:val="24"/>
          <w:szCs w:val="24"/>
        </w:rPr>
        <w:t xml:space="preserve"> the reduction of penile deformity, decrease penile pain and decrease in plaque size</w:t>
      </w:r>
      <w:r w:rsidR="000344B9" w:rsidRPr="00695061">
        <w:rPr>
          <w:sz w:val="24"/>
          <w:szCs w:val="24"/>
        </w:rPr>
        <w:t xml:space="preserve"> </w:t>
      </w:r>
      <w:r w:rsidR="008066E4" w:rsidRPr="00695061">
        <w:rPr>
          <w:sz w:val="24"/>
          <w:szCs w:val="24"/>
        </w:rPr>
        <w:fldChar w:fldCharType="begin" w:fldLock="1"/>
      </w:r>
      <w:r w:rsidR="007D7BEE" w:rsidRPr="00695061">
        <w:rPr>
          <w:sz w:val="24"/>
          <w:szCs w:val="24"/>
        </w:rPr>
        <w:instrText>ADDIN CSL_CITATION {"citationItems":[{"id":"ITEM-1","itemData":{"DOI":"10.1016/S0022-5347(05)68087-1","ISSN":"00225347","abstract":"Purpose: We evaluated the effects of oral tamoxifen and placebo in patients with Peyronie's disease. Materials and Methods: We selected 25 patients with Peyronie's disease who did not have calcified plaque for treatment in the andrology outpatient clinic. A medical history was obtained, and physical examination, penile x-ray, penile ultrasound and pharmacologically induced erection with prostaglandin E1 were performed. Patients were randomly divided into group 1 - those who received 20 mg. tamoxifen twice daily for 3 months and group 2 - those who received placebo for the same period. The same evaluations were done 4 months later and results were compared. Qualitative (chi-square test) and quantitative (Student's t test) results were analyzed using the Yates correction factor with p &lt;0.05 considered significant. Results: Pain subsided in 66.6 and 75% of the patients treated with tamoxifen and placebo, respectively (p &gt;0.05). In groups 1 and 2 a reduction in the penile deformity was noticed by 46.1 and 41.7% of the patients (p &gt;0.05), and a decrease in plaque size was noticed by 30.7 and 25%, respectively. On the other hand, objective measurements did not reveal any difference in plaque area or curvature angle. Conclusions: This study did not show significant improvement in pain, curvature or plaque size in patients with Peyronie's disease who were treated with tamoxifen compared with those treated with placebo.","author":[{"dropping-particle":"","family":"Teloken","given":"Claudio","non-dropping-particle":"","parse-names":false,"suffix":""},{"dropping-particle":"","family":"Rhoden","given":"Ernani Luis","non-dropping-particle":"","parse-names":false,"suffix":""},{"dropping-particle":"","family":"Grazziotin","given":"Túlio Meyer","non-dropping-particle":"","parse-names":false,"suffix":""},{"dropping-particle":"","family":"Teodósio Da Ros","given":"Carlos","non-dropping-particle":"","parse-names":false,"suffix":""},{"dropping-particle":"","family":"Sogari","given":"Paulo Roberto","non-dropping-particle":"","parse-names":false,"suffix":""},{"dropping-particle":"","family":"Souto","given":"Carlos Ary Vargas","non-dropping-particle":"","parse-names":false,"suffix":""}],"container-title":"Journal of Urology","id":"ITEM-1","issued":{"date-parts":[["1999"]]},"title":"Tamoxifen versus placebo in the treatment of Peyronie's disease","type":"article-journal"},"uris":["http://www.mendeley.com/documents/?uuid=9cb8587f-8eaf-3100-a7f5-daf38913ce3d"]}],"mendeley":{"formattedCitation":"[35]","plainTextFormattedCitation":"[35]","previouslyFormattedCitation":"[35]"},"properties":{"noteIndex":0},"schema":"https://github.com/citation-style-language/schema/raw/master/csl-citation.json"}</w:instrText>
      </w:r>
      <w:r w:rsidR="008066E4" w:rsidRPr="00695061">
        <w:rPr>
          <w:sz w:val="24"/>
          <w:szCs w:val="24"/>
        </w:rPr>
        <w:fldChar w:fldCharType="separate"/>
      </w:r>
      <w:r w:rsidR="007D7BEE" w:rsidRPr="00695061">
        <w:rPr>
          <w:noProof/>
          <w:sz w:val="24"/>
          <w:szCs w:val="24"/>
        </w:rPr>
        <w:t>[35]</w:t>
      </w:r>
      <w:r w:rsidR="008066E4" w:rsidRPr="00695061">
        <w:rPr>
          <w:sz w:val="24"/>
          <w:szCs w:val="24"/>
        </w:rPr>
        <w:fldChar w:fldCharType="end"/>
      </w:r>
      <w:r w:rsidR="008066E4" w:rsidRPr="00695061">
        <w:rPr>
          <w:sz w:val="24"/>
          <w:szCs w:val="24"/>
        </w:rPr>
        <w:t xml:space="preserve">. </w:t>
      </w:r>
      <w:r w:rsidR="00C00F29" w:rsidRPr="00695061">
        <w:rPr>
          <w:sz w:val="24"/>
          <w:szCs w:val="24"/>
        </w:rPr>
        <w:t xml:space="preserve">Although the authors selected patients with no calcified plaques, the mean duration of PD was 20 months which may explain the discrepancy between the results reported by these authors and the </w:t>
      </w:r>
      <w:r w:rsidR="008E7653" w:rsidRPr="00695061">
        <w:rPr>
          <w:sz w:val="24"/>
          <w:szCs w:val="24"/>
        </w:rPr>
        <w:t xml:space="preserve">previous </w:t>
      </w:r>
      <w:r w:rsidR="00C00F29" w:rsidRPr="00695061">
        <w:rPr>
          <w:sz w:val="24"/>
          <w:szCs w:val="24"/>
        </w:rPr>
        <w:t xml:space="preserve">study </w:t>
      </w:r>
      <w:r w:rsidR="008066E4" w:rsidRPr="00695061">
        <w:rPr>
          <w:sz w:val="24"/>
          <w:szCs w:val="24"/>
        </w:rPr>
        <w:fldChar w:fldCharType="begin" w:fldLock="1"/>
      </w:r>
      <w:r w:rsidR="007D7BEE" w:rsidRPr="00695061">
        <w:rPr>
          <w:sz w:val="24"/>
          <w:szCs w:val="24"/>
        </w:rPr>
        <w:instrText>ADDIN CSL_CITATION {"citationItems":[{"id":"ITEM-1","itemData":{"author":[{"dropping-particle":"","family":"Ralph","given":"D J","non-dropping-particle":"","parse-names":false,"suffix":""},{"dropping-particle":"","family":"Brooks","given":"M D","non-dropping-particle":"","parse-names":false,"suffix":""},{"dropping-particle":"","family":"Bottazoo","given":"G F","non-dropping-particle":"","parse-names":false,"suffix":""},{"dropping-particle":"","family":"Pryor","given":"J P","non-dropping-particle":"","parse-names":false,"suffix":""}],"container-title":"British Journal of Urology","id":"ITEM-1","issue":"70","issued":{"date-parts":[["1992"]]},"page":"648-651","title":"The Treatment of Peyronie's Disease with Tamoxifen","type":"article-journal"},"uris":["http://www.mendeley.com/documents/?uuid=3ebf9a87-97c9-35a9-bbc5-d2403f732104"]}],"mendeley":{"formattedCitation":"[34]","plainTextFormattedCitation":"[34]","previouslyFormattedCitation":"[34]"},"properties":{"noteIndex":0},"schema":"https://github.com/citation-style-language/schema/raw/master/csl-citation.json"}</w:instrText>
      </w:r>
      <w:r w:rsidR="008066E4" w:rsidRPr="00695061">
        <w:rPr>
          <w:sz w:val="24"/>
          <w:szCs w:val="24"/>
        </w:rPr>
        <w:fldChar w:fldCharType="separate"/>
      </w:r>
      <w:r w:rsidR="007D7BEE" w:rsidRPr="00695061">
        <w:rPr>
          <w:noProof/>
          <w:sz w:val="24"/>
          <w:szCs w:val="24"/>
        </w:rPr>
        <w:t>[34]</w:t>
      </w:r>
      <w:r w:rsidR="008066E4" w:rsidRPr="00695061">
        <w:rPr>
          <w:sz w:val="24"/>
          <w:szCs w:val="24"/>
        </w:rPr>
        <w:fldChar w:fldCharType="end"/>
      </w:r>
      <w:r w:rsidR="008066E4" w:rsidRPr="00695061">
        <w:rPr>
          <w:sz w:val="24"/>
          <w:szCs w:val="24"/>
        </w:rPr>
        <w:t xml:space="preserve"> </w:t>
      </w:r>
      <w:r w:rsidR="00C00F29" w:rsidRPr="00695061">
        <w:rPr>
          <w:sz w:val="24"/>
          <w:szCs w:val="24"/>
        </w:rPr>
        <w:t xml:space="preserve">where the patients were in </w:t>
      </w:r>
      <w:r w:rsidR="00C00F29" w:rsidRPr="00695061">
        <w:rPr>
          <w:sz w:val="24"/>
          <w:szCs w:val="24"/>
        </w:rPr>
        <w:lastRenderedPageBreak/>
        <w:t>the early phase of PD</w:t>
      </w:r>
      <w:r w:rsidR="008E7653" w:rsidRPr="00695061">
        <w:rPr>
          <w:sz w:val="24"/>
          <w:szCs w:val="24"/>
        </w:rPr>
        <w:t>.</w:t>
      </w:r>
      <w:r w:rsidR="005A64C9" w:rsidRPr="00695061">
        <w:rPr>
          <w:sz w:val="24"/>
          <w:szCs w:val="24"/>
        </w:rPr>
        <w:t xml:space="preserve"> </w:t>
      </w:r>
      <w:r w:rsidR="00164BDB" w:rsidRPr="00695061">
        <w:rPr>
          <w:sz w:val="24"/>
          <w:szCs w:val="24"/>
        </w:rPr>
        <w:t xml:space="preserve">Another study showed </w:t>
      </w:r>
      <w:r w:rsidR="00897E3D" w:rsidRPr="00695061">
        <w:rPr>
          <w:sz w:val="24"/>
          <w:szCs w:val="24"/>
        </w:rPr>
        <w:t xml:space="preserve">that tamoxifen decreased plaque size and slowed the progression of the </w:t>
      </w:r>
      <w:r w:rsidR="00B87FDF" w:rsidRPr="00695061">
        <w:rPr>
          <w:sz w:val="24"/>
          <w:szCs w:val="24"/>
        </w:rPr>
        <w:t>disease</w:t>
      </w:r>
      <w:r w:rsidR="00897E3D" w:rsidRPr="00695061">
        <w:rPr>
          <w:sz w:val="24"/>
          <w:szCs w:val="24"/>
        </w:rPr>
        <w:t xml:space="preserve"> but did not affect the penile curvature</w:t>
      </w:r>
      <w:r w:rsidR="00B87FDF" w:rsidRPr="00695061">
        <w:rPr>
          <w:sz w:val="24"/>
          <w:szCs w:val="24"/>
        </w:rPr>
        <w:t xml:space="preserve"> in acute PD</w:t>
      </w:r>
      <w:r w:rsidR="008066E4" w:rsidRPr="00695061">
        <w:rPr>
          <w:sz w:val="24"/>
          <w:szCs w:val="24"/>
        </w:rPr>
        <w:t xml:space="preserve"> </w:t>
      </w:r>
      <w:r w:rsidR="008066E4" w:rsidRPr="00695061">
        <w:rPr>
          <w:sz w:val="24"/>
          <w:szCs w:val="24"/>
        </w:rPr>
        <w:fldChar w:fldCharType="begin" w:fldLock="1"/>
      </w:r>
      <w:r w:rsidR="007D7BEE" w:rsidRPr="00695061">
        <w:rPr>
          <w:sz w:val="24"/>
          <w:szCs w:val="24"/>
        </w:rPr>
        <w:instrText>ADDIN CSL_CITATION {"citationItems":[{"id":"ITEM-1","itemData":{"DOI":"10.1046/j.1464-410X.2001.02241.x","ISBN":"1464-4096 (Print)\\r1464-4096 (Linking)","ISSN":"14644096","PMID":"11446848","abstract":"Objective To detect whether oral acetyl-l-carnitine might be useful in the acute and early chronic phases of Peyronie's disease, compared with tamoxifen, a drug currently in use. Patients and methods The study included 48 patients with Peyronie's disease (15 acute and 33 initial chronic), randomized equally into two groups. The first group used tamoxifen 20 mg twice daily for 3 months and the second acetyl-l-carnitine 1 g twice daily for 3 months. The disease and stages were diagnosed and identified using a history, objective examination, pharmacologically induced erection, autophotography during erection, and basic and dynamic colour Doppler ultrasonography. Penile curvature, plaque size, pain and disease progression were assessed. The differences between the groups or between the variables before and after therapy were compared using analysis of variance or the chi-squared test. Results Acetyl-l-carnitine was significantly more effective than tamoxifen in reducing pain and in inhibiting disease progression. Acetyl-l-carnitine reduced penile curvature significantly, while tamoxifen did not; both drugs significantly reduced plaque size. Tamoxifen induced significantly more side-effects than acetyl-l-carnitine. Conclusions These results suggest that acetyl-l-carnitine is significantly more effective and safe than tamoxifen in the therapy of acute and early chronic Peyronie's disease.","author":[{"dropping-particle":"","family":"Biagiotti","given":"G.","non-dropping-particle":"","parse-names":false,"suffix":""},{"dropping-particle":"","family":"Cavallini","given":"G.","non-dropping-particle":"","parse-names":false,"suffix":""}],"container-title":"BJU International","id":"ITEM-1","issue":"1","issued":{"date-parts":[["2001"]]},"page":"63-67","title":"Acetyl-L-carnitine vs tamoxifen in the oral therapy of Peyronie's disease: A preliminary report","type":"article-journal","volume":"88"},"uris":["http://www.mendeley.com/documents/?uuid=a933cd78-468c-3a95-8c78-245689c7c903"]}],"mendeley":{"formattedCitation":"[36]","plainTextFormattedCitation":"[36]","previouslyFormattedCitation":"[36]"},"properties":{"noteIndex":0},"schema":"https://github.com/citation-style-language/schema/raw/master/csl-citation.json"}</w:instrText>
      </w:r>
      <w:r w:rsidR="008066E4" w:rsidRPr="00695061">
        <w:rPr>
          <w:sz w:val="24"/>
          <w:szCs w:val="24"/>
        </w:rPr>
        <w:fldChar w:fldCharType="separate"/>
      </w:r>
      <w:r w:rsidR="007D7BEE" w:rsidRPr="00695061">
        <w:rPr>
          <w:noProof/>
          <w:sz w:val="24"/>
          <w:szCs w:val="24"/>
        </w:rPr>
        <w:t>[36]</w:t>
      </w:r>
      <w:r w:rsidR="008066E4" w:rsidRPr="00695061">
        <w:rPr>
          <w:sz w:val="24"/>
          <w:szCs w:val="24"/>
        </w:rPr>
        <w:fldChar w:fldCharType="end"/>
      </w:r>
      <w:r w:rsidR="008066E4" w:rsidRPr="00695061">
        <w:rPr>
          <w:sz w:val="24"/>
          <w:szCs w:val="24"/>
        </w:rPr>
        <w:t>.</w:t>
      </w:r>
      <w:r w:rsidR="00B87FDF" w:rsidRPr="00695061">
        <w:rPr>
          <w:sz w:val="24"/>
          <w:szCs w:val="24"/>
        </w:rPr>
        <w:t xml:space="preserve"> </w:t>
      </w:r>
    </w:p>
    <w:p w14:paraId="0F77EA69" w14:textId="4058FE81" w:rsidR="00B87FDF" w:rsidRPr="00695061" w:rsidRDefault="00B87FDF" w:rsidP="00024FCE">
      <w:pPr>
        <w:jc w:val="both"/>
        <w:rPr>
          <w:sz w:val="24"/>
          <w:szCs w:val="24"/>
        </w:rPr>
      </w:pPr>
      <w:r w:rsidRPr="00695061">
        <w:rPr>
          <w:sz w:val="24"/>
          <w:szCs w:val="24"/>
        </w:rPr>
        <w:t xml:space="preserve">In the current study, we showed </w:t>
      </w:r>
      <w:r w:rsidR="004A3A10" w:rsidRPr="00695061">
        <w:rPr>
          <w:sz w:val="24"/>
          <w:szCs w:val="24"/>
        </w:rPr>
        <w:t>that</w:t>
      </w:r>
      <w:r w:rsidR="00C02344" w:rsidRPr="00695061">
        <w:rPr>
          <w:sz w:val="24"/>
          <w:szCs w:val="24"/>
        </w:rPr>
        <w:t xml:space="preserve"> simvastatin and </w:t>
      </w:r>
      <w:r w:rsidR="008F093B" w:rsidRPr="00695061">
        <w:rPr>
          <w:sz w:val="24"/>
          <w:szCs w:val="24"/>
        </w:rPr>
        <w:t xml:space="preserve">tamoxifen </w:t>
      </w:r>
      <w:r w:rsidR="004A3A10" w:rsidRPr="00695061">
        <w:rPr>
          <w:sz w:val="24"/>
          <w:szCs w:val="24"/>
        </w:rPr>
        <w:t xml:space="preserve">did not have synergistic action </w:t>
      </w:r>
      <w:r w:rsidR="00314489" w:rsidRPr="00695061">
        <w:rPr>
          <w:sz w:val="24"/>
          <w:szCs w:val="24"/>
        </w:rPr>
        <w:t xml:space="preserve">in preventing </w:t>
      </w:r>
      <w:r w:rsidR="00362374" w:rsidRPr="00695061">
        <w:rPr>
          <w:sz w:val="24"/>
          <w:szCs w:val="24"/>
        </w:rPr>
        <w:t>transformation of fibroblasts to myofibroblasts</w:t>
      </w:r>
      <w:r w:rsidR="00144D19" w:rsidRPr="00695061">
        <w:rPr>
          <w:sz w:val="24"/>
          <w:szCs w:val="24"/>
        </w:rPr>
        <w:t xml:space="preserve">. </w:t>
      </w:r>
      <w:r w:rsidR="00696E96" w:rsidRPr="00695061">
        <w:rPr>
          <w:sz w:val="24"/>
          <w:szCs w:val="24"/>
        </w:rPr>
        <w:t xml:space="preserve">A previous study showed a synergy between </w:t>
      </w:r>
      <w:r w:rsidR="005270C9" w:rsidRPr="00695061">
        <w:rPr>
          <w:sz w:val="24"/>
          <w:szCs w:val="24"/>
        </w:rPr>
        <w:t>tamoxifen and simvastatin in ind</w:t>
      </w:r>
      <w:r w:rsidR="005140F9" w:rsidRPr="00695061">
        <w:rPr>
          <w:sz w:val="24"/>
          <w:szCs w:val="24"/>
        </w:rPr>
        <w:t>uci</w:t>
      </w:r>
      <w:r w:rsidR="005270C9" w:rsidRPr="00695061">
        <w:rPr>
          <w:sz w:val="24"/>
          <w:szCs w:val="24"/>
        </w:rPr>
        <w:t xml:space="preserve">ng apoptosis in </w:t>
      </w:r>
      <w:proofErr w:type="spellStart"/>
      <w:r w:rsidR="005140F9" w:rsidRPr="00695061">
        <w:rPr>
          <w:sz w:val="24"/>
          <w:szCs w:val="24"/>
        </w:rPr>
        <w:t>estrogen</w:t>
      </w:r>
      <w:proofErr w:type="spellEnd"/>
      <w:r w:rsidR="005140F9" w:rsidRPr="00695061">
        <w:rPr>
          <w:sz w:val="24"/>
          <w:szCs w:val="24"/>
        </w:rPr>
        <w:t xml:space="preserve"> receptor-positive (ER+) breast cancer cell line </w:t>
      </w:r>
      <w:r w:rsidR="008066E4" w:rsidRPr="00695061">
        <w:rPr>
          <w:sz w:val="24"/>
          <w:szCs w:val="24"/>
        </w:rPr>
        <w:fldChar w:fldCharType="begin" w:fldLock="1"/>
      </w:r>
      <w:r w:rsidR="007D7BEE" w:rsidRPr="00695061">
        <w:rPr>
          <w:sz w:val="24"/>
          <w:szCs w:val="24"/>
        </w:rPr>
        <w:instrText>ADDIN CSL_CITATION {"citationItems":[{"id":"ITEM-1","itemData":{"DOI":"10.1016/j.toxrep.2019.10.016","ISSN":"22147500","abstract":"Tamoxifen (TAM) is a nonsteroidal antiestrogen drug, used in the prevention and treatment of all stages of hormone-responsive breast cancer. Simvastatin (SIM), a lipid-lowering agent, has been shown to inhibit cancer cell growth. The study aimed at investigating the impact of using SIM with TAM in estrogen receptor-positive (ER+) breast cancer cell line, T47D, as well as in mice-bearing Ehrlich solid tumor. The cell line was treated with different concentrations of TAM or/and SIM for 72 h. The effects of treatment on cytotoxicity, oxidative stress markers, apoptosis, angiogenesis, and metastasis were investigated. Our results showed that the combination treatment decreased the oxidative stress markers, glucose uptake, VEGF, and MMP 2 &amp;9 in the cell line compared to TAM- treated cells. Drug interaction of TAM and SIM was synergistic in T47D by increasing the apoptotic makers Bax/BCL-2 ratio and caspase 3 activity. Additionally, in vivo, the combination regimen resulted in a non-significant decrease in the tumor volume compared to TAM treated group. Moreover, the combined treatment decreased the protein expression of TNF-α, NF-kB compared to control. In conclusion, our results suggest that SIM may serve as a promising treatment with TAM for improving the efficacy against estrogen receptor-positive (ER+) breast cancer.","author":[{"dropping-particle":"","family":"Ibrahim","given":"Amel B.","non-dropping-particle":"","parse-names":false,"suffix":""},{"dropping-particle":"","family":"Zaki","given":"Hala F.","non-dropping-particle":"","parse-names":false,"suffix":""},{"dropping-particle":"","family":"Ibrahim","given":"Walaa W.","non-dropping-particle":"","parse-names":false,"suffix":""},{"dropping-particle":"","family":"Omran","given":"Mervat M.","non-dropping-particle":"","parse-names":false,"suffix":""},{"dropping-particle":"","family":"Shouman","given":"Samia A.","non-dropping-particle":"","parse-names":false,"suffix":""}],"container-title":"Toxicology Reports","id":"ITEM-1","issued":{"date-parts":[["2019","1","1"]]},"page":"1114-1126","publisher":"Elsevier Inc.","title":"Evaluation of tamoxifen and simvastatin as the combination therapy for the treatment of hormonal dependent breast cancer cells","type":"article-journal","volume":"6"},"uris":["http://www.mendeley.com/documents/?uuid=cdbaf633-75ba-3209-a2d7-6cc1026f5718"]}],"mendeley":{"formattedCitation":"[37]","plainTextFormattedCitation":"[37]","previouslyFormattedCitation":"[37]"},"properties":{"noteIndex":0},"schema":"https://github.com/citation-style-language/schema/raw/master/csl-citation.json"}</w:instrText>
      </w:r>
      <w:r w:rsidR="008066E4" w:rsidRPr="00695061">
        <w:rPr>
          <w:sz w:val="24"/>
          <w:szCs w:val="24"/>
        </w:rPr>
        <w:fldChar w:fldCharType="separate"/>
      </w:r>
      <w:r w:rsidR="007D7BEE" w:rsidRPr="00695061">
        <w:rPr>
          <w:noProof/>
          <w:sz w:val="24"/>
          <w:szCs w:val="24"/>
        </w:rPr>
        <w:t>[37]</w:t>
      </w:r>
      <w:r w:rsidR="008066E4" w:rsidRPr="00695061">
        <w:rPr>
          <w:sz w:val="24"/>
          <w:szCs w:val="24"/>
        </w:rPr>
        <w:fldChar w:fldCharType="end"/>
      </w:r>
      <w:r w:rsidR="008066E4" w:rsidRPr="00695061">
        <w:rPr>
          <w:sz w:val="24"/>
          <w:szCs w:val="24"/>
        </w:rPr>
        <w:t>.</w:t>
      </w:r>
      <w:r w:rsidR="003A7254" w:rsidRPr="00695061">
        <w:rPr>
          <w:sz w:val="24"/>
          <w:szCs w:val="24"/>
        </w:rPr>
        <w:t xml:space="preserve"> In a different </w:t>
      </w:r>
      <w:r w:rsidR="00203740" w:rsidRPr="00695061">
        <w:rPr>
          <w:sz w:val="24"/>
          <w:szCs w:val="24"/>
        </w:rPr>
        <w:t xml:space="preserve">breast cancer cell line, an antagonistic </w:t>
      </w:r>
      <w:r w:rsidR="00E877DA" w:rsidRPr="00695061">
        <w:rPr>
          <w:sz w:val="24"/>
          <w:szCs w:val="24"/>
        </w:rPr>
        <w:t>interaction</w:t>
      </w:r>
      <w:r w:rsidR="00203740" w:rsidRPr="00695061">
        <w:rPr>
          <w:sz w:val="24"/>
          <w:szCs w:val="24"/>
        </w:rPr>
        <w:t xml:space="preserve"> was observed between simvastatin and tamoxifen</w:t>
      </w:r>
      <w:r w:rsidR="008066E4" w:rsidRPr="00695061">
        <w:rPr>
          <w:sz w:val="24"/>
          <w:szCs w:val="24"/>
        </w:rPr>
        <w:t xml:space="preserve"> </w:t>
      </w:r>
      <w:r w:rsidR="008066E4" w:rsidRPr="00695061">
        <w:rPr>
          <w:sz w:val="24"/>
          <w:szCs w:val="24"/>
        </w:rPr>
        <w:fldChar w:fldCharType="begin" w:fldLock="1"/>
      </w:r>
      <w:r w:rsidR="007D7BEE" w:rsidRPr="00695061">
        <w:rPr>
          <w:sz w:val="24"/>
          <w:szCs w:val="24"/>
        </w:rPr>
        <w:instrText>ADDIN CSL_CITATION {"citationItems":[{"id":"ITEM-1","itemData":{"DOI":"10.2147/CMAR.S218668","ISSN":"11791322","abstract":"Purpose: Tamoxifen (TAM) is a non-steroidal antiestrogen drug, used in the prevention and treatment of all stages of hormone-responsive breast cancer. Simvastatin (SIM) is a lipid-lowering agent and has been shown to inhibit cancer cell growth. The study aimed to investigate the effect of the combination of TAM and SIM in the treatment of estrogen receptor positive (ER+) breast cancer cell line, MCF-7, and in mice-bearing Ehrlich solid tumors. Methods: MCF-7 cells were treated with different concentrations of TAM or/and SIM for 72 hours and the effects of the combination treatment on cytotoxicity, oxidative stress markers, apoptosis, angiogenesis, and metastasis were investigated using different techniques. In addition, tumor volume, oxidative markers, and inflammatory markers of the combined therapy were explored in mice bearing solid EAC tumors. Results: The results showed that treatment of MCF-7 cells with the combination of 10 µM TAM, and 2 µM SIM significantly inhibited the increase in oxidative stress markers, LDH, and NF-kB induced by TAM. In addition, there was a significant decrease in the total apoptotic ratio, caspase-3 activity, and glucose uptake, while there was a non-significant change in Bax/bcl-2 ratio compared to the TAM-treated group. Using the isobologram equation, the drug interaction was antagonistic with combination index, CI=1.18. On the other hand, the combination regimen decreased VEGF, and matrix metalloproteinases, MMP 2&amp;9 compared to TAM-treated cells. Additionally, in vivo, the combination regimen resulted in a non-significant decrease in the tumor volume, decreased oxidative markers, and the protein expression of TNF-α, and NF-κB compared to the TAM treated group. Conclusion: Although the combination regimen of TAM and SIM showed an antagonistic drug interaction in MCF-7 breast cancer, it displayed favorable antiangiogenic, anti-metastatic, and anti-inflammatory effects.","author":[{"dropping-particle":"","family":"Ibrahim","given":"Amel B.","non-dropping-particle":"","parse-names":false,"suffix":""},{"dropping-particle":"","family":"Zaki","given":"Hala F.","non-dropping-particle":"","parse-names":false,"suffix":""},{"dropping-particle":"","family":"Wadie","given":"Walaa","non-dropping-particle":"","parse-names":false,"suffix":""},{"dropping-particle":"","family":"Omran","given":"Mervat M.","non-dropping-particle":"","parse-names":false,"suffix":""},{"dropping-particle":"","family":"Shouman","given":"Samia A.","non-dropping-particle":"","parse-names":false,"suffix":""}],"container-title":"Cancer Management and Research","id":"ITEM-1","issued":{"date-parts":[["2019"]]},"page":"10011-10028","publisher":"Dove Medical Press Ltd","title":"Simvastatin evokes an unpredicted antagonism for tamoxifen in MCF-7 breast cancer cells","type":"article-journal","volume":"11"},"uris":["http://www.mendeley.com/documents/?uuid=474ea5e7-ed5b-3a10-9952-a899f8e0b1c3"]}],"mendeley":{"formattedCitation":"[38]","plainTextFormattedCitation":"[38]","previouslyFormattedCitation":"[38]"},"properties":{"noteIndex":0},"schema":"https://github.com/citation-style-language/schema/raw/master/csl-citation.json"}</w:instrText>
      </w:r>
      <w:r w:rsidR="008066E4" w:rsidRPr="00695061">
        <w:rPr>
          <w:sz w:val="24"/>
          <w:szCs w:val="24"/>
        </w:rPr>
        <w:fldChar w:fldCharType="separate"/>
      </w:r>
      <w:r w:rsidR="007D7BEE" w:rsidRPr="00695061">
        <w:rPr>
          <w:noProof/>
          <w:sz w:val="24"/>
          <w:szCs w:val="24"/>
        </w:rPr>
        <w:t>[38]</w:t>
      </w:r>
      <w:r w:rsidR="008066E4" w:rsidRPr="00695061">
        <w:rPr>
          <w:sz w:val="24"/>
          <w:szCs w:val="24"/>
        </w:rPr>
        <w:fldChar w:fldCharType="end"/>
      </w:r>
      <w:r w:rsidR="00203740" w:rsidRPr="00695061">
        <w:rPr>
          <w:sz w:val="24"/>
          <w:szCs w:val="24"/>
        </w:rPr>
        <w:t>.</w:t>
      </w:r>
      <w:r w:rsidR="009B36B9" w:rsidRPr="00695061">
        <w:rPr>
          <w:sz w:val="24"/>
          <w:szCs w:val="24"/>
        </w:rPr>
        <w:t xml:space="preserve"> This has been attributed to differential expression of </w:t>
      </w:r>
      <w:proofErr w:type="spellStart"/>
      <w:r w:rsidR="009B36B9" w:rsidRPr="00695061">
        <w:rPr>
          <w:sz w:val="24"/>
          <w:szCs w:val="24"/>
        </w:rPr>
        <w:t>estrogen</w:t>
      </w:r>
      <w:proofErr w:type="spellEnd"/>
      <w:r w:rsidR="009B36B9" w:rsidRPr="00695061">
        <w:rPr>
          <w:sz w:val="24"/>
          <w:szCs w:val="24"/>
        </w:rPr>
        <w:t xml:space="preserve"> receptor-alpha </w:t>
      </w:r>
      <w:r w:rsidR="00F77D33" w:rsidRPr="00695061">
        <w:rPr>
          <w:sz w:val="24"/>
          <w:szCs w:val="24"/>
        </w:rPr>
        <w:t>in these cell lines whose expression is known to be affected by statins</w:t>
      </w:r>
      <w:r w:rsidR="00EF6587" w:rsidRPr="00695061">
        <w:rPr>
          <w:sz w:val="24"/>
          <w:szCs w:val="24"/>
        </w:rPr>
        <w:t xml:space="preserve"> </w:t>
      </w:r>
      <w:r w:rsidR="008066E4" w:rsidRPr="00695061">
        <w:rPr>
          <w:sz w:val="24"/>
          <w:szCs w:val="24"/>
        </w:rPr>
        <w:fldChar w:fldCharType="begin" w:fldLock="1"/>
      </w:r>
      <w:r w:rsidR="007D7BEE" w:rsidRPr="00695061">
        <w:rPr>
          <w:sz w:val="24"/>
          <w:szCs w:val="24"/>
        </w:rPr>
        <w:instrText>ADDIN CSL_CITATION {"citationItems":[{"id":"ITEM-1","itemData":{"DOI":"10.1007/s00774-010-0231-y","ISSN":"09148779","PMID":"21063740","abstract":"We previously reported that simvastatin induces estrogen receptor-alpha (ERα) in murine bone marrow stromal cells in vitro. In this study, we investigated the effect of simvastatin on ERα expression in bone and uterus in ovariectomized (OVX) rats and evaluated bone mass, bone strength, and uterine wet weight. Three-month-old Sprague-Dawley female rats received OVX or sham operation. Six weeks later, the rats were treated orally with simvastatin (5 or 10 mg/kg/day), or intraperitoneally with 17-β-estradiol (E 2) or a combination of simvastatin and E2 for 6 weeks. Uterine wet weight, bone mineral density (BMD) of lumbar vertebrae, biomechanics of lumbar vertebrae, and induction of ERα expression in the bone and uterus were analyzed. The 6-week simvastatin treatment improved lumbar vertebral BMD and boosted biomechanical performance of the vertebral body compared to the OVX control, suggesting that simvastatin can treat osteoporosis caused by estrogen deficiency. More interestingly, simvastatin could increase ERα expression and synergy with estradiol in bone while antagonizing estradiol in the uterus, along with uterus atrophy and uterine wet weight decreases. In conclusion, these data suggest that simvastatin exert opposing modulatory effects on ERα expression on bone and uterus in ovariectomized rats, inducing ERα expression and synergy with estrogen to perform anabolic effects on the bones while decreasing E2 efficacy and uterine wet weight. This finding may be helpful to explain the mechanism of statin treatment in osteoporosis caused by estrogen deficiency. © The Japanese Society for Bone and Mineral Research andSpringer 2011.","author":[{"dropping-particle":"","family":"Li","given":"Xu","non-dropping-particle":"","parse-names":false,"suffix":""},{"dropping-particle":"","family":"Song","given":"Quan Sheng","non-dropping-particle":"","parse-names":false,"suffix":""},{"dropping-particle":"","family":"Wang","given":"Jing Ying","non-dropping-particle":"","parse-names":false,"suffix":""},{"dropping-particle":"","family":"Leng","given":"Hui Jie","non-dropping-particle":"","parse-names":false,"suffix":""},{"dropping-particle":"","family":"Chen","given":"Zhong Qiang","non-dropping-particle":"","parse-names":false,"suffix":""},{"dropping-particle":"","family":"Liu","given":"Zhong Jun","non-dropping-particle":"","parse-names":false,"suffix":""},{"dropping-particle":"","family":"Dang","given":"Geng Ting","non-dropping-particle":"","parse-names":false,"suffix":""},{"dropping-particle":"","family":"Song","given":"Chun Li","non-dropping-particle":"","parse-names":false,"suffix":""}],"container-title":"Journal of Bone and Mineral Metabolism","id":"ITEM-1","issue":"4","issued":{"date-parts":[["2011","7"]]},"page":"396-403","title":"Simvastatin induces estrogen receptor-alpha expression in bone, restores bone loss, and decreases ERα expression and uterine wet weight in ovariectomized rats","type":"article-journal","volume":"29"},"uris":["http://www.mendeley.com/documents/?uuid=8a8a67e2-9c80-38b6-ae5c-8a6cedd39efa"]}],"mendeley":{"formattedCitation":"[39]","plainTextFormattedCitation":"[39]","previouslyFormattedCitation":"[39]"},"properties":{"noteIndex":0},"schema":"https://github.com/citation-style-language/schema/raw/master/csl-citation.json"}</w:instrText>
      </w:r>
      <w:r w:rsidR="008066E4" w:rsidRPr="00695061">
        <w:rPr>
          <w:sz w:val="24"/>
          <w:szCs w:val="24"/>
        </w:rPr>
        <w:fldChar w:fldCharType="separate"/>
      </w:r>
      <w:r w:rsidR="007D7BEE" w:rsidRPr="00695061">
        <w:rPr>
          <w:noProof/>
          <w:sz w:val="24"/>
          <w:szCs w:val="24"/>
        </w:rPr>
        <w:t>[39]</w:t>
      </w:r>
      <w:r w:rsidR="008066E4" w:rsidRPr="00695061">
        <w:rPr>
          <w:sz w:val="24"/>
          <w:szCs w:val="24"/>
        </w:rPr>
        <w:fldChar w:fldCharType="end"/>
      </w:r>
      <w:r w:rsidR="008066E4" w:rsidRPr="00695061">
        <w:rPr>
          <w:sz w:val="24"/>
          <w:szCs w:val="24"/>
        </w:rPr>
        <w:t xml:space="preserve">. </w:t>
      </w:r>
      <w:r w:rsidR="00EE73C7" w:rsidRPr="00695061">
        <w:rPr>
          <w:sz w:val="24"/>
          <w:szCs w:val="24"/>
        </w:rPr>
        <w:t xml:space="preserve"> Since</w:t>
      </w:r>
      <w:r w:rsidR="00EE5AD1" w:rsidRPr="00695061">
        <w:rPr>
          <w:sz w:val="24"/>
          <w:szCs w:val="24"/>
        </w:rPr>
        <w:t xml:space="preserve"> TA-derived fibroblasts we use in our experiments do not express ER-a but they express ER-b</w:t>
      </w:r>
      <w:r w:rsidR="008066E4" w:rsidRPr="00695061">
        <w:rPr>
          <w:sz w:val="24"/>
          <w:szCs w:val="24"/>
        </w:rPr>
        <w:t xml:space="preserve"> </w:t>
      </w:r>
      <w:r w:rsidR="008066E4" w:rsidRPr="00695061">
        <w:rPr>
          <w:sz w:val="24"/>
          <w:szCs w:val="24"/>
        </w:rPr>
        <w:fldChar w:fldCharType="begin" w:fldLock="1"/>
      </w:r>
      <w:r w:rsidR="00813D10" w:rsidRPr="00695061">
        <w:rPr>
          <w:sz w:val="24"/>
          <w:szCs w:val="24"/>
        </w:rPr>
        <w:instrText>ADDIN CSL_CITATION {"citationItems":[{"id":"ITEM-1","itemData":{"DOI":"10.1016/j.jsxm.2020.06.022","ISSN":"17436109","PMID":"32771352","abstract":"Background: Myofibroblast transformation is a key step in the pathogenesis of Peyronie's disease (PD). Phosphodiesterase type 5 inhibitors (PDE5is) and selective estrogen receptor modulators (SERMs) can prevent the formation of fibrosis in in vitro and in vivo models of PD. However, it is unknown whether these drugs can also reverse established fibrosis. Aim: To investigate whether PDE5is and SERMs can reverse transforming growth factor beta 1 (TGF-β1)–induced myofibroblast transformation and determine the point of no return. Methods: In-Cell enzyme-linked immunosorbent assay was used to quantify TGF-β1–induced myofibroblast transformation of human primary fibroblasts isolated from tunica albuginea (TA) of patients undergoing surgery for treatment of PD. Extracellular matrix production and collagen contraction assays were used as secondary assays. Reverse transcription–quantitative polymerase chain reaction and In-Cell enzyme-linked immunosorbent assay were used to measure drug target expression. PDE5i (vardenafil) and SERM (tamoxifen) were applied at various time points after TGF-β1. Outcomes: Reversibility of myofibroblast transformation and drug target expression were investigated in a time-dependent manner in TA-derived fibroblasts. Results: Vardenafil or tamoxifen could not reverse the myofibroblast traits of alpha-smooth muscle actin expression and extracellular matrix production, whereas only tamoxifen affected collagen contraction after 72 hours of TGF-β1 treatment. Phosphodiesterase 5A and estrogen receptor (ER)-β were downregulated after 72 hours, and estrogen receptor -α protein could not be quantified. Tamoxifen could prevent myofibroblast transformation until 36 hours after TGF-β1 treatment, whereas vardenafil could prevent only 24 hours after TGF-β1 treatment. This was mirrored by downregulation of drug targets on mRNA and protein level. Furthermore, antifibrotic signaling pathways, peroxisome proliferator-activated receptor gamma and betaglycan (TGFB receptor III), were significantly downregulated after 36 hours of TGF-β1 exposure, as opposed to upregulation of profibrotic thrombospondin-1 at the same time point. Clinical Translation: This study suggests that using PDE5is and SERMs might only help for early-phase PD and further highlights the need to test drugs at the appropriate stage of the disease based on their mechanism of action. Strengths &amp; Limitations: The study uses primary human TA-derived fibroblasts that enhances translatabili…","author":[{"dropping-particle":"","family":"Ilg","given":"Marcus M.","non-dropping-particle":"","parse-names":false,"suffix":""},{"dropping-particle":"","family":"Stafford","given":"Simon J.","non-dropping-particle":"","parse-names":false,"suffix":""},{"dropping-particle":"","family":"Mateus","given":"Marta","non-dropping-particle":"","parse-names":false,"suffix":""},{"dropping-particle":"","family":"Bustin","given":"Stephen A.","non-dropping-particle":"","parse-names":false,"suffix":""},{"dropping-particle":"","family":"Carpenter","given":"Michael J.","non-dropping-particle":"","parse-names":false,"suffix":""},{"dropping-particle":"","family":"Muneer","given":"Asif","non-dropping-particle":"","parse-names":false,"suffix":""},{"dropping-particle":"","family":"Bivalacqua","given":"Trinity J.","non-dropping-particle":"","parse-names":false,"suffix":""},{"dropping-particle":"","family":"Ralph","given":"David J.","non-dropping-particle":"","parse-names":false,"suffix":""},{"dropping-particle":"","family":"Cellek","given":"Selim","non-dropping-particle":"","parse-names":false,"suffix":""}],"container-title":"Journal of Sexual Medicine","id":"ITEM-1","issue":"10","issued":{"date-parts":[["2020","10","1"]]},"page":"1848-1864","publisher":"Elsevier B.V.","title":"Phosphodiesterase Type 5 Inhibitors and Selective Estrogen Receptor Modulators Can Prevent But Not Reverse Myofibroblast Transformation in Peyronie's Disease","type":"article-journal","volume":"17"},"uris":["http://www.mendeley.com/documents/?uuid=c64145e0-084b-3418-b91f-2ab40d640aa0"]}],"mendeley":{"formattedCitation":"[23]","plainTextFormattedCitation":"[23]","previouslyFormattedCitation":"[23]"},"properties":{"noteIndex":0},"schema":"https://github.com/citation-style-language/schema/raw/master/csl-citation.json"}</w:instrText>
      </w:r>
      <w:r w:rsidR="008066E4" w:rsidRPr="00695061">
        <w:rPr>
          <w:sz w:val="24"/>
          <w:szCs w:val="24"/>
        </w:rPr>
        <w:fldChar w:fldCharType="separate"/>
      </w:r>
      <w:r w:rsidR="00813D10" w:rsidRPr="00695061">
        <w:rPr>
          <w:noProof/>
          <w:sz w:val="24"/>
          <w:szCs w:val="24"/>
        </w:rPr>
        <w:t>[23]</w:t>
      </w:r>
      <w:r w:rsidR="008066E4" w:rsidRPr="00695061">
        <w:rPr>
          <w:sz w:val="24"/>
          <w:szCs w:val="24"/>
        </w:rPr>
        <w:fldChar w:fldCharType="end"/>
      </w:r>
      <w:r w:rsidR="00EE5AD1" w:rsidRPr="00695061">
        <w:rPr>
          <w:sz w:val="24"/>
          <w:szCs w:val="24"/>
        </w:rPr>
        <w:t xml:space="preserve">, we do not think </w:t>
      </w:r>
      <w:r w:rsidR="00526B46" w:rsidRPr="00695061">
        <w:rPr>
          <w:sz w:val="24"/>
          <w:szCs w:val="24"/>
        </w:rPr>
        <w:t>that simvastatin or vardenafil alone or in combination caused cell apoptosis in our experiments.</w:t>
      </w:r>
      <w:r w:rsidR="00F77D33" w:rsidRPr="00695061">
        <w:rPr>
          <w:sz w:val="24"/>
          <w:szCs w:val="24"/>
        </w:rPr>
        <w:t xml:space="preserve"> </w:t>
      </w:r>
    </w:p>
    <w:p w14:paraId="692BDE22" w14:textId="55DBED0D" w:rsidR="00D06CCC" w:rsidRPr="00695061" w:rsidRDefault="008F5EAC" w:rsidP="00024FCE">
      <w:pPr>
        <w:jc w:val="both"/>
        <w:rPr>
          <w:sz w:val="24"/>
          <w:szCs w:val="24"/>
        </w:rPr>
      </w:pPr>
      <w:r w:rsidRPr="00695061">
        <w:rPr>
          <w:sz w:val="24"/>
          <w:szCs w:val="24"/>
        </w:rPr>
        <w:t xml:space="preserve">In this study we </w:t>
      </w:r>
      <w:r w:rsidR="00D06CCC" w:rsidRPr="00695061">
        <w:rPr>
          <w:sz w:val="24"/>
          <w:szCs w:val="24"/>
        </w:rPr>
        <w:t>test</w:t>
      </w:r>
      <w:r w:rsidRPr="00695061">
        <w:rPr>
          <w:sz w:val="24"/>
          <w:szCs w:val="24"/>
        </w:rPr>
        <w:t>ed</w:t>
      </w:r>
      <w:r w:rsidR="00D06CCC" w:rsidRPr="00695061">
        <w:rPr>
          <w:sz w:val="24"/>
          <w:szCs w:val="24"/>
        </w:rPr>
        <w:t xml:space="preserve"> a combination of statins, SERMs and PDE5i. </w:t>
      </w:r>
      <w:r w:rsidR="00DA6145" w:rsidRPr="00695061">
        <w:rPr>
          <w:sz w:val="24"/>
          <w:szCs w:val="24"/>
        </w:rPr>
        <w:t>W</w:t>
      </w:r>
      <w:r w:rsidR="00D06CCC" w:rsidRPr="00695061">
        <w:rPr>
          <w:sz w:val="24"/>
          <w:szCs w:val="24"/>
        </w:rPr>
        <w:t>e could observe an additive effect in a certain concentration range</w:t>
      </w:r>
      <w:r w:rsidR="00A17365" w:rsidRPr="00695061">
        <w:rPr>
          <w:sz w:val="24"/>
          <w:szCs w:val="24"/>
        </w:rPr>
        <w:t>, but no synergy was observed</w:t>
      </w:r>
      <w:r w:rsidR="00D06CCC" w:rsidRPr="00695061">
        <w:rPr>
          <w:sz w:val="24"/>
          <w:szCs w:val="24"/>
        </w:rPr>
        <w:t xml:space="preserve">. Combination therapies have been described to be more successful in drug repurposing efforts </w:t>
      </w:r>
      <w:r w:rsidR="00D06CCC" w:rsidRPr="00695061">
        <w:rPr>
          <w:sz w:val="24"/>
          <w:szCs w:val="24"/>
        </w:rPr>
        <w:fldChar w:fldCharType="begin" w:fldLock="1"/>
      </w:r>
      <w:r w:rsidR="007D7BEE" w:rsidRPr="00695061">
        <w:rPr>
          <w:sz w:val="24"/>
          <w:szCs w:val="24"/>
        </w:rPr>
        <w:instrText>ADDIN CSL_CITATION {"citationItems":[{"id":"ITEM-1","itemData":{"DOI":"10.1016/j.drudis.2016.05.015","ISSN":"1878-5832","PMID":"27240777","abstract":"Repositioning of approved drugs has recently gained new momentum for rapid identification and development of new therapeutics for diseases that lack effective drug treatment. Reported repurposing screens have increased dramatically in number in the past five years. However, many newly identified compounds have low potency; this limits their immediate clinical applications because the known, tolerated plasma drug concentrations are lower than the required therapeutic drug concentrations. Drug combinations of two or more compounds with different mechanisms of action are an alternative approach to increase the success rate of drug repositioning.","author":[{"dropping-particle":"","family":"Sun","given":"Wei","non-dropping-particle":"","parse-names":false,"suffix":""},{"dropping-particle":"","family":"Sanderson","given":"Philip E","non-dropping-particle":"","parse-names":false,"suffix":""},{"dropping-particle":"","family":"Zheng","given":"Wei","non-dropping-particle":"","parse-names":false,"suffix":""}],"container-title":"Drug discovery today","id":"ITEM-1","issue":"7","issued":{"date-parts":[["2016"]]},"page":"1189-95","publisher":"NIH Public Access","title":"Drug combination therapy increases successful drug repositioning.","type":"article-journal","volume":"21"},"uris":["http://www.mendeley.com/documents/?uuid=4c2ac492-459f-3255-ab90-68822b1493c1"]}],"mendeley":{"formattedCitation":"[40]","plainTextFormattedCitation":"[40]","previouslyFormattedCitation":"[40]"},"properties":{"noteIndex":0},"schema":"https://github.com/citation-style-language/schema/raw/master/csl-citation.json"}</w:instrText>
      </w:r>
      <w:r w:rsidR="00D06CCC" w:rsidRPr="00695061">
        <w:rPr>
          <w:sz w:val="24"/>
          <w:szCs w:val="24"/>
        </w:rPr>
        <w:fldChar w:fldCharType="separate"/>
      </w:r>
      <w:r w:rsidR="007D7BEE" w:rsidRPr="00695061">
        <w:rPr>
          <w:noProof/>
          <w:sz w:val="24"/>
          <w:szCs w:val="24"/>
        </w:rPr>
        <w:t>[40]</w:t>
      </w:r>
      <w:r w:rsidR="00D06CCC" w:rsidRPr="00695061">
        <w:rPr>
          <w:sz w:val="24"/>
          <w:szCs w:val="24"/>
        </w:rPr>
        <w:fldChar w:fldCharType="end"/>
      </w:r>
      <w:r w:rsidR="00D06CCC" w:rsidRPr="00695061">
        <w:rPr>
          <w:sz w:val="24"/>
          <w:szCs w:val="24"/>
        </w:rPr>
        <w:t>. This has led to suggestions of using combinations to increase the success in drug repositioning as it allows to lower high IC</w:t>
      </w:r>
      <w:r w:rsidR="00D06CCC" w:rsidRPr="00695061">
        <w:rPr>
          <w:sz w:val="24"/>
          <w:szCs w:val="24"/>
          <w:vertAlign w:val="subscript"/>
        </w:rPr>
        <w:t>50</w:t>
      </w:r>
      <w:r w:rsidR="00D06CCC" w:rsidRPr="00695061">
        <w:rPr>
          <w:sz w:val="24"/>
          <w:szCs w:val="24"/>
        </w:rPr>
        <w:t xml:space="preserve"> values or reduce concentrations of individual drugs. It has also been suggested that polypharmacology might be exploited by computational approaches in the future to lead to more promising drug combinations to </w:t>
      </w:r>
      <w:r w:rsidR="00C208E6" w:rsidRPr="00695061">
        <w:rPr>
          <w:sz w:val="24"/>
          <w:szCs w:val="24"/>
        </w:rPr>
        <w:t xml:space="preserve">find new synergies and </w:t>
      </w:r>
      <w:r w:rsidR="006C7E08" w:rsidRPr="00695061">
        <w:rPr>
          <w:sz w:val="24"/>
          <w:szCs w:val="24"/>
        </w:rPr>
        <w:t xml:space="preserve">redirect stalled drug discovery projects to treat niche diseases </w:t>
      </w:r>
      <w:r w:rsidR="006C7E08" w:rsidRPr="00695061">
        <w:rPr>
          <w:sz w:val="24"/>
          <w:szCs w:val="24"/>
        </w:rPr>
        <w:fldChar w:fldCharType="begin" w:fldLock="1"/>
      </w:r>
      <w:r w:rsidR="007D7BEE" w:rsidRPr="00695061">
        <w:rPr>
          <w:sz w:val="24"/>
          <w:szCs w:val="24"/>
        </w:rPr>
        <w:instrText>ADDIN CSL_CITATION {"citationItems":[{"id":"ITEM-1","itemData":{"DOI":"10.3389/fphar.2015.00157","ISSN":"16639812","author":[{"dropping-particle":"","family":"Rastelli","given":"Giulio","non-dropping-particle":"","parse-names":false,"suffix":""},{"dropping-particle":"","family":"Pinzi","given":"Luca","non-dropping-particle":"","parse-names":false,"suffix":""}],"container-title":"Frontiers in Pharmacology","id":"ITEM-1","issue":"JUL","issued":{"date-parts":[["2015"]]},"publisher":"Frontiers Research Foundation","title":"Computational polypharmacology comes of age","type":"article","volume":"6"},"uris":["http://www.mendeley.com/documents/?uuid=012e348e-4371-3cf3-b8e4-b960f5eb6079"]}],"mendeley":{"formattedCitation":"[41]","plainTextFormattedCitation":"[41]","previouslyFormattedCitation":"[41]"},"properties":{"noteIndex":0},"schema":"https://github.com/citation-style-language/schema/raw/master/csl-citation.json"}</w:instrText>
      </w:r>
      <w:r w:rsidR="006C7E08" w:rsidRPr="00695061">
        <w:rPr>
          <w:sz w:val="24"/>
          <w:szCs w:val="24"/>
        </w:rPr>
        <w:fldChar w:fldCharType="separate"/>
      </w:r>
      <w:r w:rsidR="007D7BEE" w:rsidRPr="00695061">
        <w:rPr>
          <w:noProof/>
          <w:sz w:val="24"/>
          <w:szCs w:val="24"/>
        </w:rPr>
        <w:t>[41]</w:t>
      </w:r>
      <w:r w:rsidR="006C7E08" w:rsidRPr="00695061">
        <w:rPr>
          <w:sz w:val="24"/>
          <w:szCs w:val="24"/>
        </w:rPr>
        <w:fldChar w:fldCharType="end"/>
      </w:r>
      <w:r w:rsidR="006C7E08" w:rsidRPr="00695061">
        <w:rPr>
          <w:sz w:val="24"/>
          <w:szCs w:val="24"/>
        </w:rPr>
        <w:t>.</w:t>
      </w:r>
    </w:p>
    <w:p w14:paraId="7D91B8E3" w14:textId="77777777" w:rsidR="00C46285" w:rsidRPr="00695061" w:rsidRDefault="00C46285" w:rsidP="00024FCE">
      <w:pPr>
        <w:jc w:val="both"/>
        <w:rPr>
          <w:b/>
          <w:bCs/>
          <w:i/>
          <w:iCs/>
          <w:sz w:val="24"/>
          <w:szCs w:val="24"/>
        </w:rPr>
      </w:pPr>
    </w:p>
    <w:p w14:paraId="7BB3745C" w14:textId="25D528FA" w:rsidR="00AA1050" w:rsidRPr="00695061" w:rsidRDefault="0054791B" w:rsidP="00024FCE">
      <w:pPr>
        <w:jc w:val="both"/>
        <w:rPr>
          <w:b/>
          <w:bCs/>
          <w:i/>
          <w:iCs/>
          <w:sz w:val="24"/>
          <w:szCs w:val="24"/>
        </w:rPr>
      </w:pPr>
      <w:r w:rsidRPr="00695061">
        <w:rPr>
          <w:b/>
          <w:bCs/>
          <w:i/>
          <w:iCs/>
          <w:sz w:val="24"/>
          <w:szCs w:val="24"/>
        </w:rPr>
        <w:t>Limitations</w:t>
      </w:r>
      <w:r w:rsidR="00367C12" w:rsidRPr="00695061">
        <w:rPr>
          <w:b/>
          <w:bCs/>
          <w:i/>
          <w:iCs/>
          <w:sz w:val="24"/>
          <w:szCs w:val="24"/>
        </w:rPr>
        <w:t xml:space="preserve"> and </w:t>
      </w:r>
      <w:r w:rsidR="00AE416F" w:rsidRPr="00695061">
        <w:rPr>
          <w:b/>
          <w:bCs/>
          <w:i/>
          <w:iCs/>
          <w:sz w:val="24"/>
          <w:szCs w:val="24"/>
        </w:rPr>
        <w:t xml:space="preserve">suggestions for </w:t>
      </w:r>
      <w:r w:rsidR="00367C12" w:rsidRPr="00695061">
        <w:rPr>
          <w:b/>
          <w:bCs/>
          <w:i/>
          <w:iCs/>
          <w:sz w:val="24"/>
          <w:szCs w:val="24"/>
        </w:rPr>
        <w:t>future research</w:t>
      </w:r>
      <w:r w:rsidRPr="00695061">
        <w:rPr>
          <w:b/>
          <w:bCs/>
          <w:i/>
          <w:iCs/>
          <w:sz w:val="24"/>
          <w:szCs w:val="24"/>
        </w:rPr>
        <w:t xml:space="preserve">: </w:t>
      </w:r>
    </w:p>
    <w:p w14:paraId="16A7FFD2" w14:textId="695732F0" w:rsidR="00AA5518" w:rsidRPr="00695061" w:rsidRDefault="00367C12" w:rsidP="00024FCE">
      <w:pPr>
        <w:jc w:val="both"/>
        <w:rPr>
          <w:sz w:val="24"/>
          <w:szCs w:val="24"/>
        </w:rPr>
      </w:pPr>
      <w:r w:rsidRPr="00695061">
        <w:rPr>
          <w:sz w:val="24"/>
          <w:szCs w:val="24"/>
        </w:rPr>
        <w:t xml:space="preserve">We have not </w:t>
      </w:r>
      <w:r w:rsidR="00EE6F4E" w:rsidRPr="00695061">
        <w:rPr>
          <w:sz w:val="24"/>
          <w:szCs w:val="24"/>
        </w:rPr>
        <w:t xml:space="preserve">investigated the mechanism of action of statins </w:t>
      </w:r>
      <w:r w:rsidR="00C46285" w:rsidRPr="00695061">
        <w:rPr>
          <w:sz w:val="24"/>
          <w:szCs w:val="24"/>
        </w:rPr>
        <w:t xml:space="preserve">in this study. </w:t>
      </w:r>
      <w:r w:rsidR="00043DEE" w:rsidRPr="00695061">
        <w:rPr>
          <w:sz w:val="24"/>
          <w:szCs w:val="24"/>
        </w:rPr>
        <w:t>Pr</w:t>
      </w:r>
      <w:r w:rsidR="005625D8" w:rsidRPr="00695061">
        <w:rPr>
          <w:sz w:val="24"/>
          <w:szCs w:val="24"/>
        </w:rPr>
        <w:t>e</w:t>
      </w:r>
      <w:r w:rsidR="00043DEE" w:rsidRPr="00695061">
        <w:rPr>
          <w:sz w:val="24"/>
          <w:szCs w:val="24"/>
        </w:rPr>
        <w:t>vious</w:t>
      </w:r>
      <w:r w:rsidR="00C46285" w:rsidRPr="00695061">
        <w:rPr>
          <w:sz w:val="24"/>
          <w:szCs w:val="24"/>
        </w:rPr>
        <w:t xml:space="preserve"> stud</w:t>
      </w:r>
      <w:r w:rsidR="005625D8" w:rsidRPr="00695061">
        <w:rPr>
          <w:sz w:val="24"/>
          <w:szCs w:val="24"/>
        </w:rPr>
        <w:t xml:space="preserve">ies have suggested the involvement of </w:t>
      </w:r>
      <w:proofErr w:type="spellStart"/>
      <w:r w:rsidR="003E51B4" w:rsidRPr="00695061">
        <w:rPr>
          <w:sz w:val="24"/>
          <w:szCs w:val="24"/>
        </w:rPr>
        <w:t>RhoA</w:t>
      </w:r>
      <w:proofErr w:type="spellEnd"/>
      <w:r w:rsidR="003E51B4" w:rsidRPr="00695061">
        <w:rPr>
          <w:sz w:val="24"/>
          <w:szCs w:val="24"/>
        </w:rPr>
        <w:t xml:space="preserve">-ROCK pathway in inhibition of </w:t>
      </w:r>
      <w:r w:rsidR="00DD3AF3" w:rsidRPr="00695061">
        <w:rPr>
          <w:sz w:val="24"/>
          <w:szCs w:val="24"/>
        </w:rPr>
        <w:t xml:space="preserve">myofibroblast differentiation and </w:t>
      </w:r>
      <w:r w:rsidR="00082C0A" w:rsidRPr="00695061">
        <w:rPr>
          <w:sz w:val="24"/>
          <w:szCs w:val="24"/>
        </w:rPr>
        <w:t>contraction</w:t>
      </w:r>
      <w:r w:rsidR="00D760BF" w:rsidRPr="00695061">
        <w:rPr>
          <w:sz w:val="24"/>
          <w:szCs w:val="24"/>
        </w:rPr>
        <w:t xml:space="preserve"> </w:t>
      </w:r>
      <w:r w:rsidR="00D760BF" w:rsidRPr="00695061">
        <w:rPr>
          <w:sz w:val="24"/>
          <w:szCs w:val="24"/>
        </w:rPr>
        <w:fldChar w:fldCharType="begin" w:fldLock="1"/>
      </w:r>
      <w:r w:rsidR="007D7BEE" w:rsidRPr="00695061">
        <w:rPr>
          <w:sz w:val="24"/>
          <w:szCs w:val="24"/>
        </w:rPr>
        <w:instrText>ADDIN CSL_CITATION {"citationItems":[{"id":"ITEM-1","itemData":{"DOI":"10.3389/fendo.2020.607968","ISSN":"16642392","abstract":"Transforming growth factor-β (TGF-β)-induced differentiation of orbital fibroblasts into myofibroblasts is an important pathogenesis of Graves’ ophthalmopathy (GO) and leads to orbital tissue fibrosis. In the present study, we explored the antifibrotic effects of simvastatin and ROCK inhibitor Y-27632 in primary cultured GO orbital fibroblasts and tried to explain the molecular mechanisms behind these effects. Both simvastatin and Y-27632 inhibited TGF-β-induced α-smooth muscle actin (α-SMA) expression, which serves as a marker of fibrosis. The inhibitory effect of simvastatin on TGF-β-induced RhoA, ROCK1, and α-SMA expression could be reversed by geranylgeranyl pyrophosphate, an intermediate in the biosynthesis of cholesterol. This suggested that the mechanism of simvastatin-mediated antifibrotic effects may involve RhoA/ROCK signaling. Furthermore, simvastatin and Y-27632 suppressed TGF-β-induced phosphorylation of ERK and p38. The TGF-β-mediated α-SMA expression was suppressed by pharmacological inhibitors of p38 and ERK. These results suggested that simvastatin inhibits TGF-β-induced myofibroblast differentiation via suppression of the RhoA/ROCK/ERK and p38 MAPK signaling pathways. Thus, our study provides evidence that simvastatin and ROCK inhibitors may be potential therapeutic drugs for the prevention and treatment of orbital fibrosis in GO.","author":[{"dropping-particle":"","family":"Wei","given":"Yi Hsuan","non-dropping-particle":"","parse-names":false,"suffix":""},{"dropping-particle":"","family":"Liao","given":"Shu Lang","non-dropping-particle":"","parse-names":false,"suffix":""},{"dropping-particle":"","family":"Wang","given":"Sen Hsu","non-dropping-particle":"","parse-names":false,"suffix":""},{"dropping-particle":"","family":"Wang","given":"Chia Chun","non-dropping-particle":"","parse-names":false,"suffix":""},{"dropping-particle":"","family":"Yang","given":"Chang Hao","non-dropping-particle":"","parse-names":false,"suffix":""}],"container-title":"Frontiers in Endocrinology","id":"ITEM-1","issued":{"date-parts":[["2021","2","1"]]},"publisher":"Frontiers Media S.A.","title":"Simvastatin and ROCK Inhibitor Y-27632 Inhibit Myofibroblast Differentiation of Graves’ Ophthalmopathy-Derived Orbital Fibroblasts via RhoA-Mediated ERK and p38 Signaling Pathways","type":"article-journal","volume":"11"},"uris":["http://www.mendeley.com/documents/?uuid=6d91272d-cf24-3323-9b30-735685f45a96"]},{"id":"ITEM-2","itemData":{"DOI":"10.1167/iovs.07-1610","ISSN":"01460404","PMID":"18421080","abstract":"PURPOSE. The transdifferentiation of Tenon fibroblasts to myofibroblasts is a pivotal step in filtering bleb scarring. It is mediated by the cytokine TGF-β, Rho-dependent contractility, and cell-matrix interactions in an interdependent fashion. HMG-CoA-reductase inhibitors (statins) have been shown to inhibit Rho-GTPase signaling; therefore, the authors studied the influence of lovastatin on TGF-β-mediated myofibroblast transdifferentiation to assess the potential use of statins in wound healing modulation. METHODS. Human Tenon fibroblasts were grown in culture, pretreated with lovastatin, lovastatin and mevalonate, or specific inhibitors of farnesyl transferase or geranylgeranyl transferase and were stimulated with TGF-β1. α-Smooth muscle actin (α-SMA) and connective tissue growth factor (CTGF) transcription were assessed by real-time PCR. α-SMA protein expression and localization were studied by Western blot and confocal immunofluorescence microscopy. Cell contractility was determined in collagen gel contraction assays. Phosphorylation of the signaling proteins Smad-2/3 and p38 were detected by Western blot, and Smad-2/3 localization was determined by confocal immunofluorescence microscopy. RESULTS. Lovastatin inhibited TGF-β-induced CTGF transcription, α-SMA expression and incorporation into actin stress fibers, and subsequent collagen gel contraction. These effects were reversed by mevalonate. The inhibition of geranylgeranyl transferase but not farnesyl transferase blocked TGF-β-induced α-SMA expression. Lovastatin decreased TGF-β-induced p38 activation, whereas Smad-2/3 phosphorylation and nuclear translocation were preserved. CONCLUSIONS. Lovastatin inhibits TGF-β-induced myofibroblast transdifferentiation in human Tenon fibroblasts, most likely by interfering with Rho-signaling. Statins may, therefore, serve to inhibit scarring after filtering glaucoma surgery. Copyright © Association for Research in Vision and Ophthalmology.","author":[{"dropping-particle":"","family":"Meyer-ter-Vehn","given":"Tobias","non-dropping-particle":"","parse-names":false,"suffix":""},{"dropping-particle":"","family":"Katzenberger","given":"Barbara","non-dropping-particle":"","parse-names":false,"suffix":""},{"dropping-particle":"","family":"Han","given":"Hong","non-dropping-particle":"","parse-names":false,"suffix":""},{"dropping-particle":"","family":"Grehn","given":"Franz","non-dropping-particle":"","parse-names":false,"suffix":""},{"dropping-particle":"","family":"Schlunck","given":"Günther","non-dropping-particle":"","parse-names":false,"suffix":""}],"container-title":"Investigative Ophthalmology and Visual Science","id":"ITEM-2","issue":"9","issued":{"date-parts":[["2008","9"]]},"page":"3955-3960","title":"Lovastatin inhibits TGF-β-induced myofibroblast transdifferentiation in human tenon fibroblasts","type":"article-journal","volume":"49"},"uris":["http://www.mendeley.com/documents/?uuid=807300be-51e7-3d34-a18f-857f73fe2e25"]},{"id":"ITEM-3","itemData":{"DOI":"10.1165/rcmb.2004-0127OC","ISSN":"10441549","PMID":"15677772","abstract":"Simvastatin is best known for its antilipidemic action and use in cardiovascular disease due to its inhibition of 3-hydroxy-3-methyl-glutaryl CoenzymeA (HMG CoA) reductase, a key enzyme in the cholesterol synthesis pathway. Inhibition of biological precursors in this pathway also enables pleiotrophic immunomodulatory and anti-inflammatory capabilities, including modulation of growth factor expression. Connective tissue growth factor (CTGF) and persistent myofibroblast formation are major determinants of the aggressive fibrotic disease, idiopathic pulmonary fibrosis (IPF). In this study we used human lung fibroblasts derived from healthy and IPF lungs to examine Simvastatin effects on CTGF gene and protein expression, analyzed by RT-PCR and ELISA, respectively. Simvastatin significantly inhibited (P &lt; 0.05) CTGF gene and protein expression, overriding the induction by transforming growth factor-β1, a known potent inducer of CTGF. Such Simvastatin suppressor action on growth factor interaction was reflected functionally on recognized phenotypes of fibrosis. α-smooth muscle actin expression was downregulated and collagen gel contraction reduced by 4.94- and 7.58-fold in IMR90 and HIPF lung fibroblasts, respectively, when preconditioned with 10 μM Simvastatin compared with transforming growth factor-β1 treatment alone after 24 h. Our data suggest that Simvastatin can modify critical determinants of the profibrogenic machinery responsible for the aggressive clinical profile of IPF, and potentially prevents adverse lung parenchymal remodeling associated with persistent myofibroblast formation.","author":[{"dropping-particle":"","family":"Watts","given":"Keira L.","non-dropping-particle":"","parse-names":false,"suffix":""},{"dropping-particle":"","family":"Sampson","given":"Edith M.","non-dropping-particle":"","parse-names":false,"suffix":""},{"dropping-particle":"","family":"Schultz","given":"Gregory S.","non-dropping-particle":"","parse-names":false,"suffix":""},{"dropping-particle":"","family":"Spiteri","given":"Monica A.","non-dropping-particle":"","parse-names":false,"suffix":""}],"container-title":"American Journal of Respiratory Cell and Molecular Biology","id":"ITEM-3","issue":"4","issued":{"date-parts":[["2005","4"]]},"page":"290-300","title":"Simvastatin inhibits growth factor expression and modulates profibrogenic markers in lung fibroblasts","type":"article-journal","volume":"32"},"uris":["http://www.mendeley.com/documents/?uuid=a341330f-bcb1-3d1b-a033-52103a98377d"]}],"mendeley":{"formattedCitation":"[42–44]","plainTextFormattedCitation":"[42–44]","previouslyFormattedCitation":"[42–44]"},"properties":{"noteIndex":0},"schema":"https://github.com/citation-style-language/schema/raw/master/csl-citation.json"}</w:instrText>
      </w:r>
      <w:r w:rsidR="00D760BF" w:rsidRPr="00695061">
        <w:rPr>
          <w:sz w:val="24"/>
          <w:szCs w:val="24"/>
        </w:rPr>
        <w:fldChar w:fldCharType="separate"/>
      </w:r>
      <w:r w:rsidR="007D7BEE" w:rsidRPr="00695061">
        <w:rPr>
          <w:noProof/>
          <w:sz w:val="24"/>
          <w:szCs w:val="24"/>
        </w:rPr>
        <w:t>[42–44]</w:t>
      </w:r>
      <w:r w:rsidR="00D760BF" w:rsidRPr="00695061">
        <w:rPr>
          <w:sz w:val="24"/>
          <w:szCs w:val="24"/>
        </w:rPr>
        <w:fldChar w:fldCharType="end"/>
      </w:r>
      <w:r w:rsidR="001B468C" w:rsidRPr="00695061">
        <w:rPr>
          <w:sz w:val="24"/>
          <w:szCs w:val="24"/>
        </w:rPr>
        <w:t xml:space="preserve">. </w:t>
      </w:r>
      <w:r w:rsidR="00D01FDF" w:rsidRPr="00695061">
        <w:rPr>
          <w:sz w:val="24"/>
          <w:szCs w:val="24"/>
        </w:rPr>
        <w:t xml:space="preserve">Further studies would be required to </w:t>
      </w:r>
      <w:r w:rsidR="008159C4" w:rsidRPr="00695061">
        <w:rPr>
          <w:sz w:val="24"/>
          <w:szCs w:val="24"/>
        </w:rPr>
        <w:t xml:space="preserve">better understand the molecular pathways involved in </w:t>
      </w:r>
      <w:r w:rsidR="00D20B90" w:rsidRPr="00695061">
        <w:rPr>
          <w:sz w:val="24"/>
          <w:szCs w:val="24"/>
        </w:rPr>
        <w:t xml:space="preserve">statin-induced inhibition of myofibroblast transformation </w:t>
      </w:r>
      <w:r w:rsidR="00793EE1" w:rsidRPr="00695061">
        <w:rPr>
          <w:sz w:val="24"/>
          <w:szCs w:val="24"/>
        </w:rPr>
        <w:t>and</w:t>
      </w:r>
      <w:r w:rsidR="00D20B90" w:rsidRPr="00695061">
        <w:rPr>
          <w:sz w:val="24"/>
          <w:szCs w:val="24"/>
        </w:rPr>
        <w:t xml:space="preserve"> function</w:t>
      </w:r>
      <w:r w:rsidR="00FC7E46" w:rsidRPr="00695061">
        <w:rPr>
          <w:sz w:val="24"/>
          <w:szCs w:val="24"/>
        </w:rPr>
        <w:t xml:space="preserve">. </w:t>
      </w:r>
    </w:p>
    <w:p w14:paraId="2DF76095" w14:textId="16629ACA" w:rsidR="0054791B" w:rsidRPr="00695061" w:rsidRDefault="005766C7" w:rsidP="00024FCE">
      <w:pPr>
        <w:jc w:val="both"/>
        <w:rPr>
          <w:sz w:val="24"/>
          <w:szCs w:val="24"/>
        </w:rPr>
      </w:pPr>
      <w:r w:rsidRPr="00695061">
        <w:rPr>
          <w:sz w:val="24"/>
          <w:szCs w:val="24"/>
        </w:rPr>
        <w:t xml:space="preserve">In </w:t>
      </w:r>
      <w:r w:rsidR="007F5D92" w:rsidRPr="00695061">
        <w:rPr>
          <w:sz w:val="24"/>
          <w:szCs w:val="24"/>
        </w:rPr>
        <w:t>this</w:t>
      </w:r>
      <w:r w:rsidRPr="00695061">
        <w:rPr>
          <w:sz w:val="24"/>
          <w:szCs w:val="24"/>
        </w:rPr>
        <w:t xml:space="preserve"> study and our phenotypic screening assays </w:t>
      </w:r>
      <w:r w:rsidR="00193897" w:rsidRPr="00695061">
        <w:rPr>
          <w:sz w:val="24"/>
          <w:szCs w:val="24"/>
        </w:rPr>
        <w:fldChar w:fldCharType="begin" w:fldLock="1"/>
      </w:r>
      <w:r w:rsidR="007D7BEE" w:rsidRPr="00695061">
        <w:rPr>
          <w:sz w:val="24"/>
          <w:szCs w:val="24"/>
        </w:rPr>
        <w:instrText xml:space="preserve">ADDIN CSL_CITATION {"citationItems":[{"id":"ITEM-1","itemData":{"abstract":"Drug repurposing has been shown to bring safe medications to new patient populations, as recently evidenced by the COVID-19 pandemic. We investigated whether we could use phenotypic screening to repurpose drugs for the treatment of Peyronie’s disease (PD). PD is a fibrotic disease characterised by continued myofibroblast presence and activity leading to formation of a plaque in the penile tunica albuginea (TA) that can cause pain during erection, erectile dysfunction, and penile deformity. PD affects 3–9% of men with treatment options limited to surgery or injection of collagenase which can only be utilised at late stages after the plaque is formed. Currently there are no approved medications that can be offered to patients presenting with early disease before the formation of the plaque. Drug repurposing may therefore be the ideal strategy to identify medical treatments to address this unmet medical need in early PD. We used primary human fibroblasts from PD patients in a phenotypic screening assay that measures TGF-β1-induced myofibroblast transformation which is the main cellular phenotype that drives the pathology in early PD. A library of FDA-approved 1,953 drugs was screened in duplicate wells at a single concentration (10 μM) in presence of TGF-β1. The myofibroblast marker α-SMA was quantified after 72h incubation. A positive control of SB-505124 (TGF-β1 receptor antagonist) was included on each plate. Hits were defined as showing &gt;80% inhibition, whilst retaining &gt;80% cell viability. 26 hits (1.3%) were identified which were divided into the following main groups: anti-cancer drugs, anti-inflammation, neurology, endocrinology, and imaging agents. Five of the top-ten drugs that increase myofibroblast-transformation appear to act on VEGFR. This is the first phenotypic screening of FDA-approved drugs for PD and our results suggest that it is a viable method to predict drugs with potential for repurposing to treat early PD.","author":[{"dropping-particle":"","family":"Ilg","given":"Marcus M","non-dropping-particle":"","parse-names":false,"suffix":""},{"dropping-particle":"","family":"Lapthorn","given":"Alice R","non-dropping-particle":"","parse-names":false,"suffix":""},{"dropping-particle":"","family":"Ralph","given":"David J","non-dropping-particle":"","parse-names":false,"suffix":""},{"dropping-particle":"","family":"Cellek","given":"Selim","non-dropping-particle":"","parse-names":false,"suffix":""}],"container-title":"PLOS ONE","id":"ITEM-1","issue":"12","issued":{"date-parts":[["2022","12","12"]]},"page":"e0277646","publisher":"Public Library of Science","title":"Phenotypic screening of 1,953 FDA-approved drugs reveals 26 hits with potential for repurposing for Peyronie’s disease","type":"article-journal","volume":"17"},"uris":["http://www.mendeley.com/documents/?uuid=428ce03c-4a4c-47b0-a687-aad9a96e59e4"]},{"id":"ITEM-2","itemData":{"DOI":"10.1016/j.ejphar.2022.175374","ISSN":"18790712","PMID":"36343693","abstract":"Although hypertrophic scarring affects </w:instrText>
      </w:r>
      <w:r w:rsidR="007D7BEE" w:rsidRPr="00695061">
        <w:rPr>
          <w:rFonts w:ascii="Cambria Math" w:hAnsi="Cambria Math" w:cs="Cambria Math"/>
          <w:sz w:val="24"/>
          <w:szCs w:val="24"/>
        </w:rPr>
        <w:instrText>∼</w:instrText>
      </w:r>
      <w:r w:rsidR="007D7BEE" w:rsidRPr="00695061">
        <w:rPr>
          <w:sz w:val="24"/>
          <w:szCs w:val="24"/>
        </w:rPr>
        <w:instrText>91% of burn patients annually, there is no drug to prevent this common complication. Hypertrophic scars are a result of dysregulated wound healing, characterised by persistent myofibroblast transformation and the excessive accumulation of extracellular matrix (ECM). Due to the multi-mechanistic nature of the scarring process, target-based approaches for identifying novel drugs have failed. Primary human dermal fibroblasts, derived from burn scar tissue, were exposed to transforming growth factor-beta 1 (TGF-β1) to induce myofibroblast transformation. A phenotypic screening assay, measuring alpha-smooth muscle actin (α-SMA) expression, was developed to screen 1,954 approved drugs. Drugs that elicited &gt;80% inhibition of α-SMA expression, and &gt;80% cell viability were progressed as candidate drugs. Anti-myofibroblast activity of the candidates was confirmed before investigating their effects on extracellular matrix (ECM) production and keratinocyte epithelial-mesenchymal transition (EMT). TGF-β1 induced myofibroblast transformation in primary human dermal fibroblasts (Emax = &gt;3 ng/mL). The assay was optimised and validated (Z’ = 0.59), before screening 1,954 approved drugs. 90 drugs were identified as hits and hydroxypyridone anti-fungals selected for further testing. Concentration-response curves for these drugs confirmed their concentration-dependent anti-myofibroblast activity (IC50 = 1.4 – 16.7 μM). Hydroxypyridone anti-fungals were also found to successfully reduce ECM production and keratinocyte EMT. This is the first study to screen approved drugs in primary human dermal fibroblasts. Hydroxypyridone anti-fungals were found to prevent myofibroblast transformation, ECM production and keratinocyte EMT suggesting they could be repurposed to prevent hypertrophic scarring.","author":[{"dropping-particle":"","family":"Lapthorn","given":"Alice Ruth","non-dropping-particle":"","parse-names":false,"suffix":""},{"dropping-particle":"","family":"Ilg","given":"Marcus Maximillian","non-dropping-particle":"","parse-names":false,"suffix":""},{"dropping-particle":"","family":"Sullivan","given":"Justine Victoria","non-dropping-particle":"","parse-names":false,"suffix":""},{"dropping-particle":"","family":"Dziewulski","given":"Peter","non-dropping-particle":"","parse-names":false,"suffix":""},{"dropping-particle":"","family":"Cellek","given":"Selim","non-dropping-particle":"","parse-names":false,"suffix":""}],"container-title":"European Journal of Pharmacology","id":"ITEM-2","issued":{"date-parts":[["2022","12","15"]]},"publisher":"Elsevier B.V.","title":"Phenotypic screening identifies hydroxypyridone anti-fungals as novel medicines for the prevention of hypertrophic scars","type":"article-journal","volume":"937"},"uris":["http://www.mendeley.com/documents/?uuid=31b46d5d-017d-3d6b-87c5-4bc5fe389f1a"]}],"mendeley":{"formattedCitation":"[25,45]","plainTextFormattedCitation":"[25,45]","previouslyFormattedCitation":"[25,45]"},"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[25,45]</w:t>
      </w:r>
      <w:r w:rsidR="00193897" w:rsidRPr="00695061">
        <w:rPr>
          <w:sz w:val="24"/>
          <w:szCs w:val="24"/>
        </w:rPr>
        <w:fldChar w:fldCharType="end"/>
      </w:r>
      <w:r w:rsidR="00193897" w:rsidRPr="00695061">
        <w:rPr>
          <w:sz w:val="24"/>
          <w:szCs w:val="24"/>
        </w:rPr>
        <w:t xml:space="preserve"> </w:t>
      </w:r>
      <w:r w:rsidRPr="00695061">
        <w:rPr>
          <w:sz w:val="24"/>
          <w:szCs w:val="24"/>
        </w:rPr>
        <w:t xml:space="preserve">we have chosen TGF-β1 as the stimulatory cytokine as its </w:t>
      </w:r>
      <w:r w:rsidR="004E01E3" w:rsidRPr="00695061">
        <w:rPr>
          <w:sz w:val="24"/>
          <w:szCs w:val="24"/>
        </w:rPr>
        <w:t xml:space="preserve">role in </w:t>
      </w:r>
      <w:r w:rsidR="00A93445" w:rsidRPr="00695061">
        <w:rPr>
          <w:sz w:val="24"/>
          <w:szCs w:val="24"/>
        </w:rPr>
        <w:t>pathophysiology</w:t>
      </w:r>
      <w:r w:rsidR="004E01E3" w:rsidRPr="00695061">
        <w:rPr>
          <w:sz w:val="24"/>
          <w:szCs w:val="24"/>
        </w:rPr>
        <w:t xml:space="preserve"> of PD </w:t>
      </w:r>
      <w:r w:rsidR="00A93445" w:rsidRPr="00695061">
        <w:rPr>
          <w:sz w:val="24"/>
          <w:szCs w:val="24"/>
        </w:rPr>
        <w:t xml:space="preserve">has been </w:t>
      </w:r>
      <w:r w:rsidR="00DD3A64" w:rsidRPr="00695061">
        <w:rPr>
          <w:sz w:val="24"/>
          <w:szCs w:val="24"/>
        </w:rPr>
        <w:t>well</w:t>
      </w:r>
      <w:r w:rsidR="00A93445" w:rsidRPr="00695061">
        <w:rPr>
          <w:sz w:val="24"/>
          <w:szCs w:val="24"/>
        </w:rPr>
        <w:t xml:space="preserve"> defined</w:t>
      </w:r>
      <w:r w:rsidR="00193897" w:rsidRPr="00695061">
        <w:rPr>
          <w:sz w:val="24"/>
          <w:szCs w:val="24"/>
        </w:rPr>
        <w:t xml:space="preserve"> </w:t>
      </w:r>
      <w:r w:rsidR="00193897" w:rsidRPr="00695061">
        <w:rPr>
          <w:sz w:val="24"/>
          <w:szCs w:val="24"/>
        </w:rPr>
        <w:fldChar w:fldCharType="begin" w:fldLock="1"/>
      </w:r>
      <w:r w:rsidR="007D7BEE" w:rsidRPr="00695061">
        <w:rPr>
          <w:sz w:val="24"/>
          <w:szCs w:val="24"/>
        </w:rPr>
        <w:instrText>ADDIN CSL_CITATION {"citationItems":[{"id":"ITEM-1","itemData":{"DOI":"10.1038/nrneph.2016.48","ISSN":"1759-507X","abstract":"TGF-β acts on multiple cell types to drive fibrosis in progressive kidney diseaseTGF-β signals through both canonical and non-canonical pathways; TGF-β canonical signalling via Smads has a central role in the development of renal fibrosisThe profibrotic actions of TGF-β are positively and negatively regulated by interactions with other signalling pathways and by noncoding RNA and epigenetic mechanismsDirect targeting of TGF-β is unlikely to be therapeutically feasible due to the involvement of TGF-β in other systems, including the immune systemGreater understanding of the fibrotic pathways regulated by TGF-β has identified alternative therapeutic targets; re-establishing the balance between profibrotic Smad3 activation and antifibrotic Smad7 action is once such approach","author":[{"dropping-particle":"","family":"Meng","given":"Xiao-ming","non-dropping-particle":"","parse-names":false,"suffix":""},{"dropping-particle":"","family":"Nikolic-Paterson","given":"David J","non-dropping-particle":"","parse-names":false,"suffix":""},{"dropping-particle":"","family":"Lan","given":"Hui Yao","non-dropping-particle":"","parse-names":false,"suffix":""}],"container-title":"Nature Reviews Nephrology","id":"ITEM-1","issue":"6","issued":{"date-parts":[["2016"]]},"page":"325-338","title":"TGF-β: the master regulator of fibrosis","type":"article-journal","volume":"12"},"uris":["http://www.mendeley.com/documents/?uuid=4b2afc09-b3c8-330e-81c2-e8b78d36c9fc"]},{"id":"ITEM-2","itemData":{"DOI":"https://doi.org/10.1016/S0022-5347(01)64223-X","ISSN":"0022-5347","abstract":"ABSTRACT\nPurpose\nTransforming growth factor-beta (TGF-beta) has been implicated in many chronic fibrotic conditions such as pulmonary and hepatic fibrosis. We postulated that TGF-beta may play a role in the pathogenesis of Peyronie's disease.\nMaterials and Methods\nTissues from the tunica albuginea of 30 Peyronie's disease patients (study group) and from 6 patients without Peyronie's disease, who had undergone penile prosthesis surgery for organic impotence (control group), were subjected to histological examination using Hart and trichrome stains and Western blotting for the detection of TGF-beta protein expression.\nResults\nThe results of these experiments demonstrate that all tissue from Peyronie's disease patients showed a variety of histological changes of the tunica, ranging from chronic inflammatory cellular infiltration to complete calcification and ossification of the tissues. The most prominent changes observed in the majority of patients were focal or diffused elastosis, fenestration and disorganization of the collagen bundles. TGF-beta 1 protein expression was detected in 26 patients (86%), while only 7 (23%) and 5 (17%) patients showed TGF-beta 2 and TGF-beta 3 protein expression, respectively. One patient in the control group showed fibrosis of the tunica albuginea and protein expression of TGF-beta 1 and TGF-beta 2. This patient had undergone surgery for the revision of his prosthesis twice. Five patients from the control group showed normal histological patterns of the tunica albuginea and no protein expression for TGF-beta 1, TGF-beta 2 and TGF-beta 3.\nConclusions\nTGF-beta 1 protein expression is significantly associated with Peyronie's disease, which may provide a new insight and the potential for the prevention and treatment of this disease.","author":[{"dropping-particle":"","family":"El-Sakka","given":"Ahmed I","non-dropping-particle":"","parse-names":false,"suffix":""},{"dropping-particle":"","family":"Hassoba","given":"Howayda M","non-dropping-particle":"","parse-names":false,"suffix":""},{"dropping-particle":"","family":"Pillarisetty","given":"Rao J","non-dropping-particle":"","parse-names":false,"suffix":""},{"dropping-particle":"","family":"Dahiya","given":"Rajvir","non-dropping-particle":"","parse-names":false,"suffix":""},{"dropping-particle":"","family":"Lue","given":"Tom F","non-dropping-particle":"","parse-names":false,"suffix":""}],"container-title":"The Journal of Urology","id":"ITEM-2","issue":"4","issued":{"date-parts":[["1997"]]},"page":"1391-1394","title":"PEYRONIE'S DISEASE IS ASSOCIATED WITH AN INCREASE IN TRANSFORMING GROWTH FACTOR-beta PROTEIN EXPRESSION","type":"article-journal","volume":"158"},"uris":["http://www.mendeley.com/documents/?uuid=d98cc393-7f42-3f7d-9757-60b216e7ab0a"]}],"mendeley":{"formattedCitation":"[46,47]","plainTextFormattedCitation":"[46,47]","previouslyFormattedCitation":"[46,47]"},"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[46,47]</w:t>
      </w:r>
      <w:r w:rsidR="00193897" w:rsidRPr="00695061">
        <w:rPr>
          <w:sz w:val="24"/>
          <w:szCs w:val="24"/>
        </w:rPr>
        <w:fldChar w:fldCharType="end"/>
      </w:r>
      <w:r w:rsidR="00193897" w:rsidRPr="00695061">
        <w:rPr>
          <w:sz w:val="24"/>
          <w:szCs w:val="24"/>
        </w:rPr>
        <w:t>.</w:t>
      </w:r>
      <w:r w:rsidR="00391351" w:rsidRPr="00695061">
        <w:rPr>
          <w:sz w:val="24"/>
          <w:szCs w:val="24"/>
        </w:rPr>
        <w:t xml:space="preserve"> </w:t>
      </w:r>
      <w:r w:rsidR="0025427F" w:rsidRPr="00695061">
        <w:rPr>
          <w:sz w:val="24"/>
          <w:szCs w:val="24"/>
        </w:rPr>
        <w:t xml:space="preserve">It should be noted </w:t>
      </w:r>
      <w:r w:rsidR="00A93445" w:rsidRPr="00695061">
        <w:rPr>
          <w:sz w:val="24"/>
          <w:szCs w:val="24"/>
        </w:rPr>
        <w:t xml:space="preserve">however </w:t>
      </w:r>
      <w:r w:rsidR="0025427F" w:rsidRPr="00695061">
        <w:rPr>
          <w:sz w:val="24"/>
          <w:szCs w:val="24"/>
        </w:rPr>
        <w:t xml:space="preserve">that other cytokines </w:t>
      </w:r>
      <w:r w:rsidR="00725FF7" w:rsidRPr="00695061">
        <w:rPr>
          <w:sz w:val="24"/>
          <w:szCs w:val="24"/>
        </w:rPr>
        <w:t>or factors than</w:t>
      </w:r>
      <w:r w:rsidR="0025427F" w:rsidRPr="00695061">
        <w:rPr>
          <w:sz w:val="24"/>
          <w:szCs w:val="24"/>
        </w:rPr>
        <w:t xml:space="preserve"> </w:t>
      </w:r>
      <w:bookmarkStart w:id="0" w:name="_Hlk127021956"/>
      <w:r w:rsidR="00725FF7" w:rsidRPr="00695061">
        <w:rPr>
          <w:sz w:val="24"/>
          <w:szCs w:val="24"/>
        </w:rPr>
        <w:t>TGF-β1</w:t>
      </w:r>
      <w:r w:rsidR="006E1C67" w:rsidRPr="00695061">
        <w:rPr>
          <w:sz w:val="24"/>
          <w:szCs w:val="24"/>
        </w:rPr>
        <w:t xml:space="preserve"> </w:t>
      </w:r>
      <w:bookmarkEnd w:id="0"/>
      <w:r w:rsidR="006E1C67" w:rsidRPr="00695061">
        <w:rPr>
          <w:sz w:val="24"/>
          <w:szCs w:val="24"/>
        </w:rPr>
        <w:t>have been reported to induce myofibroblast transformation</w:t>
      </w:r>
      <w:r w:rsidR="00193897" w:rsidRPr="00695061">
        <w:rPr>
          <w:sz w:val="24"/>
          <w:szCs w:val="24"/>
        </w:rPr>
        <w:t xml:space="preserve"> </w:t>
      </w:r>
      <w:r w:rsidR="00193897" w:rsidRPr="00695061">
        <w:rPr>
          <w:sz w:val="24"/>
          <w:szCs w:val="24"/>
        </w:rPr>
        <w:fldChar w:fldCharType="begin" w:fldLock="1"/>
      </w:r>
      <w:r w:rsidR="007D7BEE" w:rsidRPr="00695061">
        <w:rPr>
          <w:sz w:val="24"/>
          <w:szCs w:val="24"/>
        </w:rPr>
        <w:instrText>ADDIN CSL_CITATION {"citationItems":[{"id":"ITEM-1","itemData":{"DOI":"10.1155/2017/4653512","ISSN":"16876377","abstract":"Peyronie's disease (PD) is a chronic inflammation of tunica albuginea of the corpora cavernosa that causes an inelastic plaque resulting in penis deformation. Although its etiology is not completely known, there is general consensus that PD is genetically transmitted and secondary to penile trauma. In recent years, numerous studies demonstrated the role played by oxidative stress in PD pathogenesis, and other studies have described successful use of antioxidants in PD treatment. Oxidative stress is an integral part of this disease, influencing its progression. In the early stages of PD, the inflammatory infiltrate cells produce high quantities of free radicals and proinflammatory and profibrotic cytokines, with consequent activation of transcription factor NF-B. While conservative therapies commonly used in the early stages of PD include oral substances (Potaba, tamoxifen, colchicine, and vitamin E), intralesional treatment (verapamil, interferon, steroids, and more recently collagenase clostridium histolyticum-Xiaflex), and local physical treatment (iontophoresis, extracorporeal shock wave therapy, and penile extender), the significant results obtained by emerging treatments with the antioxidants cited in this article suggest these therapeutic agents interfere at several levels with the disease's pathogenetic mechanisms. Antioxidants therapy outcomes are interesting for good clinical practice and also confirm the fundamental role played by oxidative stress in PD.","author":[{"dropping-particle":"","family":"Paulis","given":"Gianni","non-dropping-particle":"","parse-names":false,"suffix":""},{"dropping-particle":"","family":"Romano","given":"Gennaro","non-dropping-particle":"","parse-names":false,"suffix":""},{"dropping-particle":"","family":"Paulis","given":"Luca","non-dropping-particle":"","parse-names":false,"suffix":""},{"dropping-particle":"","family":"Barletta","given":"Davide","non-dropping-particle":"","parse-names":false,"suffix":""}],"container-title":"Advances in Urology","id":"ITEM-1","issued":{"date-parts":[["2017"]]},"publisher":"Hindawi Limited","title":"Recent Pathophysiological Aspects of Peyronie's Disease: Role of Free Radicals, Rationale, and Therapeutic Implications for Antioxidant Treatment - Literature Review","type":"article","volume":"2017"},"uris":["http://www.mendeley.com/documents/?uuid=5c996fb1-c78f-375d-8c44-f99046ada40f"]}],"mendeley":{"formattedCitation":"[48]","plainTextFormattedCitation":"[48]","previouslyFormattedCitation":"[48]"},"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[48]</w:t>
      </w:r>
      <w:r w:rsidR="00193897" w:rsidRPr="00695061">
        <w:rPr>
          <w:sz w:val="24"/>
          <w:szCs w:val="24"/>
        </w:rPr>
        <w:fldChar w:fldCharType="end"/>
      </w:r>
      <w:r w:rsidR="00D86F3D" w:rsidRPr="00695061">
        <w:rPr>
          <w:sz w:val="24"/>
          <w:szCs w:val="24"/>
        </w:rPr>
        <w:t>. C</w:t>
      </w:r>
      <w:r w:rsidR="005F4400" w:rsidRPr="00695061">
        <w:rPr>
          <w:sz w:val="24"/>
          <w:szCs w:val="24"/>
        </w:rPr>
        <w:t xml:space="preserve">onnective tissue growth factor (CTGF; a factor </w:t>
      </w:r>
      <w:r w:rsidR="004C1AE5" w:rsidRPr="00695061">
        <w:rPr>
          <w:sz w:val="24"/>
          <w:szCs w:val="24"/>
        </w:rPr>
        <w:t>d</w:t>
      </w:r>
      <w:r w:rsidR="005F4400" w:rsidRPr="00695061">
        <w:rPr>
          <w:sz w:val="24"/>
          <w:szCs w:val="24"/>
        </w:rPr>
        <w:t>ownstream</w:t>
      </w:r>
      <w:r w:rsidR="004C1AE5" w:rsidRPr="00695061">
        <w:rPr>
          <w:sz w:val="24"/>
          <w:szCs w:val="24"/>
        </w:rPr>
        <w:t xml:space="preserve"> of TGF-β1</w:t>
      </w:r>
      <w:r w:rsidR="00D86F3D" w:rsidRPr="00695061">
        <w:rPr>
          <w:sz w:val="24"/>
          <w:szCs w:val="24"/>
        </w:rPr>
        <w:t xml:space="preserve">) </w:t>
      </w:r>
      <w:r w:rsidR="00DA32AA" w:rsidRPr="00695061">
        <w:rPr>
          <w:sz w:val="24"/>
          <w:szCs w:val="24"/>
        </w:rPr>
        <w:t>i</w:t>
      </w:r>
      <w:r w:rsidR="00D86F3D" w:rsidRPr="00695061">
        <w:rPr>
          <w:sz w:val="24"/>
          <w:szCs w:val="24"/>
        </w:rPr>
        <w:t xml:space="preserve">s such a factor which has been shown to be </w:t>
      </w:r>
      <w:r w:rsidR="00D2092F" w:rsidRPr="00695061">
        <w:rPr>
          <w:sz w:val="24"/>
          <w:szCs w:val="24"/>
        </w:rPr>
        <w:t xml:space="preserve">associated </w:t>
      </w:r>
      <w:r w:rsidR="006D652D" w:rsidRPr="00695061">
        <w:rPr>
          <w:sz w:val="24"/>
          <w:szCs w:val="24"/>
        </w:rPr>
        <w:t xml:space="preserve">with the severity of fibrotic diseases </w:t>
      </w:r>
      <w:r w:rsidR="00193897" w:rsidRPr="00695061">
        <w:rPr>
          <w:sz w:val="24"/>
          <w:szCs w:val="24"/>
        </w:rPr>
        <w:fldChar w:fldCharType="begin" w:fldLock="1"/>
      </w:r>
      <w:r w:rsidR="007D7BEE" w:rsidRPr="00695061">
        <w:rPr>
          <w:sz w:val="24"/>
          <w:szCs w:val="24"/>
        </w:rPr>
        <w:instrText>ADDIN CSL_CITATION {"citationItems":[{"id":"ITEM-1","itemData":{"DOI":"10.3109/1354750X.2011.561366","ISSN":"1354-750X","PMID":"21595567","abstract":"BACKGROUND Connective tissue growth factor (CTGF) has been identified as a key factor in the pathogenesis of diseases with significant fibrosis-related complications such as hepatitis, diabetes and renal transplantation. Increasing evidence shows that CTGF levels in plasma, serum and urine have promising biomarker applicability in these disorders. OBJECTIVE To present an overview of current knowledge on CTGF in various patient populations and the technical aspects of CTGF measurement by enzyme-linked immunosorbent assay (ELISA). METHOD We performed a comprehensive literature search by using electronic bibliographic databases. CONCLUSION CTGF is associated with disease severity parameters and outcome in fibrotic disease and may have diagnostic and prognostic values. However, CTGF ELISA needs standardization.","author":[{"dropping-particle":"","family":"Dendooven","given":"Amélie","non-dropping-particle":"","parse-names":false,"suffix":""},{"dropping-particle":"","family":"Gerritsen","given":"Karin G.","non-dropping-particle":"","parse-names":false,"suffix":""},{"dropping-particle":"","family":"Nguyen","given":"Tri Q.","non-dropping-particle":"","parse-names":false,"suffix":""},{"dropping-particle":"","family":"Kok","given":"Robbert J.","non-dropping-particle":"","parse-names":false,"suffix":""},{"dropping-particle":"","family":"Goldschmeding","given":"Roel","non-dropping-particle":"","parse-names":false,"suffix":""}],"container-title":"Biomarkers","id":"ITEM-1","issue":"4","issued":{"date-parts":[["2011","6","20"]]},"page":"289-301","title":"Connective tissue growth factor (CTGF/CCN2) ELISA: a novel tool for monitoring fibrosis","type":"article-journal","volume":"16"},"uris":["http://www.mendeley.com/documents/?uuid=0ac5e3e6-84ef-32fb-832e-1e054823aed2"]}],"mendeley":{"formattedCitation":"[49]","plainTextFormattedCitation":"[49]","previouslyFormattedCitation":"[49]"},"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[49]</w:t>
      </w:r>
      <w:r w:rsidR="00193897" w:rsidRPr="00695061">
        <w:rPr>
          <w:sz w:val="24"/>
          <w:szCs w:val="24"/>
        </w:rPr>
        <w:fldChar w:fldCharType="end"/>
      </w:r>
      <w:r w:rsidR="00702F0D" w:rsidRPr="00695061">
        <w:rPr>
          <w:sz w:val="24"/>
          <w:szCs w:val="24"/>
        </w:rPr>
        <w:t xml:space="preserve">, enhances TGF-β1’s pro-fibrotic </w:t>
      </w:r>
      <w:r w:rsidR="00DA32AA" w:rsidRPr="00695061">
        <w:rPr>
          <w:sz w:val="24"/>
          <w:szCs w:val="24"/>
        </w:rPr>
        <w:t xml:space="preserve">properties </w:t>
      </w:r>
      <w:r w:rsidR="00193897" w:rsidRPr="00695061">
        <w:rPr>
          <w:sz w:val="24"/>
          <w:szCs w:val="24"/>
        </w:rPr>
        <w:fldChar w:fldCharType="begin" w:fldLock="1"/>
      </w:r>
      <w:r w:rsidR="007D7BEE" w:rsidRPr="00695061">
        <w:rPr>
          <w:sz w:val="24"/>
          <w:szCs w:val="24"/>
        </w:rPr>
        <w:instrText>ADDIN CSL_CITATION {"citationItems":[{"id":"ITEM-1","itemData":{"DOI":"10.1161/CIRCRESAHA.110.217737","abstract":"Fibrosis is one of the largest groups of diseases for which there is no therapy but is believed to occur because of a persistent tissue repair program. During connective tissue repair, \"activated\" fibroblasts migrate into the wound area, where they synthesize and remodel newly created extracellular matrix. The specialized type of fibroblast responsible for this action is the-smooth muscle actin (-SMA)-expressing myofibroblast. Abnormal persistence of the myofibroblast is a hallmark of fibrotic diseases. Proteins such as transforming growth factor (TGF), endothelin-1, angiotensin II (Ang II), connective tissue growth factor (CCN2/CTGF), and platelet-derived growth factor (PDGF) appear to act in a network that contributes to myofibroblast differentiation and persistence. Drugs targeting these proteins are currently under consideration as antifibrotic treatments. This review summarizes recent observations concerning the contribution of TGF, endothelin-1, Ang II, CCN2, and PDGF and to fibroblast activation in tissue repair and fibrosis and the potential utility of agents blocking these proteins in affecting the outcome of cardiac fibrosis.","author":[{"dropping-particle":"","family":"Leask","given":"Andrew","non-dropping-particle":"","parse-names":false,"suffix":""}],"container-title":"Circ Res","id":"ITEM-1","issued":{"date-parts":[["2009"]]},"page":"47-57","title":"Potential Therapeutic Targets for Cardiac Fibrosis","type":"article-journal","volume":"105"},"uris":["http://www.mendeley.com/documents/?uuid=a2642e72-b461-384f-b1fb-8d649a8862b4"]}],"mendeley":{"formattedCitation":"[50]","plainTextFormattedCitation":"[50]","previouslyFormattedCitation":"[50]"},"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[50]</w:t>
      </w:r>
      <w:r w:rsidR="00193897" w:rsidRPr="00695061">
        <w:rPr>
          <w:sz w:val="24"/>
          <w:szCs w:val="24"/>
        </w:rPr>
        <w:fldChar w:fldCharType="end"/>
      </w:r>
      <w:r w:rsidR="008A6F8F" w:rsidRPr="00695061">
        <w:rPr>
          <w:sz w:val="24"/>
          <w:szCs w:val="24"/>
        </w:rPr>
        <w:t xml:space="preserve"> and its downregulation has been shown to</w:t>
      </w:r>
      <w:r w:rsidR="00E8733E" w:rsidRPr="00695061">
        <w:rPr>
          <w:sz w:val="24"/>
          <w:szCs w:val="24"/>
        </w:rPr>
        <w:t xml:space="preserve"> protect animal models from developing fibrosis </w:t>
      </w:r>
      <w:r w:rsidR="00193897" w:rsidRPr="00695061">
        <w:rPr>
          <w:sz w:val="24"/>
          <w:szCs w:val="24"/>
        </w:rPr>
        <w:fldChar w:fldCharType="begin" w:fldLock="1"/>
      </w:r>
      <w:r w:rsidR="007D7BEE" w:rsidRPr="00695061">
        <w:rPr>
          <w:sz w:val="24"/>
          <w:szCs w:val="24"/>
        </w:rPr>
        <w:instrText>ADDIN CSL_CITATION {"citationItems":[{"id":"ITEM-1","itemData":{"DOI":"10.1007/s12079-009-0071-5","ISSN":"1873-9601","author":[{"dropping-particle":"","family":"Brigstock","given":"David R.","non-dropping-particle":"","parse-names":false,"suffix":""}],"container-title":"Journal of Cell Communication and Signaling","id":"ITEM-1","issue":"1","issued":{"date-parts":[["2010","3","2"]]},"page":"1-4","publisher":"Springer Netherlands","title":"Connective tissue growth factor (CCN2, CTGF) and organ fibrosis: lessons from transgenic animals","type":"article-journal","volume":"4"},"uris":["http://www.mendeley.com/documents/?uuid=a15a4900-d948-3d93-a9d3-55cffe8b571c"]}],"mendeley":{"formattedCitation":"[51]","plainTextFormattedCitation":"[51]","previouslyFormattedCitation":"[51]"},"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[51]</w:t>
      </w:r>
      <w:r w:rsidR="00193897" w:rsidRPr="00695061">
        <w:rPr>
          <w:sz w:val="24"/>
          <w:szCs w:val="24"/>
        </w:rPr>
        <w:fldChar w:fldCharType="end"/>
      </w:r>
      <w:r w:rsidR="00117813" w:rsidRPr="00695061">
        <w:rPr>
          <w:sz w:val="24"/>
          <w:szCs w:val="24"/>
        </w:rPr>
        <w:t xml:space="preserve">. </w:t>
      </w:r>
      <w:r w:rsidR="00514FD8" w:rsidRPr="00695061">
        <w:rPr>
          <w:sz w:val="24"/>
          <w:szCs w:val="24"/>
        </w:rPr>
        <w:t xml:space="preserve">Although </w:t>
      </w:r>
      <w:r w:rsidR="000516BF" w:rsidRPr="00695061">
        <w:rPr>
          <w:sz w:val="24"/>
          <w:szCs w:val="24"/>
        </w:rPr>
        <w:t>overexpression</w:t>
      </w:r>
      <w:r w:rsidR="00514FD8" w:rsidRPr="00695061">
        <w:rPr>
          <w:sz w:val="24"/>
          <w:szCs w:val="24"/>
        </w:rPr>
        <w:t xml:space="preserve"> of CTGF has been reported to </w:t>
      </w:r>
      <w:r w:rsidR="000516BF" w:rsidRPr="00695061">
        <w:rPr>
          <w:sz w:val="24"/>
          <w:szCs w:val="24"/>
        </w:rPr>
        <w:t>lead to exaggerated myofibroblasts transformatio</w:t>
      </w:r>
      <w:r w:rsidR="00C26641" w:rsidRPr="00695061">
        <w:rPr>
          <w:sz w:val="24"/>
          <w:szCs w:val="24"/>
        </w:rPr>
        <w:t xml:space="preserve">n and function in several fibrotic conditions </w:t>
      </w:r>
      <w:r w:rsidR="00193897" w:rsidRPr="00695061">
        <w:rPr>
          <w:sz w:val="24"/>
          <w:szCs w:val="24"/>
        </w:rPr>
        <w:fldChar w:fldCharType="begin" w:fldLock="1"/>
      </w:r>
      <w:r w:rsidR="007D7BEE" w:rsidRPr="00695061">
        <w:rPr>
          <w:sz w:val="24"/>
          <w:szCs w:val="24"/>
        </w:rPr>
        <w:instrText>ADDIN CSL_CITATION {"citationItems":[{"id":"ITEM-1","itemData":{"DOI":"10.1016/J.CYTOGFR.2008.01.002","ISSN":"1359-6101","abstract":"Connective tissue growth factor (CTGF, CCN2) is a secreted protein with major roles in angiogenesis, chondrogenesis, osteogenesis, tissue repair, cancer and fibrosis. It is a member of the CCN family of immediate-early gene products which are characterised by four discrete protein modules in which reside growth factor binding domains, functional motifs for integrin recognition, heparin and proteoglycan binding, and dimerization motifs. A primary function of CTGF is to modulate and coordinate signaling responses involving cell surface proteoglycans, key components of the extracellular matrix, and growth factors. Integration of these molecular cues regulates growth factor and receptor interactions, cell motility and mesenchymal cell activation and differentiation in tissue remodelling. Abnormal amplification of CTGF dependent signals results in a failure to terminate tissue repair, leading pathological scarring in conditions such as fibrosis and cancer.","author":[{"dropping-particle":"","family":"Shi-Wen","given":"Xu","non-dropping-particle":"","parse-names":false,"suffix":""},{"dropping-particle":"","family":"Leask","given":"Andrew","non-dropping-particle":"","parse-names":false,"suffix":""},{"dropping-particle":"","family":"Abraham","given":"David","non-dropping-particle":"","parse-names":false,"suffix":""}],"container-title":"Cytokine &amp; Growth Factor Reviews","id":"ITEM-1","issue":"2","issued":{"date-parts":[["2008","4","1"]]},"page":"133-144","publisher":"Pergamon","title":"Regulation and function of connective tissue growth factor/CCN2 in tissue repair, scarring and fibrosis","type":"article-journal","volume":"19"},"uris":["http://www.mendeley.com/documents/?uuid=7246629b-e618-3623-8382-ab6bccf4cd10"]}],"mendeley":{"formattedCitation":"[52]","plainTextFormattedCitation":"[52]","previouslyFormattedCitation":"[52]"},"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[52]</w:t>
      </w:r>
      <w:r w:rsidR="00193897" w:rsidRPr="00695061">
        <w:rPr>
          <w:sz w:val="24"/>
          <w:szCs w:val="24"/>
        </w:rPr>
        <w:fldChar w:fldCharType="end"/>
      </w:r>
      <w:r w:rsidR="00C26641" w:rsidRPr="00695061">
        <w:rPr>
          <w:sz w:val="24"/>
          <w:szCs w:val="24"/>
        </w:rPr>
        <w:t xml:space="preserve">, </w:t>
      </w:r>
      <w:r w:rsidR="003E79E2" w:rsidRPr="00695061">
        <w:rPr>
          <w:sz w:val="24"/>
          <w:szCs w:val="24"/>
        </w:rPr>
        <w:t xml:space="preserve">its expression has been shown to be unaltered in TA of patients with PD </w:t>
      </w:r>
      <w:r w:rsidR="00193897" w:rsidRPr="00695061">
        <w:rPr>
          <w:sz w:val="24"/>
          <w:szCs w:val="24"/>
        </w:rPr>
        <w:fldChar w:fldCharType="begin" w:fldLock="1"/>
      </w:r>
      <w:r w:rsidR="007D7BEE" w:rsidRPr="00695061">
        <w:rPr>
          <w:sz w:val="24"/>
          <w:szCs w:val="24"/>
        </w:rPr>
        <w:instrText>ADDIN CSL_CITATION {"citationItems":[{"id":"ITEM-1","itemData":{"DOI":"10.1016/S0006-291X(02)00765-9","ISSN":"0006291X","PMID":"12127997","abstract":"Peyronie's disease (PD) is characterized by fibrosis in the tunica albuginea (TA) of the penis, which becomes bent as a result. We have previously shown that transforming growth factor-β 1 (TGF-β1) is upregulated in the TA of patients with PD and can initiate PD-like lesions in rat models. In this study we isolated three types of fibroblasts: P cells from the lesions of PD patients, C cells from the normal-appearing areas of the TA of the same patients, and N cells from the TA of patients without PD. We examined these cells for the expression of two fibrogenic cytokines, connective tissue growth factor (CTGF), and Monocyte Chemoattractant Protein 1 (MCP-1). We found that CTGF was expressed at similar levels in P, C, and N cells, whereas MCP-1 was significantly more expressed in P cells than in C cells and more in C cells than in N cells. Higher MCP-1 expression was also found in the lesions than in normal TA. Treatment with TGF-β1-induced higher expression of MCP-1 but not CTGF in all three types of cells, with C cells being the most responsive. Based on these observations, we propose that MCP-1 could be a novel therapeutic target in PD. © 2002 Elsevier Science (USA). All rights reserved.","author":[{"dropping-particle":"","family":"Lin","given":"Ching Shwun","non-dropping-particle":"","parse-names":false,"suffix":""},{"dropping-particle":"","family":"Lin","given":"Guiting","non-dropping-particle":"","parse-names":false,"suffix":""},{"dropping-particle":"","family":"Wang","given":"Zhong","non-dropping-particle":"","parse-names":false,"suffix":""},{"dropping-particle":"","family":"Maddah","given":"Suzan A.","non-dropping-particle":"","parse-names":false,"suffix":""},{"dropping-particle":"","family":"Lue","given":"Tom F.","non-dropping-particle":"","parse-names":false,"suffix":""}],"container-title":"Biochemical and Biophysical Research Communications","id":"ITEM-1","issue":"4","issued":{"date-parts":[["2002","7","26"]]},"page":"1014-1019","publisher":"Academic Press","title":"Upregulation of monocyte chemoattractant protein 1 and effects of transforming growth factor-α 1 in Peyronie</w:instrText>
      </w:r>
      <w:r w:rsidR="007D7BEE" w:rsidRPr="00695061">
        <w:rPr>
          <w:rFonts w:ascii="Cambria Math" w:hAnsi="Cambria Math" w:cs="Cambria Math"/>
          <w:sz w:val="24"/>
          <w:szCs w:val="24"/>
        </w:rPr>
        <w:instrText>℉</w:instrText>
      </w:r>
      <w:r w:rsidR="007D7BEE" w:rsidRPr="00695061">
        <w:rPr>
          <w:sz w:val="24"/>
          <w:szCs w:val="24"/>
        </w:rPr>
        <w:instrText>s disease","type":"article-journal","volume":"295"},"uris":["http://www.mendeley.com/documents/?uuid=f1eaefab-e2e3-3881-84de-ab9969e29853"]}],"mendeley":{"formattedCitation":"[53]","plainTextFormattedCitation":"[53]","previouslyFormattedCitation":"[53]"},"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[53]</w:t>
      </w:r>
      <w:r w:rsidR="00193897" w:rsidRPr="00695061">
        <w:rPr>
          <w:sz w:val="24"/>
          <w:szCs w:val="24"/>
        </w:rPr>
        <w:fldChar w:fldCharType="end"/>
      </w:r>
      <w:r w:rsidR="00193897" w:rsidRPr="00695061">
        <w:rPr>
          <w:sz w:val="24"/>
          <w:szCs w:val="24"/>
        </w:rPr>
        <w:t>.</w:t>
      </w:r>
      <w:r w:rsidR="00436B2B" w:rsidRPr="00695061">
        <w:rPr>
          <w:sz w:val="24"/>
          <w:szCs w:val="24"/>
        </w:rPr>
        <w:t xml:space="preserve"> </w:t>
      </w:r>
      <w:r w:rsidR="002D0A3D" w:rsidRPr="00695061">
        <w:rPr>
          <w:sz w:val="24"/>
          <w:szCs w:val="24"/>
        </w:rPr>
        <w:t xml:space="preserve">Another </w:t>
      </w:r>
      <w:r w:rsidR="00F97C60" w:rsidRPr="00695061">
        <w:rPr>
          <w:sz w:val="24"/>
          <w:szCs w:val="24"/>
        </w:rPr>
        <w:t xml:space="preserve">factor is </w:t>
      </w:r>
      <w:r w:rsidR="001C2E10" w:rsidRPr="00695061">
        <w:rPr>
          <w:sz w:val="24"/>
          <w:szCs w:val="24"/>
        </w:rPr>
        <w:t xml:space="preserve">platelet-derived growth factor (PDGF) </w:t>
      </w:r>
      <w:r w:rsidR="00604447" w:rsidRPr="00695061">
        <w:rPr>
          <w:sz w:val="24"/>
          <w:szCs w:val="24"/>
        </w:rPr>
        <w:t>which is secreted by endothelial cells, macrophages and released from platelets upon degranulation</w:t>
      </w:r>
      <w:r w:rsidR="00C669EE" w:rsidRPr="00695061">
        <w:rPr>
          <w:sz w:val="24"/>
          <w:szCs w:val="24"/>
        </w:rPr>
        <w:t xml:space="preserve">. </w:t>
      </w:r>
      <w:r w:rsidR="00143688" w:rsidRPr="00695061">
        <w:rPr>
          <w:sz w:val="24"/>
          <w:szCs w:val="24"/>
        </w:rPr>
        <w:t xml:space="preserve">Although PDGF is a </w:t>
      </w:r>
      <w:r w:rsidR="00193897" w:rsidRPr="00695061">
        <w:rPr>
          <w:sz w:val="24"/>
          <w:szCs w:val="24"/>
        </w:rPr>
        <w:t>well-known</w:t>
      </w:r>
      <w:r w:rsidR="00143688" w:rsidRPr="00695061">
        <w:rPr>
          <w:sz w:val="24"/>
          <w:szCs w:val="24"/>
        </w:rPr>
        <w:t xml:space="preserve"> </w:t>
      </w:r>
      <w:r w:rsidR="00F22E42" w:rsidRPr="00695061">
        <w:rPr>
          <w:sz w:val="24"/>
          <w:szCs w:val="24"/>
        </w:rPr>
        <w:t xml:space="preserve">pro-fibrotic factor and has been shown to be increased in </w:t>
      </w:r>
      <w:r w:rsidR="001537CE" w:rsidRPr="00695061">
        <w:rPr>
          <w:sz w:val="24"/>
          <w:szCs w:val="24"/>
        </w:rPr>
        <w:t>mouse model of tight skins which develops spontaneous PD</w:t>
      </w:r>
      <w:r w:rsidR="00193897" w:rsidRPr="00695061">
        <w:rPr>
          <w:sz w:val="24"/>
          <w:szCs w:val="24"/>
        </w:rPr>
        <w:t xml:space="preserve"> </w:t>
      </w:r>
      <w:r w:rsidR="00193897" w:rsidRPr="00695061">
        <w:rPr>
          <w:sz w:val="24"/>
          <w:szCs w:val="24"/>
        </w:rPr>
        <w:fldChar w:fldCharType="begin" w:fldLock="1"/>
      </w:r>
      <w:r w:rsidR="007D7BEE" w:rsidRPr="00695061">
        <w:rPr>
          <w:sz w:val="24"/>
          <w:szCs w:val="24"/>
        </w:rPr>
        <w:instrText>ADDIN CSL_CITATION {"citationItems":[{"id":"ITEM-1","itemData":{"DOI":"10.1016/J.BIOCEL.2008.05.012","ISSN":"1357-2725","abstract":"Peyronie's disease (PD) is characterized by an inflammatory response beneath the tunica albuginea with fibroblast proliferation forming a thickened fibrous plaque that may cause pain, penile curvature and erectile dysfunction. The progression of the PD plaque may eventually lead to calcification or ossification. Current therapeutic success is often unsatisfactory because of limited insight into disease mechanisms. Research has been hampered by the lack of a universally accepted animal model. We describe an animal model of spontaneous PD in tight skin (Tsk) mice, a C57Bl/6J subline that reproduces with age important features of the human disease (fibrous plaque formation, penile bending and areas of chondroid metaplasia with heterotopic ossification). Histological analysis demonstrated an evident structural disorganization of the tunica albuginea with excessive accumulation of type I collagen. At 12 months of age, fibrous plaques with areas of chondroid metaplasia and heterotopic ossification characterized Tsk penises. The up-regulation of hypoxia-inducible factor-1 (HIF-1) leads to an increased downstream expression of HIF-1 target genes, such as TGFβ and iNOS. These factors, together with some PDGF family members, can cause collagen deposition in Tsk penises. They can also influence chondrocyte differentiation and heterotopic bone formation. In conclusion, hypoxia, HIF-1 and HIF-1 target genes appear to play an important role in the pathogenesis of PD in Tsk mice. This mouse model that is the first example of naturally occurring model of PD in laboratory animals may aid in the identification of signalling pathways crucial for PD and should facilitate the designing and testing of new therapeutic interventions.","author":[{"dropping-particle":"","family":"Lucattelli","given":"Monica","non-dropping-particle":"","parse-names":false,"suffix":""},{"dropping-particle":"","family":"Lunghi","given":"Benedetta","non-dropping-particle":"","parse-names":false,"suffix":""},{"dropping-particle":"","family":"Fineschi","given":"Silvia","non-dropping-particle":"","parse-names":false,"suffix":""},{"dropping-particle":"","family":"Mirone","given":"Vincenzo","non-dropping-particle":"","parse-names":false,"suffix":""},{"dropping-particle":"","family":"Villa Bianca","given":"Roberta d’Emmanuele","non-dropping-particle":"di","parse-names":false,"suffix":""},{"dropping-particle":"","family":"Longo","given":"Nicola","non-dropping-particle":"","parse-names":false,"suffix":""},{"dropping-particle":"","family":"Imbimbo","given":"Ciro","non-dropping-particle":"","parse-names":false,"suffix":""},{"dropping-particle":"","family":"Palma","given":"Raffaele","non-dropping-particle":"De","parse-names":false,"suffix":""},{"dropping-particle":"","family":"Sorrentino","given":"Raffaella","non-dropping-particle":"","parse-names":false,"suffix":""},{"dropping-particle":"","family":"Lungarella","given":"Giuseppe","non-dropping-particle":"","parse-names":false,"suffix":""},{"dropping-particle":"","family":"Cirino","given":"Giuseppe","non-dropping-particle":"","parse-names":false,"suffix":""}],"container-title":"The International Journal of Biochemistry &amp; Cell Biology","id":"ITEM-1","issue":"11","issued":{"date-parts":[["2008","1","1"]]},"page":"2638-2648","publisher":"Pergamon","title":"A new mouse model of Peyronie's disease: An increased expression of hypoxia-inducible factor-1 target genes during the development of penile changes","type":"article-journal","volume":"40"},"uris":["http://www.mendeley.com/documents/?uuid=42905ae1-318a-3cfc-b804-8fd950c81f45"]}],"mendeley":{"formattedCitation":"[54]","plainTextFormattedCitation":"[54]","previouslyFormattedCitation":"[54]"},"properties":{"noteIndex":0},"schema":"https://github.com/citation-style-language/schema/raw/master/csl-citation.json"}</w:instrText>
      </w:r>
      <w:r w:rsidR="00193897" w:rsidRPr="00695061">
        <w:rPr>
          <w:sz w:val="24"/>
          <w:szCs w:val="24"/>
        </w:rPr>
        <w:fldChar w:fldCharType="separate"/>
      </w:r>
      <w:r w:rsidR="007D7BEE" w:rsidRPr="00695061">
        <w:rPr>
          <w:noProof/>
          <w:sz w:val="24"/>
          <w:szCs w:val="24"/>
        </w:rPr>
        <w:t>[54]</w:t>
      </w:r>
      <w:r w:rsidR="00193897" w:rsidRPr="00695061">
        <w:rPr>
          <w:sz w:val="24"/>
          <w:szCs w:val="24"/>
        </w:rPr>
        <w:fldChar w:fldCharType="end"/>
      </w:r>
      <w:r w:rsidR="00FE45F9" w:rsidRPr="00695061">
        <w:rPr>
          <w:sz w:val="24"/>
          <w:szCs w:val="24"/>
        </w:rPr>
        <w:t xml:space="preserve">, </w:t>
      </w:r>
      <w:r w:rsidR="008833B9" w:rsidRPr="00695061">
        <w:rPr>
          <w:sz w:val="24"/>
          <w:szCs w:val="24"/>
        </w:rPr>
        <w:t xml:space="preserve">to our knowledge its expression has not been shown to be increased in TA of patients with PD. </w:t>
      </w:r>
      <w:r w:rsidR="00BC7407" w:rsidRPr="00695061">
        <w:rPr>
          <w:sz w:val="24"/>
          <w:szCs w:val="24"/>
        </w:rPr>
        <w:t xml:space="preserve">Monocyte chemoattractant protein-1 (MCP-1), a </w:t>
      </w:r>
      <w:r w:rsidR="00CE2BE1" w:rsidRPr="00695061">
        <w:rPr>
          <w:sz w:val="24"/>
          <w:szCs w:val="24"/>
        </w:rPr>
        <w:t>chemokine</w:t>
      </w:r>
      <w:r w:rsidR="00BC7407" w:rsidRPr="00695061">
        <w:rPr>
          <w:sz w:val="24"/>
          <w:szCs w:val="24"/>
        </w:rPr>
        <w:t xml:space="preserve">, is upregulated in fibrosis of the </w:t>
      </w:r>
      <w:r w:rsidR="00CE2BE1" w:rsidRPr="00695061">
        <w:rPr>
          <w:sz w:val="24"/>
          <w:szCs w:val="24"/>
        </w:rPr>
        <w:lastRenderedPageBreak/>
        <w:t>lung</w:t>
      </w:r>
      <w:r w:rsidR="0005398D" w:rsidRPr="00695061">
        <w:rPr>
          <w:sz w:val="24"/>
          <w:szCs w:val="24"/>
        </w:rPr>
        <w:t xml:space="preserve"> </w:t>
      </w:r>
      <w:r w:rsidR="0005398D" w:rsidRPr="00695061">
        <w:rPr>
          <w:sz w:val="24"/>
          <w:szCs w:val="24"/>
        </w:rPr>
        <w:fldChar w:fldCharType="begin" w:fldLock="1"/>
      </w:r>
      <w:r w:rsidR="007D7BEE" w:rsidRPr="00695061">
        <w:rPr>
          <w:sz w:val="24"/>
          <w:szCs w:val="24"/>
        </w:rPr>
        <w:instrText>ADDIN CSL_CITATION {"citationItems":[{"id":"ITEM-1","itemData":{"DOI":"10.1046/j.1365-2249.1999.00929.x","ISSN":"00099104","PMID":"10403930","abstract":"To determine the role of chemokines in the pathogenesis of systemic sclerosis (SSc), we examined serum levels, spontaneous production by peripheral blood mononuclear cells (PBMC), and histological distribution in the affected skin, of MCP-1, MIP-1α and MIP-1β in SSc patients. Serum levels of these chemokines were examined by ELISA in 58 patients with SSc and 20 normal controls. The levels of these chemokines in culture supernatants from PBMC were also measured by ELISA. Serum levels and spontaneous production levels by PBMC of MCP-1, MIP-1α, and MIP-1β were significantly elevated in patients with SSc compared with normal controls. Elevated serum levels of MCP-1 and MIP-1α significantly correlated with the presence of pulmonary fibrosis. MCP-1 expression in the skin of SSc was immunohistochemically examined using anti-MCP-1 MoAb. MCP-1 was strongly expressed in the epidermis, inflammatory mononuclear cells, and vascular endothelial cells in the sclerotic skin of SSc patients, but not expressed in any control skin. Furthermore, the MCP-1 expression in inflammatory mononuclear cells and endothelial cells significantly correlated with earlier onset of SSc. Thus, MCP-1, MIP-1α and MIP-1β may be involved in the disease process, possibly by augmenting leucocyte migration into the affected tissues in SSc. Furthermore, MCP-1 and MIP-1α may play an important role in the development of pulmonary fibrosis in SSc.","author":[{"dropping-particle":"","family":"Hasegawa","given":"M","non-dropping-particle":"","parse-names":false,"suffix":""},{"dropping-particle":"","family":"Sato","given":"Shinichi","non-dropping-particle":"","parse-names":false,"suffix":""},{"dropping-particle":"","family":"Takehara","given":"K","non-dropping-particle":"","parse-names":false,"suffix":""}],"container-title":"Clinical and Experimental Immunology","id":"ITEM-1","issue":"1","issued":{"date-parts":[["1999"]]},"page":"159-165","title":"Augmented production of chemokines (monocyte chemotactic protein-1 (MCP- 1), macrophage inflammatory protein-1α (MIP-1α) and MIP-1β) in patients with systemic sclerosis: MCP-1 and MIP-1α may be involved in the development of pulmonary fibrosis","type":"article-journal","volume":"117"},"uris":["http://www.mendeley.com/documents/?uuid=2ffc5341-bfe1-399a-b742-d8f0c2dafc97"]}],"mendeley":{"formattedCitation":"[55]","plainTextFormattedCitation":"[55]","previouslyFormattedCitation":"[55]"},"properties":{"noteIndex":0},"schema":"https://github.com/citation-style-language/schema/raw/master/csl-citation.json"}</w:instrText>
      </w:r>
      <w:r w:rsidR="0005398D" w:rsidRPr="00695061">
        <w:rPr>
          <w:sz w:val="24"/>
          <w:szCs w:val="24"/>
        </w:rPr>
        <w:fldChar w:fldCharType="separate"/>
      </w:r>
      <w:r w:rsidR="007D7BEE" w:rsidRPr="00695061">
        <w:rPr>
          <w:noProof/>
          <w:sz w:val="24"/>
          <w:szCs w:val="24"/>
        </w:rPr>
        <w:t>[55]</w:t>
      </w:r>
      <w:r w:rsidR="0005398D" w:rsidRPr="00695061">
        <w:rPr>
          <w:sz w:val="24"/>
          <w:szCs w:val="24"/>
        </w:rPr>
        <w:fldChar w:fldCharType="end"/>
      </w:r>
      <w:r w:rsidR="0005398D" w:rsidRPr="00695061">
        <w:rPr>
          <w:sz w:val="24"/>
          <w:szCs w:val="24"/>
        </w:rPr>
        <w:t>,</w:t>
      </w:r>
      <w:r w:rsidR="00CE2BE1" w:rsidRPr="00695061">
        <w:rPr>
          <w:sz w:val="24"/>
          <w:szCs w:val="24"/>
        </w:rPr>
        <w:t xml:space="preserve"> </w:t>
      </w:r>
      <w:r w:rsidR="00BC7407" w:rsidRPr="00695061">
        <w:rPr>
          <w:sz w:val="24"/>
          <w:szCs w:val="24"/>
        </w:rPr>
        <w:t xml:space="preserve">skin </w:t>
      </w:r>
      <w:r w:rsidR="0005398D" w:rsidRPr="00695061">
        <w:rPr>
          <w:sz w:val="24"/>
          <w:szCs w:val="24"/>
        </w:rPr>
        <w:fldChar w:fldCharType="begin" w:fldLock="1"/>
      </w:r>
      <w:r w:rsidR="007D7BEE" w:rsidRPr="00695061">
        <w:rPr>
          <w:sz w:val="24"/>
          <w:szCs w:val="24"/>
        </w:rPr>
        <w:instrText>ADDIN CSL_CITATION {"citationItems":[{"id":"ITEM-1","itemData":{"DOI":"10.1002/1521-4141(2001010)31:10&lt;2936::AID-IMMU2936&gt;3.0.CO;2-0","ISSN":"00142980","PMID":"11592069","abstract":"Systemic sclerosis (SSc) is a connective tissue disease with unknown etiology characterized by excessive deposition of extracellular matrix in the skin as well as various internal organs. In the early stages of SSc, inflammatory infiltrates of mononuclear cells are found in the dermis, which is associated with increased collagen synthesis produced by activated fibroblasts. Monocyte chemoattractant protein-1 (MCP-1) is a predominant monocyte chemoattractant secreted by a variety of cell types, and recent in vivo and in vitro studies suggest the involvement of MCP-1 in tissue fibrosis. Here we demonstrate that cultured scleroderma fibroblasts, compared to fibroblasts from control skin, spontaneously express significantly elevated MCP-1 levels. Interestingly, exogenously administered MCP-1 stimulated autoinduction of MCP-1 mRNA. This effect was specific to scleroderma fibroblasts and abrogated by actinomycin D. These findings suggest that MCP-1 plays an important role in the induction of scleroderma by MCP-1 release from fibroblasts, which results in recruitment of monocytes to the skin. Moreover, increased responsiveness of scleroderma fibroblasts to MCP-1 could result in a continuation of the fibrotic response.","author":[{"dropping-particle":"","family":"Yamamoto","given":"Toshiyuki","non-dropping-particle":"","parse-names":false,"suffix":""},{"dropping-particle":"","family":"Eckes","given":"Beate","non-dropping-particle":"","parse-names":false,"suffix":""},{"dropping-particle":"","family":"Krieg","given":"Thomas","non-dropping-particle":"","parse-names":false,"suffix":""}],"container-title":"European Journal of Immunology","id":"ITEM-1","issue":"10","issued":{"date-parts":[["2001"]]},"page":"2936-2941","title":"High expression and autoinduction of monocyte chemoattractant protein-1 in scleroderma fibroblasts","type":"article-journal","volume":"31"},"uris":["http://www.mendeley.com/documents/?uuid=8fb3a75a-0448-3d75-bcba-161645f345dd"]}],"mendeley":{"formattedCitation":"[56]","plainTextFormattedCitation":"[56]","previouslyFormattedCitation":"[56]"},"properties":{"noteIndex":0},"schema":"https://github.com/citation-style-language/schema/raw/master/csl-citation.json"}</w:instrText>
      </w:r>
      <w:r w:rsidR="0005398D" w:rsidRPr="00695061">
        <w:rPr>
          <w:sz w:val="24"/>
          <w:szCs w:val="24"/>
        </w:rPr>
        <w:fldChar w:fldCharType="separate"/>
      </w:r>
      <w:r w:rsidR="007D7BEE" w:rsidRPr="00695061">
        <w:rPr>
          <w:noProof/>
          <w:sz w:val="24"/>
          <w:szCs w:val="24"/>
        </w:rPr>
        <w:t>[56]</w:t>
      </w:r>
      <w:r w:rsidR="0005398D" w:rsidRPr="00695061">
        <w:rPr>
          <w:sz w:val="24"/>
          <w:szCs w:val="24"/>
        </w:rPr>
        <w:fldChar w:fldCharType="end"/>
      </w:r>
      <w:r w:rsidR="00BC7407" w:rsidRPr="00695061">
        <w:rPr>
          <w:sz w:val="24"/>
          <w:szCs w:val="24"/>
        </w:rPr>
        <w:t xml:space="preserve">, </w:t>
      </w:r>
      <w:r w:rsidR="00CE2BE1" w:rsidRPr="00695061">
        <w:rPr>
          <w:sz w:val="24"/>
          <w:szCs w:val="24"/>
        </w:rPr>
        <w:t xml:space="preserve">kidney </w:t>
      </w:r>
      <w:r w:rsidR="0005398D" w:rsidRPr="00695061">
        <w:rPr>
          <w:sz w:val="24"/>
          <w:szCs w:val="24"/>
        </w:rPr>
        <w:fldChar w:fldCharType="begin" w:fldLock="1"/>
      </w:r>
      <w:r w:rsidR="007D7BEE" w:rsidRPr="00695061">
        <w:rPr>
          <w:sz w:val="24"/>
          <w:szCs w:val="24"/>
        </w:rPr>
        <w:instrText>ADDIN CSL_CITATION {"citationItems":[{"id":"ITEM-1","itemData":{"DOI":"10.1084/jem.185.7.1371","ISSN":"00221007","PMID":"9104823","abstract":"The involvement of chemokines in inflammation is well established, but their functional role in disease progression, and particularly in the development of fibrosis, is not yet understood. To investigate the functional role that the chemokines monocyte chemoattractant protein-1 (MCP-1) and RANTES play in inflammation and the progression to fibrosis during crescentic nephritis we have developed and characterized a murine model for this syndrome. Significant increases in T-lymphocytes and macrophages were observed within glomeruli and interstitium, paralleled by an induction of mRNA expression of MCP-1 and RANTES, early after disease initiation. Blocking the function of MCP-1 or RANTES resulted in significant decreases in proteinuria as well as in numbers of infiltrating leukocytes, indicating that both MCP-1 and RANTES (regulated upon activation in normal T cells expressed and secreted) play an important role in the inflammatory phase of crescentic nephritis. In addition, neutralization of MCP-1 resulted in a dramatic decrease in both glomerular crescent formation and deposition of type 1 collagen. These results highlight a novel role for MCP-1 in crescent formation and development of interstitial fibrosis, and indicate that in addition to recruiting inflammatory cells this chemokine is critically involved in irreversible tissue damage.","author":[{"dropping-particle":"","family":"Lloyd","given":"Clare M","non-dropping-particle":"","parse-names":false,"suffix":""},{"dropping-particle":"","family":"Minto","given":"Andrew W","non-dropping-particle":"","parse-names":false,"suffix":""},{"dropping-particle":"","family":"Dorf","given":"Martin E","non-dropping-particle":"","parse-names":false,"suffix":""},{"dropping-particle":"","family":"Proudfoot","given":"Amanda","non-dropping-particle":"","parse-names":false,"suffix":""},{"dropping-particle":"","family":"Wells","given":"Timothy N.C.","non-dropping-particle":"","parse-names":false,"suffix":""},{"dropping-particle":"","family":"Salant","given":"David J","non-dropping-particle":"","parse-names":false,"suffix":""},{"dropping-particle":"","family":"Gutierrez-Ramos","given":"Jose Carlos","non-dropping-particle":"","parse-names":false,"suffix":""}],"container-title":"Journal of Experimental Medicine","id":"ITEM-1","issue":"7","issued":{"date-parts":[["1997"]]},"note":"Export Date: 13 February 2023; Cited By: 439","page":"1371-1380","title":"RANTES and monocyte chemoattractant protein-1 (MCP-1) play an important role in the inflammatory phase of crescentic nephritis, but only MCP-1 is involved in crescent formation and interstitial fibrosis","type":"article-journal","volume":"185"},"uris":["http://www.mendeley.com/documents/?uuid=72237bf4-03e2-3dce-92ee-eecb7c97af06"]}],"mendeley":{"formattedCitation":"[57]","plainTextFormattedCitation":"[57]","previouslyFormattedCitation":"[57]"},"properties":{"noteIndex":0},"schema":"https://github.com/citation-style-language/schema/raw/master/csl-citation.json"}</w:instrText>
      </w:r>
      <w:r w:rsidR="0005398D" w:rsidRPr="00695061">
        <w:rPr>
          <w:sz w:val="24"/>
          <w:szCs w:val="24"/>
        </w:rPr>
        <w:fldChar w:fldCharType="separate"/>
      </w:r>
      <w:r w:rsidR="007D7BEE" w:rsidRPr="00695061">
        <w:rPr>
          <w:noProof/>
          <w:sz w:val="24"/>
          <w:szCs w:val="24"/>
        </w:rPr>
        <w:t>[57]</w:t>
      </w:r>
      <w:r w:rsidR="0005398D" w:rsidRPr="00695061">
        <w:rPr>
          <w:sz w:val="24"/>
          <w:szCs w:val="24"/>
        </w:rPr>
        <w:fldChar w:fldCharType="end"/>
      </w:r>
      <w:r w:rsidR="0005398D" w:rsidRPr="00695061">
        <w:rPr>
          <w:sz w:val="24"/>
          <w:szCs w:val="24"/>
        </w:rPr>
        <w:t xml:space="preserve"> </w:t>
      </w:r>
      <w:r w:rsidR="00CE2BE1" w:rsidRPr="00695061">
        <w:rPr>
          <w:sz w:val="24"/>
          <w:szCs w:val="24"/>
        </w:rPr>
        <w:t xml:space="preserve">and </w:t>
      </w:r>
      <w:r w:rsidR="00BC7407" w:rsidRPr="00695061">
        <w:rPr>
          <w:sz w:val="24"/>
          <w:szCs w:val="24"/>
        </w:rPr>
        <w:t xml:space="preserve">liver </w:t>
      </w:r>
      <w:r w:rsidR="0005398D" w:rsidRPr="00695061">
        <w:rPr>
          <w:sz w:val="24"/>
          <w:szCs w:val="24"/>
        </w:rPr>
        <w:fldChar w:fldCharType="begin" w:fldLock="1"/>
      </w:r>
      <w:r w:rsidR="007D7BEE" w:rsidRPr="00695061">
        <w:rPr>
          <w:sz w:val="24"/>
          <w:szCs w:val="24"/>
        </w:rPr>
        <w:instrText>ADDIN CSL_CITATION {"citationItems":[{"id":"ITEM-1","itemData":{"ISSN":"00029440","PMID":"9466568","abstract":"Monocyte chemotactic protein (MCP)-1 is a chemoattractant and activator for circulating monocytes and T lymphocytes. We investigated MCP-1 protein and gene expression during chronic liver disease at different stages, using immunohistochemistry and in situ hybridization, respectively. In normal liver, a modest expression of MCP-1 was confined to few perisinusoidal cells and to bile duct epithelial cells. During chronic hepatitis, MCP-1 immunostaining and gene expression were evident in the inflammatory infiltrate of the portal tract. In tissue from patients with active cirrhosis, MCP-1 expression was clearly up-regulated and was present in the portal tract, in the epithelial cells of regenerating bile ducts, and in the active septa surrounding regenerating nodules. A combination of in situ hybridization for MCP-1 and immunohistochemistry showed that activated stellate cells and monocyte/macrophages contribute to MCP-1 expression in vivo together with bile duct epithelial cells. Comparison of serial sections of liver biopsies from patients with various degrees of necroinflammatory activity showed that infiltration of the portal tracts with monocytes/macrophages is directly correlated with the expression of MCP-1. These data expand previous in vitro studies showing that secretion of MCP-1 may contribute to the formation and maintenance of the inflammatory infiltrate observed during chronic liver disease.","author":[{"dropping-particle":"","family":"Marra","given":"Fabio","non-dropping-particle":"","parse-names":false,"suffix":""},{"dropping-particle":"","family":"DeFranco","given":"Raffaella","non-dropping-particle":"","parse-names":false,"suffix":""},{"dropping-particle":"","family":"Grappone","given":"Cecilia","non-dropping-particle":"","parse-names":false,"suffix":""},{"dropping-particle":"","family":"Milani","given":"Stefano","non-dropping-particle":"","parse-names":false,"suffix":""},{"dropping-particle":"","family":"Pastacaldi","given":"Sabrina","non-dropping-particle":"","parse-names":false,"suffix":""},{"dropping-particle":"","family":"Pinzani","given":"Massimo","non-dropping-particle":"","parse-names":false,"suffix":""},{"dropping-particle":"","family":"Romanelli","given":"Roberto G","non-dropping-particle":"","parse-names":false,"suffix":""},{"dropping-particle":"","family":"Laffi","given":"Giacomo","non-dropping-particle":"","parse-names":false,"suffix":""},{"dropping-particle":"","family":"Gentilini","given":"Paolo","non-dropping-particle":"","parse-names":false,"suffix":""}],"container-title":"American Journal of Pathology","id":"ITEM-1","issue":"2","issued":{"date-parts":[["1998"]]},"page":"423-430","title":"Increased expression of monocyte chemotactic protein-1 during active hepatic fibrogenesis: Correlation with monocyte infiltration","type":"article-journal","volume":"152"},"uris":["http://www.mendeley.com/documents/?uuid=213a759a-a1f7-34cd-94a0-1331c4e84a72"]}],"mendeley":{"formattedCitation":"[58]","plainTextFormattedCitation":"[58]","previouslyFormattedCitation":"[58]"},"properties":{"noteIndex":0},"schema":"https://github.com/citation-style-language/schema/raw/master/csl-citation.json"}</w:instrText>
      </w:r>
      <w:r w:rsidR="0005398D" w:rsidRPr="00695061">
        <w:rPr>
          <w:sz w:val="24"/>
          <w:szCs w:val="24"/>
        </w:rPr>
        <w:fldChar w:fldCharType="separate"/>
      </w:r>
      <w:r w:rsidR="007D7BEE" w:rsidRPr="00695061">
        <w:rPr>
          <w:noProof/>
          <w:sz w:val="24"/>
          <w:szCs w:val="24"/>
        </w:rPr>
        <w:t>[58]</w:t>
      </w:r>
      <w:r w:rsidR="0005398D" w:rsidRPr="00695061">
        <w:rPr>
          <w:sz w:val="24"/>
          <w:szCs w:val="24"/>
        </w:rPr>
        <w:fldChar w:fldCharType="end"/>
      </w:r>
      <w:r w:rsidR="0005398D" w:rsidRPr="00695061">
        <w:rPr>
          <w:sz w:val="24"/>
          <w:szCs w:val="24"/>
        </w:rPr>
        <w:t xml:space="preserve">. </w:t>
      </w:r>
      <w:r w:rsidR="00045A67" w:rsidRPr="00695061">
        <w:rPr>
          <w:sz w:val="24"/>
          <w:szCs w:val="24"/>
        </w:rPr>
        <w:t xml:space="preserve">MCP-1 expression has been shown to be increased in TA tissue </w:t>
      </w:r>
      <w:r w:rsidR="001763E9" w:rsidRPr="00695061">
        <w:rPr>
          <w:sz w:val="24"/>
          <w:szCs w:val="24"/>
        </w:rPr>
        <w:t xml:space="preserve">of patients with PD </w:t>
      </w:r>
      <w:r w:rsidR="0080740E" w:rsidRPr="00695061">
        <w:rPr>
          <w:sz w:val="24"/>
          <w:szCs w:val="24"/>
        </w:rPr>
        <w:t xml:space="preserve">and </w:t>
      </w:r>
      <w:r w:rsidR="001763E9" w:rsidRPr="00695061">
        <w:rPr>
          <w:sz w:val="24"/>
          <w:szCs w:val="24"/>
        </w:rPr>
        <w:t xml:space="preserve">cells isolated from </w:t>
      </w:r>
      <w:r w:rsidR="00D459B2" w:rsidRPr="00695061">
        <w:rPr>
          <w:sz w:val="24"/>
          <w:szCs w:val="24"/>
        </w:rPr>
        <w:t xml:space="preserve">those tissues </w:t>
      </w:r>
      <w:r w:rsidR="00710AAA" w:rsidRPr="00695061">
        <w:rPr>
          <w:sz w:val="24"/>
          <w:szCs w:val="24"/>
        </w:rPr>
        <w:t xml:space="preserve">and to be further elevated in response to TGF-β1 </w:t>
      </w:r>
      <w:r w:rsidR="0005398D" w:rsidRPr="00695061">
        <w:rPr>
          <w:sz w:val="24"/>
          <w:szCs w:val="24"/>
        </w:rPr>
        <w:fldChar w:fldCharType="begin" w:fldLock="1"/>
      </w:r>
      <w:r w:rsidR="007D7BEE" w:rsidRPr="00695061">
        <w:rPr>
          <w:sz w:val="24"/>
          <w:szCs w:val="24"/>
        </w:rPr>
        <w:instrText>ADDIN CSL_CITATION {"citationItems":[{"id":"ITEM-1","itemData":{"DOI":"10.1016/S0006-291X(02)00765-9","ISSN":"0006291X","PMID":"12127997","abstract":"Peyronie's disease (PD) is characterized by fibrosis in the tunica albuginea (TA) of the penis, which becomes bent as a result. We have previously shown that transforming growth factor-β 1 (TGF-β1) is upregulated in the TA of patients with PD and can initiate PD-like lesions in rat models. In this study we isolated three types of fibroblasts: P cells from the lesions of PD patients, C cells from the normal-appearing areas of the TA of the same patients, and N cells from the TA of patients without PD. We examined these cells for the expression of two fibrogenic cytokines, connective tissue growth factor (CTGF), and Monocyte Chemoattractant Protein 1 (MCP-1). We found that CTGF was expressed at similar levels in P, C, and N cells, whereas MCP-1 was significantly more expressed in P cells than in C cells and more in C cells than in N cells. Higher MCP-1 expression was also found in the lesions than in normal TA. Treatment with TGF-β1-induced higher expression of MCP-1 but not CTGF in all three types of cells, with C cells being the most responsive. Based on these observations, we propose that MCP-1 could be a novel therapeutic target in PD. © 2002 Elsevier Science (USA). All rights reserved.","author":[{"dropping-particle":"","family":"Lin","given":"Ching Shwun","non-dropping-particle":"","parse-names":false,"suffix":""},{"dropping-particle":"","family":"Lin","given":"Guiting","non-dropping-particle":"","parse-names":false,"suffix":""},{"dropping-particle":"","family":"Wang","given":"Zhong","non-dropping-particle":"","parse-names":false,"suffix":""},{"dropping-particle":"","family":"Maddah","given":"Suzan A.","non-dropping-particle":"","parse-names":false,"suffix":""},{"dropping-particle":"","family":"Lue","given":"Tom F.","non-dropping-particle":"","parse-names":false,"suffix":""}],"container-title":"Biochemical and Biophysical Research Communications","id":"ITEM-1","issue":"4","issued":{"date-parts":[["2002","7","26"]]},"page":"1014-1019","publisher":"Academic Press","title":"Upregulation of monocyte chemoattractant protein 1 and effects of transforming growth factor-α 1 in Peyronie</w:instrText>
      </w:r>
      <w:r w:rsidR="007D7BEE" w:rsidRPr="00695061">
        <w:rPr>
          <w:rFonts w:ascii="Cambria Math" w:hAnsi="Cambria Math" w:cs="Cambria Math"/>
          <w:sz w:val="24"/>
          <w:szCs w:val="24"/>
        </w:rPr>
        <w:instrText>℉</w:instrText>
      </w:r>
      <w:r w:rsidR="007D7BEE" w:rsidRPr="00695061">
        <w:rPr>
          <w:sz w:val="24"/>
          <w:szCs w:val="24"/>
        </w:rPr>
        <w:instrText>s disease","type":"article-journal","volume":"295"},"uris":["http://www.mendeley.com/documents/?uuid=f1eaefab-e2e3-3881-84de-ab9969e29853"]},{"id":"ITEM-2","itemData":{"DOI":"10.1016/S0090-4295(01)01578-3","ISSN":"00904295","PMID":"11880101","abstract":"Objectives. To provide molecular insight into the pathophysiology of Peyronie's disease (PD), a preliminary profile of differential gene expression between the PD plaque and control tunica albuginea was obtained with DNA microarrays. Methods. Seven PD plaques and five control tunica albugineas were studied. cDNA specimens were prepared from RNA isolated from one calcified PD plaque and one control tissue and hybridized with the Clontech Atlas 1.2 Array. Another set of plaque and control RNA samples was hybridized with the Affymetrix GeneChip. Relative changes of greater than 2.0 defined up-regulation and down-regulation, respectively. RNA from the remaining tissues was used to determine, by reverse transcriptase-polymerase chain reaction and Western blot analysis, the expression of selected individual genes. Results. Some of up-regulated genes in the PD plaque detected by the Clontech assay were pleiotrophin, monocyte chemotactic protein 1, and early growth response protein, which are involved in osteoblast recruitment, inflammation, and fibroblast proliferation, respectively. Ubiquitin and Id-2, which are involved in tissue remodeling, were down-regulated. The Affymetrix DNA chips identified the up-regulation of elastase (involved in elastic fiber degradation) and the myofibroblast markers alpha and gamma-smooth muscle actin, desmin, and others, as well as the down-regulation of collagenase IV and transforming growth factor-beta modulators. Four of the five genes selected for reverse transcriptase-polymerase chain reaction and Western blotting confirmed the DNA microarray results. Conclusions. In the PD tissue, the genes involved in collagen synthesis, myofibroblast differentiation, tissue remodeling, inflammation, ossification, and proteolysis are up-regulated, and the genes that inhibit some of these processes and collagenase are down-regulated. Copyright © 2002 Elsevier Science Inc.","author":[{"dropping-particle":"","family":"Magee","given":"Thomas R.","non-dropping-particle":"","parse-names":false,"suffix":""},{"dropping-particle":"","family":"Qian","given":"Ansha","non-dropping-particle":"","parse-names":false,"suffix":""},{"dropping-particle":"","family":"Rajfer","given":"Jacob","non-dropping-particle":"","parse-names":false,"suffix":""},{"dropping-particle":"","family":"Sander","given":"Fred C.","non-dropping-particle":"","parse-names":false,"suffix":""},{"dropping-particle":"","family":"Levine","given":"Laurence A.","non-dropping-particle":"","parse-names":false,"suffix":""},{"dropping-particle":"","family":"Gonzalez-Cadavid","given":"Nestor F.","non-dropping-particle":"","parse-names":false,"suffix":""}],"container-title":"Urology","id":"ITEM-2","issue":"3","issued":{"date-parts":[["2002","3","1"]]},"page":"451-457","publisher":"Elsevier","title":"Gene expression profiles in the Peyronie's disease plaque","type":"article-journal","volume":"59"},"uris":["http://www.mendeley.com/documents/?uuid=a1aaac88-4e36-32fe-9efa-d7cf9c4aaf7e"]}],"mendeley":{"formattedCitation":"[53,59]","plainTextFormattedCitation":"[53,59]","previouslyFormattedCitation":"[53,59]"},"properties":{"noteIndex":0},"schema":"https://github.com/citation-style-language/schema/raw/master/csl-citation.json"}</w:instrText>
      </w:r>
      <w:r w:rsidR="0005398D" w:rsidRPr="00695061">
        <w:rPr>
          <w:sz w:val="24"/>
          <w:szCs w:val="24"/>
        </w:rPr>
        <w:fldChar w:fldCharType="separate"/>
      </w:r>
      <w:r w:rsidR="007D7BEE" w:rsidRPr="00695061">
        <w:rPr>
          <w:noProof/>
          <w:sz w:val="24"/>
          <w:szCs w:val="24"/>
        </w:rPr>
        <w:t>[53,59]</w:t>
      </w:r>
      <w:r w:rsidR="0005398D" w:rsidRPr="00695061">
        <w:rPr>
          <w:sz w:val="24"/>
          <w:szCs w:val="24"/>
        </w:rPr>
        <w:fldChar w:fldCharType="end"/>
      </w:r>
      <w:r w:rsidR="0005398D" w:rsidRPr="00695061">
        <w:rPr>
          <w:sz w:val="24"/>
          <w:szCs w:val="24"/>
        </w:rPr>
        <w:t>.</w:t>
      </w:r>
      <w:r w:rsidR="009C7270" w:rsidRPr="00695061">
        <w:rPr>
          <w:sz w:val="24"/>
          <w:szCs w:val="24"/>
        </w:rPr>
        <w:t>These previous studies suggest that CNTF, PDGF</w:t>
      </w:r>
      <w:r w:rsidR="00C71A44" w:rsidRPr="00695061">
        <w:rPr>
          <w:sz w:val="24"/>
          <w:szCs w:val="24"/>
        </w:rPr>
        <w:t xml:space="preserve"> and MCP-1 </w:t>
      </w:r>
      <w:r w:rsidR="004C642C" w:rsidRPr="00695061">
        <w:rPr>
          <w:sz w:val="24"/>
          <w:szCs w:val="24"/>
        </w:rPr>
        <w:t>may be</w:t>
      </w:r>
      <w:r w:rsidR="00A92E0A" w:rsidRPr="00695061">
        <w:rPr>
          <w:sz w:val="24"/>
          <w:szCs w:val="24"/>
        </w:rPr>
        <w:t xml:space="preserve"> released from different cells in an inflammat</w:t>
      </w:r>
      <w:r w:rsidR="005979C3" w:rsidRPr="00695061">
        <w:rPr>
          <w:sz w:val="24"/>
          <w:szCs w:val="24"/>
        </w:rPr>
        <w:t xml:space="preserve">ory </w:t>
      </w:r>
      <w:r w:rsidR="007F5D92" w:rsidRPr="00695061">
        <w:rPr>
          <w:sz w:val="24"/>
          <w:szCs w:val="24"/>
        </w:rPr>
        <w:t>microenvironment</w:t>
      </w:r>
      <w:r w:rsidR="004C642C" w:rsidRPr="00695061">
        <w:rPr>
          <w:sz w:val="24"/>
          <w:szCs w:val="24"/>
        </w:rPr>
        <w:t xml:space="preserve"> in PD</w:t>
      </w:r>
      <w:r w:rsidR="007F5D92" w:rsidRPr="00695061">
        <w:rPr>
          <w:sz w:val="24"/>
          <w:szCs w:val="24"/>
        </w:rPr>
        <w:t>,</w:t>
      </w:r>
      <w:r w:rsidR="000D1082" w:rsidRPr="00695061">
        <w:rPr>
          <w:sz w:val="24"/>
          <w:szCs w:val="24"/>
        </w:rPr>
        <w:t xml:space="preserve"> and they all </w:t>
      </w:r>
      <w:r w:rsidR="00EA1B05" w:rsidRPr="00695061">
        <w:rPr>
          <w:sz w:val="24"/>
          <w:szCs w:val="24"/>
        </w:rPr>
        <w:t xml:space="preserve">are likely to </w:t>
      </w:r>
      <w:r w:rsidR="000D1082" w:rsidRPr="00695061">
        <w:rPr>
          <w:sz w:val="24"/>
          <w:szCs w:val="24"/>
        </w:rPr>
        <w:t>make some contribution to drive the fibrotic processe</w:t>
      </w:r>
      <w:r w:rsidR="0053219A" w:rsidRPr="00695061">
        <w:rPr>
          <w:sz w:val="24"/>
          <w:szCs w:val="24"/>
        </w:rPr>
        <w:t>s with strong links to TGF-β1</w:t>
      </w:r>
      <w:r w:rsidR="00B25421" w:rsidRPr="00695061">
        <w:rPr>
          <w:sz w:val="24"/>
          <w:szCs w:val="24"/>
        </w:rPr>
        <w:t xml:space="preserve">. </w:t>
      </w:r>
      <w:r w:rsidR="00EA6ACC" w:rsidRPr="00695061">
        <w:rPr>
          <w:sz w:val="24"/>
          <w:szCs w:val="24"/>
        </w:rPr>
        <w:t xml:space="preserve">Further studies would be required to compare the effect of these factors on </w:t>
      </w:r>
      <w:r w:rsidR="007F5D92" w:rsidRPr="00695061">
        <w:rPr>
          <w:sz w:val="24"/>
          <w:szCs w:val="24"/>
        </w:rPr>
        <w:t>myofibroblast transformation and function</w:t>
      </w:r>
      <w:r w:rsidR="00EA1B05" w:rsidRPr="00695061">
        <w:rPr>
          <w:sz w:val="24"/>
          <w:szCs w:val="24"/>
        </w:rPr>
        <w:t xml:space="preserve"> in PD</w:t>
      </w:r>
      <w:r w:rsidR="007F5D92" w:rsidRPr="00695061">
        <w:rPr>
          <w:sz w:val="24"/>
          <w:szCs w:val="24"/>
        </w:rPr>
        <w:t xml:space="preserve">.  </w:t>
      </w:r>
    </w:p>
    <w:p w14:paraId="25888F1E" w14:textId="5403A850" w:rsidR="005525D1" w:rsidRPr="00695061" w:rsidRDefault="005525D1" w:rsidP="00024FCE">
      <w:pPr>
        <w:jc w:val="both"/>
        <w:rPr>
          <w:sz w:val="24"/>
          <w:szCs w:val="24"/>
        </w:rPr>
      </w:pPr>
      <w:r w:rsidRPr="00695061">
        <w:rPr>
          <w:sz w:val="24"/>
          <w:szCs w:val="24"/>
        </w:rPr>
        <w:t xml:space="preserve">In our previous study, </w:t>
      </w:r>
      <w:r w:rsidR="00AB08DA" w:rsidRPr="00695061">
        <w:rPr>
          <w:sz w:val="24"/>
          <w:szCs w:val="24"/>
        </w:rPr>
        <w:t>using the same phenotypic assay that was de</w:t>
      </w:r>
      <w:r w:rsidR="001F70BE" w:rsidRPr="00695061">
        <w:rPr>
          <w:sz w:val="24"/>
          <w:szCs w:val="24"/>
        </w:rPr>
        <w:t xml:space="preserve">ployed in this study, </w:t>
      </w:r>
      <w:r w:rsidRPr="00695061">
        <w:rPr>
          <w:sz w:val="24"/>
          <w:szCs w:val="24"/>
        </w:rPr>
        <w:t xml:space="preserve">we had identified </w:t>
      </w:r>
      <w:r w:rsidR="001F70BE" w:rsidRPr="00695061">
        <w:rPr>
          <w:sz w:val="24"/>
          <w:szCs w:val="24"/>
        </w:rPr>
        <w:t xml:space="preserve">a synergistic combination of PDE5i and SERM which was </w:t>
      </w:r>
      <w:r w:rsidR="00E239F0" w:rsidRPr="00695061">
        <w:rPr>
          <w:sz w:val="24"/>
          <w:szCs w:val="24"/>
        </w:rPr>
        <w:t>then tested in a</w:t>
      </w:r>
      <w:r w:rsidR="002C0FAC" w:rsidRPr="00695061">
        <w:rPr>
          <w:sz w:val="24"/>
          <w:szCs w:val="24"/>
        </w:rPr>
        <w:t xml:space="preserve"> </w:t>
      </w:r>
      <w:r w:rsidR="00E239F0" w:rsidRPr="00695061">
        <w:rPr>
          <w:sz w:val="24"/>
          <w:szCs w:val="24"/>
        </w:rPr>
        <w:t xml:space="preserve">rat PD model where fibrosis </w:t>
      </w:r>
      <w:r w:rsidR="004E0A6A" w:rsidRPr="00695061">
        <w:rPr>
          <w:sz w:val="24"/>
          <w:szCs w:val="24"/>
        </w:rPr>
        <w:t xml:space="preserve">was </w:t>
      </w:r>
      <w:r w:rsidR="00E239F0" w:rsidRPr="00695061">
        <w:rPr>
          <w:sz w:val="24"/>
          <w:szCs w:val="24"/>
        </w:rPr>
        <w:t xml:space="preserve">induced with </w:t>
      </w:r>
      <w:proofErr w:type="spellStart"/>
      <w:r w:rsidR="00FA72BA" w:rsidRPr="00695061">
        <w:rPr>
          <w:sz w:val="24"/>
          <w:szCs w:val="24"/>
        </w:rPr>
        <w:t>intratunical</w:t>
      </w:r>
      <w:proofErr w:type="spellEnd"/>
      <w:r w:rsidR="00FA72BA" w:rsidRPr="00695061">
        <w:rPr>
          <w:sz w:val="24"/>
          <w:szCs w:val="24"/>
        </w:rPr>
        <w:t xml:space="preserve"> TGF-β1 injection </w:t>
      </w:r>
      <w:r w:rsidR="0005398D" w:rsidRPr="00695061">
        <w:rPr>
          <w:sz w:val="24"/>
          <w:szCs w:val="24"/>
        </w:rPr>
        <w:fldChar w:fldCharType="begin" w:fldLock="1"/>
      </w:r>
      <w:r w:rsidR="0005398D" w:rsidRPr="00695061">
        <w:rPr>
          <w:sz w:val="24"/>
          <w:szCs w:val="24"/>
        </w:rPr>
        <w:instrText>ADDIN CSL_CITATION {"citationItems":[{"id":"ITEM-1","itemData":{"DOI":"10.1016/j.eururo.2018.10.014","ISSN":"18737560","abstract":"Background: Peyronie's disease (PD) is a fibrotic disorder of the penile tunica albuginea, characterised by the formation of a localised fibrous plaque that can lead to deformity and erectile dysfunction. Nonsurgical therapeutic options for PD are limited in efficacy and safety. Myofibroblasts are key cells in the pathogenesis of PD, and inhibition of myofibroblast transformation has been suggested as a therapeutic option. Objective: To identify potential drugs using a novel phenotypic assay and then to test them using in vitro and in vivo models of PD. Design, setting, and participants: We have developed and validated a phenotypic screening assay that measures myofibroblast transformation, by which we tested 21 compounds that were suggested to be efficacious in treating PD. The successful hits from this assay were further tested using in vitro and in vivo models of PD. Results and limitations: The new assay was able to detect transforming growth factor-β1–induced myofibroblast transformation. Using this assay, phosphodiesterase type 5 inhibitors (PDE5i) and selective oestrogen receptor modulators (SERMs) were identified to significantly inhibit myofibroblast transformation. A PDE5i (vardenafil) and an SERM (tamoxifen) inhibited myofibroblast transformation, collagen gel contraction, and extracellular matrix production in a synergistic fashion. In a rat model of PD, the antifibrotic effect of the combination of vardenafil and tamoxifen was greater than that of each drug alone. This study is limited by not providing a molecular mechanism for the proposed synergy. Conclusions: This is the first demonstration of a synergistic activity between a PDE5i and an SERM discovered through a phenotypic screening approach. Future clinical trials using a combination of these drugs should be considered during the active phase of PD, given the early evidence of benefit in both in vitro and in vivo models. Patient summary: This report suggests that the combination of a phosphodiesterase type 5 inhibitor and a selective oestrogen receptor modulator may be efficacious in treating Peyronie's disease in its active phase.","author":[{"dropping-particle":"","family":"Ilg","given":"Marcus M.","non-dropping-particle":"","parse-names":false,"suffix":""},{"dropping-particle":"","family":"Mateus","given":"Marta","non-dropping-particle":"","parse-names":false,"suffix":""},{"dropping-particle":"","family":"Stebbeds","given":"William J.","non-dropping-particle":"","parse-names":false,"suffix":""},{"dropping-particle":"","family":"Milenkovic","given":"Uros","non-dropping-particle":"","parse-names":false,"suffix":""},{"dropping-particle":"","family":"Christopher","given":"Nim","non-dropping-particle":"","parse-names":false,"suffix":""},{"dropping-particle":"","family":"Muneer","given":"Asif","non-dropping-particle":"","parse-names":false,"suffix":""},{"dropping-particle":"","family":"Albersen","given":"Maarten","non-dropping-particle":"","parse-names":false,"suffix":""},{"dropping-particle":"","family":"Ralph","given":"David J.","non-dropping-particle":"","parse-names":false,"suffix":""},{"dropping-particle":"","family":"Cellek","given":"Selim","non-dropping-particle":"","parse-names":false,"suffix":""}],"container-title":"European Urology","id":"ITEM-1","issue":"2","issued":{"date-parts":[["2019"]]},"page":"329-340","title":"Antifibrotic Synergy Between Phosphodiesterase Type 5 Inhibitors and Selective Oestrogen Receptor Modulators in Peyronie's Disease Models","type":"article-journal","volume":"75"},"uris":["http://www.mendeley.com/documents/?uuid=bff5c9d0-a461-3882-bd6b-be96b76e6abb"]}],"mendeley":{"formattedCitation":"[16]","plainTextFormattedCitation":"[16]","previouslyFormattedCitation":"[16]"},"properties":{"noteIndex":0},"schema":"https://github.com/citation-style-language/schema/raw/master/csl-citation.json"}</w:instrText>
      </w:r>
      <w:r w:rsidR="0005398D" w:rsidRPr="00695061">
        <w:rPr>
          <w:sz w:val="24"/>
          <w:szCs w:val="24"/>
        </w:rPr>
        <w:fldChar w:fldCharType="separate"/>
      </w:r>
      <w:r w:rsidR="0005398D" w:rsidRPr="00695061">
        <w:rPr>
          <w:noProof/>
          <w:sz w:val="24"/>
          <w:szCs w:val="24"/>
        </w:rPr>
        <w:t>[16]</w:t>
      </w:r>
      <w:r w:rsidR="0005398D" w:rsidRPr="00695061">
        <w:rPr>
          <w:sz w:val="24"/>
          <w:szCs w:val="24"/>
        </w:rPr>
        <w:fldChar w:fldCharType="end"/>
      </w:r>
      <w:r w:rsidR="00FA72BA" w:rsidRPr="00695061">
        <w:rPr>
          <w:sz w:val="24"/>
          <w:szCs w:val="24"/>
        </w:rPr>
        <w:t>.</w:t>
      </w:r>
      <w:r w:rsidR="002C0FAC" w:rsidRPr="00695061">
        <w:rPr>
          <w:sz w:val="24"/>
          <w:szCs w:val="24"/>
        </w:rPr>
        <w:t xml:space="preserve"> The PDE5i + SERM combination was taken to the clinical studies </w:t>
      </w:r>
      <w:r w:rsidR="00112C6C" w:rsidRPr="00695061">
        <w:rPr>
          <w:sz w:val="24"/>
          <w:szCs w:val="24"/>
        </w:rPr>
        <w:t xml:space="preserve">after </w:t>
      </w:r>
      <w:r w:rsidR="00815282" w:rsidRPr="00695061">
        <w:rPr>
          <w:sz w:val="24"/>
          <w:szCs w:val="24"/>
        </w:rPr>
        <w:t>positive results from the animal</w:t>
      </w:r>
      <w:r w:rsidR="002B3F43" w:rsidRPr="00695061">
        <w:rPr>
          <w:sz w:val="24"/>
          <w:szCs w:val="24"/>
        </w:rPr>
        <w:t xml:space="preserve"> study were obtained. Similarly, </w:t>
      </w:r>
      <w:r w:rsidR="00A850B5" w:rsidRPr="00695061">
        <w:rPr>
          <w:sz w:val="24"/>
          <w:szCs w:val="24"/>
        </w:rPr>
        <w:t>the combination of PDE5i and statins shou</w:t>
      </w:r>
      <w:r w:rsidR="000F2D29" w:rsidRPr="00695061">
        <w:rPr>
          <w:sz w:val="24"/>
          <w:szCs w:val="24"/>
        </w:rPr>
        <w:t xml:space="preserve">ld be tested in </w:t>
      </w:r>
      <w:r w:rsidR="00A850B5" w:rsidRPr="00695061">
        <w:rPr>
          <w:sz w:val="24"/>
          <w:szCs w:val="24"/>
        </w:rPr>
        <w:t>animal</w:t>
      </w:r>
      <w:r w:rsidR="000F2D29" w:rsidRPr="00695061">
        <w:rPr>
          <w:sz w:val="24"/>
          <w:szCs w:val="24"/>
        </w:rPr>
        <w:t xml:space="preserve"> models before it </w:t>
      </w:r>
      <w:r w:rsidR="00B2199E" w:rsidRPr="00695061">
        <w:rPr>
          <w:sz w:val="24"/>
          <w:szCs w:val="24"/>
        </w:rPr>
        <w:t xml:space="preserve">can be taken to </w:t>
      </w:r>
      <w:r w:rsidR="00A850B5" w:rsidRPr="00695061">
        <w:rPr>
          <w:sz w:val="24"/>
          <w:szCs w:val="24"/>
        </w:rPr>
        <w:t>clinical studies</w:t>
      </w:r>
      <w:r w:rsidR="00B2199E" w:rsidRPr="00695061">
        <w:rPr>
          <w:sz w:val="24"/>
          <w:szCs w:val="24"/>
        </w:rPr>
        <w:t>.</w:t>
      </w:r>
      <w:r w:rsidR="00A850B5" w:rsidRPr="00695061">
        <w:rPr>
          <w:sz w:val="24"/>
          <w:szCs w:val="24"/>
        </w:rPr>
        <w:t xml:space="preserve"> </w:t>
      </w:r>
    </w:p>
    <w:p w14:paraId="602C7D70" w14:textId="77777777" w:rsidR="00C46285" w:rsidRPr="00695061" w:rsidRDefault="00C46285" w:rsidP="00024FCE">
      <w:pPr>
        <w:jc w:val="both"/>
        <w:rPr>
          <w:b/>
          <w:bCs/>
          <w:i/>
          <w:iCs/>
          <w:sz w:val="24"/>
          <w:szCs w:val="24"/>
        </w:rPr>
      </w:pPr>
    </w:p>
    <w:p w14:paraId="0910452A" w14:textId="503A1B0C" w:rsidR="00C46285" w:rsidRPr="00695061" w:rsidRDefault="004E2A29" w:rsidP="00024FCE">
      <w:pPr>
        <w:jc w:val="both"/>
        <w:rPr>
          <w:sz w:val="24"/>
          <w:szCs w:val="24"/>
        </w:rPr>
      </w:pPr>
      <w:r w:rsidRPr="00695061">
        <w:rPr>
          <w:b/>
          <w:bCs/>
          <w:i/>
          <w:iCs/>
          <w:sz w:val="24"/>
          <w:szCs w:val="24"/>
        </w:rPr>
        <w:t>Clinical translation:</w:t>
      </w:r>
      <w:r w:rsidRPr="00695061">
        <w:rPr>
          <w:sz w:val="24"/>
          <w:szCs w:val="24"/>
        </w:rPr>
        <w:t xml:space="preserve"> </w:t>
      </w:r>
    </w:p>
    <w:p w14:paraId="2CF83707" w14:textId="53C8B536" w:rsidR="00F80E99" w:rsidRPr="00695061" w:rsidRDefault="004E2A29" w:rsidP="00024FCE">
      <w:pPr>
        <w:jc w:val="both"/>
        <w:rPr>
          <w:sz w:val="24"/>
          <w:szCs w:val="24"/>
        </w:rPr>
      </w:pPr>
      <w:r w:rsidRPr="00695061">
        <w:rPr>
          <w:sz w:val="24"/>
          <w:szCs w:val="24"/>
        </w:rPr>
        <w:t>Approximately 20% of men with PD are likely to be on statins due to their comorbidities such as hypercholesterolemia and hyperlipidaemia [33]</w:t>
      </w:r>
      <w:r w:rsidR="006706AE" w:rsidRPr="00695061">
        <w:rPr>
          <w:sz w:val="24"/>
          <w:szCs w:val="24"/>
        </w:rPr>
        <w:t xml:space="preserve">. </w:t>
      </w:r>
      <w:r w:rsidR="00B10171" w:rsidRPr="00695061">
        <w:rPr>
          <w:sz w:val="24"/>
          <w:szCs w:val="24"/>
        </w:rPr>
        <w:t>Therefore</w:t>
      </w:r>
      <w:r w:rsidR="00ED3BA9" w:rsidRPr="00695061">
        <w:rPr>
          <w:sz w:val="24"/>
          <w:szCs w:val="24"/>
        </w:rPr>
        <w:t xml:space="preserve">, it is likely that </w:t>
      </w:r>
      <w:r w:rsidR="00CF433A" w:rsidRPr="00695061">
        <w:rPr>
          <w:sz w:val="24"/>
          <w:szCs w:val="24"/>
        </w:rPr>
        <w:t xml:space="preserve">some </w:t>
      </w:r>
      <w:r w:rsidR="00ED3BA9" w:rsidRPr="00695061">
        <w:rPr>
          <w:sz w:val="24"/>
          <w:szCs w:val="24"/>
        </w:rPr>
        <w:t xml:space="preserve">men with early PD will be </w:t>
      </w:r>
      <w:r w:rsidR="00037F5D" w:rsidRPr="00695061">
        <w:rPr>
          <w:sz w:val="24"/>
          <w:szCs w:val="24"/>
        </w:rPr>
        <w:t>on statins. Addition of PDE5i</w:t>
      </w:r>
      <w:r w:rsidR="002F5135" w:rsidRPr="00695061">
        <w:rPr>
          <w:sz w:val="24"/>
          <w:szCs w:val="24"/>
        </w:rPr>
        <w:t xml:space="preserve"> to statins according to our data is likely to </w:t>
      </w:r>
      <w:r w:rsidR="00300C4B" w:rsidRPr="00695061">
        <w:rPr>
          <w:sz w:val="24"/>
          <w:szCs w:val="24"/>
        </w:rPr>
        <w:t>decrease</w:t>
      </w:r>
      <w:r w:rsidR="002F5135" w:rsidRPr="00695061">
        <w:rPr>
          <w:sz w:val="24"/>
          <w:szCs w:val="24"/>
        </w:rPr>
        <w:t xml:space="preserve"> the progression of PD </w:t>
      </w:r>
      <w:r w:rsidR="000D078A" w:rsidRPr="00695061">
        <w:rPr>
          <w:sz w:val="24"/>
          <w:szCs w:val="24"/>
        </w:rPr>
        <w:t xml:space="preserve">in these patients. </w:t>
      </w:r>
      <w:r w:rsidR="00ED3BA9" w:rsidRPr="00695061">
        <w:rPr>
          <w:sz w:val="24"/>
          <w:szCs w:val="24"/>
        </w:rPr>
        <w:t xml:space="preserve"> </w:t>
      </w:r>
      <w:r w:rsidR="000D078A" w:rsidRPr="00695061">
        <w:rPr>
          <w:sz w:val="24"/>
          <w:szCs w:val="24"/>
        </w:rPr>
        <w:t xml:space="preserve">Similarly we have observed </w:t>
      </w:r>
      <w:r w:rsidR="00AD6757" w:rsidRPr="00695061">
        <w:rPr>
          <w:sz w:val="24"/>
          <w:szCs w:val="24"/>
        </w:rPr>
        <w:t xml:space="preserve">that 5 mg tadalafil once daily </w:t>
      </w:r>
      <w:r w:rsidR="004C374A" w:rsidRPr="00695061">
        <w:rPr>
          <w:sz w:val="24"/>
          <w:szCs w:val="24"/>
        </w:rPr>
        <w:t xml:space="preserve">in combination with 20 mg tamoxifen twice daily were able to slow the progression of early </w:t>
      </w:r>
      <w:r w:rsidR="00F57178" w:rsidRPr="00695061">
        <w:rPr>
          <w:sz w:val="24"/>
          <w:szCs w:val="24"/>
        </w:rPr>
        <w:t xml:space="preserve">(acute) </w:t>
      </w:r>
      <w:r w:rsidR="004C374A" w:rsidRPr="00695061">
        <w:rPr>
          <w:sz w:val="24"/>
          <w:szCs w:val="24"/>
        </w:rPr>
        <w:t xml:space="preserve">PD </w:t>
      </w:r>
      <w:r w:rsidR="00D1141C" w:rsidRPr="00695061">
        <w:rPr>
          <w:sz w:val="24"/>
          <w:szCs w:val="24"/>
        </w:rPr>
        <w:fldChar w:fldCharType="begin" w:fldLock="1"/>
      </w:r>
      <w:r w:rsidR="007D7BEE" w:rsidRPr="00695061">
        <w:rPr>
          <w:sz w:val="24"/>
          <w:szCs w:val="24"/>
        </w:rPr>
        <w:instrText>ADDIN CSL_CITATION {"citationItems":[{"id":"ITEM-1","itemData":{"author":[{"dropping-particle":"","family":"Matthew Megson","given":"","non-dropping-particle":"","parse-names":false,"suffix":""},{"dropping-particle":"","family":"Christopher Merrett","given":"","non-dropping-particle":"","parse-names":false,"suffix":""},{"dropping-particle":"","family":"Marcus Ilg","given":"","non-dropping-particle":"","parse-names":false,"suffix":""},{"dropping-particle":"","family":"Selim Cellek","given":"","non-dropping-particle":"","parse-names":false,"suffix":""},{"dropping-particle":"","family":"David Ralph","given":"","non-dropping-particle":"","parse-names":false,"suffix":""}],"container-title":"Presented at European Society for Sexual Medicine Annual Congress, 17-19 February 2022. Abstract to be published in Journal of Sexual Medicine. ","id":"ITEM-1","issued":{"date-parts":[["0"]]},"title":"Can tamoxifen and a PDE5 inhibitor slow the progression of Peyronie’s disease?","type":"article-journal"},"uris":["http://www.mendeley.com/documents/?uuid=c830eb75-148d-3624-bb3b-a545bdb9bb13"]}],"mendeley":{"formattedCitation":"[17]","plainTextFormattedCitation":"[17]","previouslyFormattedCitation":"[60]"},"properties":{"noteIndex":0},"schema":"https://github.com/citation-style-language/schema/raw/master/csl-citation.json"}</w:instrText>
      </w:r>
      <w:r w:rsidR="00D1141C" w:rsidRPr="00695061">
        <w:rPr>
          <w:sz w:val="24"/>
          <w:szCs w:val="24"/>
        </w:rPr>
        <w:fldChar w:fldCharType="separate"/>
      </w:r>
      <w:r w:rsidR="007D7BEE" w:rsidRPr="00695061">
        <w:rPr>
          <w:noProof/>
          <w:sz w:val="24"/>
          <w:szCs w:val="24"/>
        </w:rPr>
        <w:t>[17]</w:t>
      </w:r>
      <w:r w:rsidR="00D1141C" w:rsidRPr="00695061">
        <w:rPr>
          <w:sz w:val="24"/>
          <w:szCs w:val="24"/>
        </w:rPr>
        <w:fldChar w:fldCharType="end"/>
      </w:r>
      <w:r w:rsidR="00D1141C" w:rsidRPr="00695061">
        <w:rPr>
          <w:sz w:val="24"/>
          <w:szCs w:val="24"/>
        </w:rPr>
        <w:t>.</w:t>
      </w:r>
      <w:r w:rsidR="003D317B" w:rsidRPr="00695061">
        <w:rPr>
          <w:sz w:val="24"/>
          <w:szCs w:val="24"/>
        </w:rPr>
        <w:t xml:space="preserve"> </w:t>
      </w:r>
    </w:p>
    <w:p w14:paraId="21E9FEBA" w14:textId="26B7EAAE" w:rsidR="00197C63" w:rsidRPr="00695061" w:rsidRDefault="00D33839" w:rsidP="00024FCE">
      <w:pPr>
        <w:jc w:val="both"/>
        <w:rPr>
          <w:sz w:val="24"/>
          <w:szCs w:val="24"/>
        </w:rPr>
      </w:pPr>
      <w:r w:rsidRPr="00695061">
        <w:rPr>
          <w:sz w:val="24"/>
          <w:szCs w:val="24"/>
        </w:rPr>
        <w:t xml:space="preserve">Clinical translation of </w:t>
      </w:r>
      <w:r w:rsidR="00F35EC5" w:rsidRPr="00695061">
        <w:rPr>
          <w:sz w:val="24"/>
          <w:szCs w:val="24"/>
        </w:rPr>
        <w:t xml:space="preserve">our </w:t>
      </w:r>
      <w:r w:rsidRPr="00695061">
        <w:rPr>
          <w:sz w:val="24"/>
          <w:szCs w:val="24"/>
        </w:rPr>
        <w:t xml:space="preserve">findings very much </w:t>
      </w:r>
      <w:r w:rsidR="004D25C4" w:rsidRPr="00695061">
        <w:rPr>
          <w:sz w:val="24"/>
          <w:szCs w:val="24"/>
        </w:rPr>
        <w:t>depends</w:t>
      </w:r>
      <w:r w:rsidRPr="00695061">
        <w:rPr>
          <w:sz w:val="24"/>
          <w:szCs w:val="24"/>
        </w:rPr>
        <w:t xml:space="preserve"> on the pharmacokineti</w:t>
      </w:r>
      <w:r w:rsidR="003822AC" w:rsidRPr="00695061">
        <w:rPr>
          <w:sz w:val="24"/>
          <w:szCs w:val="24"/>
        </w:rPr>
        <w:t xml:space="preserve">c properties of the three drugs. Oral </w:t>
      </w:r>
      <w:r w:rsidR="00C21311" w:rsidRPr="00695061">
        <w:rPr>
          <w:sz w:val="24"/>
          <w:szCs w:val="24"/>
        </w:rPr>
        <w:t xml:space="preserve">20 mg </w:t>
      </w:r>
      <w:r w:rsidR="003822AC" w:rsidRPr="00695061">
        <w:rPr>
          <w:sz w:val="24"/>
          <w:szCs w:val="24"/>
        </w:rPr>
        <w:t xml:space="preserve">vardenafil </w:t>
      </w:r>
      <w:r w:rsidR="00176D8E" w:rsidRPr="00695061">
        <w:rPr>
          <w:sz w:val="24"/>
          <w:szCs w:val="24"/>
        </w:rPr>
        <w:t xml:space="preserve">and 40 mg </w:t>
      </w:r>
      <w:r w:rsidR="0019437F" w:rsidRPr="00695061">
        <w:rPr>
          <w:sz w:val="24"/>
          <w:szCs w:val="24"/>
        </w:rPr>
        <w:t xml:space="preserve">simvastatin have been reported to elicit </w:t>
      </w:r>
      <w:r w:rsidR="00C21311" w:rsidRPr="00695061">
        <w:rPr>
          <w:sz w:val="24"/>
          <w:szCs w:val="24"/>
        </w:rPr>
        <w:t xml:space="preserve">to maximum plasma concentration of ~20 </w:t>
      </w:r>
      <w:r w:rsidR="003F64E5" w:rsidRPr="00695061">
        <w:rPr>
          <w:rFonts w:cstheme="minorHAnsi"/>
          <w:sz w:val="24"/>
          <w:szCs w:val="24"/>
        </w:rPr>
        <w:t>n</w:t>
      </w:r>
      <w:r w:rsidR="003F64E5" w:rsidRPr="00695061">
        <w:rPr>
          <w:sz w:val="24"/>
          <w:szCs w:val="24"/>
        </w:rPr>
        <w:t>g</w:t>
      </w:r>
      <w:r w:rsidR="00F70F6F" w:rsidRPr="00695061">
        <w:rPr>
          <w:sz w:val="24"/>
          <w:szCs w:val="24"/>
        </w:rPr>
        <w:t>/</w:t>
      </w:r>
      <w:r w:rsidR="003F64E5" w:rsidRPr="00695061">
        <w:rPr>
          <w:sz w:val="24"/>
          <w:szCs w:val="24"/>
        </w:rPr>
        <w:t xml:space="preserve">ml </w:t>
      </w:r>
      <w:r w:rsidR="0019437F" w:rsidRPr="00695061">
        <w:rPr>
          <w:sz w:val="24"/>
          <w:szCs w:val="24"/>
        </w:rPr>
        <w:t>[</w:t>
      </w:r>
      <w:r w:rsidR="003F64E5" w:rsidRPr="00695061">
        <w:rPr>
          <w:sz w:val="24"/>
          <w:szCs w:val="24"/>
        </w:rPr>
        <w:t xml:space="preserve">~40 </w:t>
      </w:r>
      <w:proofErr w:type="spellStart"/>
      <w:r w:rsidR="003F64E5" w:rsidRPr="00695061">
        <w:rPr>
          <w:sz w:val="24"/>
          <w:szCs w:val="24"/>
        </w:rPr>
        <w:t>nM</w:t>
      </w:r>
      <w:proofErr w:type="spellEnd"/>
      <w:r w:rsidR="003F64E5" w:rsidRPr="00695061">
        <w:rPr>
          <w:sz w:val="24"/>
          <w:szCs w:val="24"/>
        </w:rPr>
        <w:t>]</w:t>
      </w:r>
      <w:r w:rsidR="00D1141C" w:rsidRPr="00695061">
        <w:rPr>
          <w:sz w:val="24"/>
          <w:szCs w:val="24"/>
        </w:rPr>
        <w:fldChar w:fldCharType="begin" w:fldLock="1"/>
      </w:r>
      <w:r w:rsidR="007D7BEE" w:rsidRPr="00695061">
        <w:rPr>
          <w:sz w:val="24"/>
          <w:szCs w:val="24"/>
        </w:rPr>
        <w:instrText>ADDIN CSL_CITATION {"citationItems":[{"id":"ITEM-1","itemData":{"author":[{"dropping-particle":"","family":"FDA","given":"","non-dropping-particle":"","parse-names":false,"suffix":""}],"id":"ITEM-1","issued":{"date-parts":[["0"]]},"title":"https://www.accessdata.fda.gov/drugsatfda_docs/label/2008/021400s011lbl.pdf","type":"article-journal"},"uris":["http://www.mendeley.com/documents/?uuid=95779556-6ad8-412a-92fd-a6774d311c73"]}],"mendeley":{"formattedCitation":"[60]","plainTextFormattedCitation":"[60]","previouslyFormattedCitation":"[61]"},"properties":{"noteIndex":0},"schema":"https://github.com/citation-style-language/schema/raw/master/csl-citation.json"}</w:instrText>
      </w:r>
      <w:r w:rsidR="00D1141C" w:rsidRPr="00695061">
        <w:rPr>
          <w:sz w:val="24"/>
          <w:szCs w:val="24"/>
        </w:rPr>
        <w:fldChar w:fldCharType="separate"/>
      </w:r>
      <w:r w:rsidR="007D7BEE" w:rsidRPr="00695061">
        <w:rPr>
          <w:noProof/>
          <w:sz w:val="24"/>
          <w:szCs w:val="24"/>
        </w:rPr>
        <w:t>[60]</w:t>
      </w:r>
      <w:r w:rsidR="00D1141C" w:rsidRPr="00695061">
        <w:rPr>
          <w:sz w:val="24"/>
          <w:szCs w:val="24"/>
        </w:rPr>
        <w:fldChar w:fldCharType="end"/>
      </w:r>
      <w:r w:rsidR="00873D2F" w:rsidRPr="00695061">
        <w:rPr>
          <w:sz w:val="24"/>
          <w:szCs w:val="24"/>
        </w:rPr>
        <w:t xml:space="preserve"> </w:t>
      </w:r>
      <w:r w:rsidR="003F64E5" w:rsidRPr="00695061">
        <w:rPr>
          <w:sz w:val="24"/>
          <w:szCs w:val="24"/>
        </w:rPr>
        <w:t xml:space="preserve">and </w:t>
      </w:r>
      <w:r w:rsidR="000D0FCF" w:rsidRPr="00695061">
        <w:rPr>
          <w:sz w:val="24"/>
          <w:szCs w:val="24"/>
        </w:rPr>
        <w:t xml:space="preserve">~2 ng/ml [~5 </w:t>
      </w:r>
      <w:proofErr w:type="spellStart"/>
      <w:r w:rsidR="000D0FCF" w:rsidRPr="00695061">
        <w:rPr>
          <w:sz w:val="24"/>
          <w:szCs w:val="24"/>
        </w:rPr>
        <w:t>nM</w:t>
      </w:r>
      <w:proofErr w:type="spellEnd"/>
      <w:r w:rsidR="009B747B" w:rsidRPr="00695061">
        <w:rPr>
          <w:sz w:val="24"/>
          <w:szCs w:val="24"/>
        </w:rPr>
        <w:t xml:space="preserve">] </w:t>
      </w:r>
      <w:r w:rsidR="00D1141C" w:rsidRPr="00695061">
        <w:rPr>
          <w:sz w:val="24"/>
          <w:szCs w:val="24"/>
        </w:rPr>
        <w:fldChar w:fldCharType="begin" w:fldLock="1"/>
      </w:r>
      <w:r w:rsidR="007D7BEE" w:rsidRPr="00695061">
        <w:rPr>
          <w:sz w:val="24"/>
          <w:szCs w:val="24"/>
        </w:rPr>
        <w:instrText>ADDIN CSL_CITATION {"citationItems":[{"id":"ITEM-1","itemData":{"DOI":"10.1111/j.1365-2125.2009.03385.x","ISSN":"03065251","PMID":"19552746","abstract":"AIMS Anacetrapib is an orally active, potent inhibitor of cholesteryl ester transfer protein (CETP), which is in development for the treatment of dyslipidaemia. Because of the likely use of anacetrapib with hydroxy-3-methylglutaryl coenzyme A reductase inhibitors, we aimed to evaluate the potential for a pharmacokinetic interaction with simvastatin. METHODS A randomized, two-period, two-treatment, balanced, open-label, crossover study in 12 healthy subjects was performed. Subjects received simvastatin 40 mg alone or anacetrapib 150 mg co-administered with simvastatin 40 mg, once daily. Both treatments were administered following a low-fat breakfast for 14 days, separated by a wash-out period of at least 14 days. Safety and tolerability, simvastatin and simvastatin acid concentrations, and lipoproteins, were assessed. RESULTS Both treatments were well tolerated. The pharmacokinetics of simvastatin and simvastatin acid were similar with and without anacetrapib administration {AUC0-24 h geometric mean ratio [90% confidence interval (CI)] for simvastatin acid and simvastatin were 1.36 [1.17, 1.57] and 1.30 [1.14, 1.47], respectively} based on the prespecified comparability bounds of (0.50, 2.00). Treatment with simvastatin alone led to a mean (95% CI) % reduction from baseline in low-density lipoprotein-cholesterol (LDL-C) of -36% (-27, -46) compared with a reduction of -54% (-44, -63) for anacetrapib co-administered with simvastatin. CONCLUSIONS There appears to be no clinically meaningful effect of anacetrapib on the pharmacokinetic parameters of simvastatin. When co-administered with simvastatin, anacetrapib appeared to exhibit incremental LDL-C-lowering efficacy, due to CETP inhibition. Co-administration of anacetrapib and simvastatin was well tolerated. © 2009 Merck &amp; Co., Inc. Journal compilation © 2009 The British Pharmacological Society.","author":[{"dropping-particle":"","family":"Krishna","given":"Rajesh","non-dropping-particle":"","parse-names":false,"suffix":""},{"dropping-particle":"","family":"Garg","given":"Amit","non-dropping-particle":"","parse-names":false,"suffix":""},{"dropping-particle":"","family":"Jin","given":"Bo","non-dropping-particle":"","parse-names":false,"suffix":""},{"dropping-particle":"","family":"Keshavarz","given":"Sara Sadeghi","non-dropping-particle":"","parse-names":false,"suffix":""},{"dropping-particle":"","family":"Bieberdorf","given":"Frederick A.","non-dropping-particle":"","parse-names":false,"suffix":""},{"dropping-particle":"","family":"Chodakewitz","given":"Jeffrey","non-dropping-particle":"","parse-names":false,"suffix":""},{"dropping-particle":"","family":"Wagner","given":"John A.","non-dropping-particle":"","parse-names":false,"suffix":""}],"container-title":"British Journal of Clinical Pharmacology","id":"ITEM-1","issue":"5","issued":{"date-parts":[["2009"]]},"page":"520-526","title":"Assessment of a pharmacokinetic and pharmacodynamic interaction between simvastatin and anacetrapib, a potent cholesteryl ester transfer protein (CETP) inhibitor, in healthy subjects","type":"article-journal","volume":"67"},"uris":["http://www.mendeley.com/documents/?uuid=f194020e-d564-4faf-bb7d-bd99c860236b"]}],"mendeley":{"formattedCitation":"[61]","plainTextFormattedCitation":"[61]","previouslyFormattedCitation":"[62]"},"properties":{"noteIndex":0},"schema":"https://github.com/citation-style-language/schema/raw/master/csl-citation.json"}</w:instrText>
      </w:r>
      <w:r w:rsidR="00D1141C" w:rsidRPr="00695061">
        <w:rPr>
          <w:sz w:val="24"/>
          <w:szCs w:val="24"/>
        </w:rPr>
        <w:fldChar w:fldCharType="separate"/>
      </w:r>
      <w:r w:rsidR="007D7BEE" w:rsidRPr="00695061">
        <w:rPr>
          <w:noProof/>
          <w:sz w:val="24"/>
          <w:szCs w:val="24"/>
        </w:rPr>
        <w:t>[61]</w:t>
      </w:r>
      <w:r w:rsidR="00D1141C" w:rsidRPr="00695061">
        <w:rPr>
          <w:sz w:val="24"/>
          <w:szCs w:val="24"/>
        </w:rPr>
        <w:fldChar w:fldCharType="end"/>
      </w:r>
      <w:r w:rsidR="00AE605C" w:rsidRPr="00695061">
        <w:rPr>
          <w:sz w:val="24"/>
          <w:szCs w:val="24"/>
        </w:rPr>
        <w:t xml:space="preserve"> respectively</w:t>
      </w:r>
      <w:r w:rsidR="00D1141C" w:rsidRPr="00695061">
        <w:rPr>
          <w:sz w:val="24"/>
          <w:szCs w:val="24"/>
        </w:rPr>
        <w:t>.</w:t>
      </w:r>
      <w:r w:rsidR="009B747B" w:rsidRPr="00695061">
        <w:rPr>
          <w:sz w:val="24"/>
          <w:szCs w:val="24"/>
        </w:rPr>
        <w:t xml:space="preserve"> </w:t>
      </w:r>
      <w:r w:rsidR="00F35EC5" w:rsidRPr="00695061">
        <w:rPr>
          <w:sz w:val="24"/>
          <w:szCs w:val="24"/>
        </w:rPr>
        <w:t xml:space="preserve">In our experiments, much higher </w:t>
      </w:r>
      <w:r w:rsidR="00551C0C" w:rsidRPr="00695061">
        <w:rPr>
          <w:sz w:val="24"/>
          <w:szCs w:val="24"/>
        </w:rPr>
        <w:t>concentrations</w:t>
      </w:r>
      <w:r w:rsidR="00F35EC5" w:rsidRPr="00695061">
        <w:rPr>
          <w:sz w:val="24"/>
          <w:szCs w:val="24"/>
        </w:rPr>
        <w:t xml:space="preserve"> </w:t>
      </w:r>
      <w:r w:rsidR="00551C0C" w:rsidRPr="00695061">
        <w:rPr>
          <w:sz w:val="24"/>
          <w:szCs w:val="24"/>
        </w:rPr>
        <w:t xml:space="preserve">of </w:t>
      </w:r>
      <w:r w:rsidR="00C75C28" w:rsidRPr="00695061">
        <w:rPr>
          <w:sz w:val="24"/>
          <w:szCs w:val="24"/>
        </w:rPr>
        <w:t>vardenafil</w:t>
      </w:r>
      <w:r w:rsidR="00551C0C" w:rsidRPr="00695061">
        <w:rPr>
          <w:sz w:val="24"/>
          <w:szCs w:val="24"/>
        </w:rPr>
        <w:t xml:space="preserve"> </w:t>
      </w:r>
      <w:r w:rsidR="009B747B" w:rsidRPr="00695061">
        <w:rPr>
          <w:sz w:val="24"/>
          <w:szCs w:val="24"/>
        </w:rPr>
        <w:t xml:space="preserve">and simvastatin </w:t>
      </w:r>
      <w:r w:rsidR="00551C0C" w:rsidRPr="00695061">
        <w:rPr>
          <w:sz w:val="24"/>
          <w:szCs w:val="24"/>
        </w:rPr>
        <w:t xml:space="preserve">were required to show an effect on myofibroblast transformation. </w:t>
      </w:r>
      <w:r w:rsidR="00F7621D" w:rsidRPr="00695061">
        <w:rPr>
          <w:sz w:val="24"/>
          <w:szCs w:val="24"/>
        </w:rPr>
        <w:t xml:space="preserve">However, a direct comparison </w:t>
      </w:r>
      <w:r w:rsidR="00CD4EA2" w:rsidRPr="00695061">
        <w:rPr>
          <w:sz w:val="24"/>
          <w:szCs w:val="24"/>
        </w:rPr>
        <w:t xml:space="preserve">of plasma concentrations </w:t>
      </w:r>
      <w:r w:rsidR="00682B3A" w:rsidRPr="00695061">
        <w:rPr>
          <w:sz w:val="24"/>
          <w:szCs w:val="24"/>
        </w:rPr>
        <w:t xml:space="preserve">to </w:t>
      </w:r>
      <w:r w:rsidR="00682B3A" w:rsidRPr="00695061">
        <w:rPr>
          <w:i/>
          <w:iCs/>
          <w:sz w:val="24"/>
          <w:szCs w:val="24"/>
        </w:rPr>
        <w:t>in vitro</w:t>
      </w:r>
      <w:r w:rsidR="00682B3A" w:rsidRPr="00695061">
        <w:rPr>
          <w:sz w:val="24"/>
          <w:szCs w:val="24"/>
        </w:rPr>
        <w:t xml:space="preserve"> concentrations </w:t>
      </w:r>
      <w:r w:rsidR="006B692E" w:rsidRPr="00695061">
        <w:rPr>
          <w:sz w:val="24"/>
          <w:szCs w:val="24"/>
        </w:rPr>
        <w:t>can be misleading</w:t>
      </w:r>
      <w:r w:rsidR="00682B3A" w:rsidRPr="00695061">
        <w:rPr>
          <w:sz w:val="24"/>
          <w:szCs w:val="24"/>
        </w:rPr>
        <w:t xml:space="preserve"> since several factors </w:t>
      </w:r>
      <w:r w:rsidR="006B692E" w:rsidRPr="00695061">
        <w:rPr>
          <w:sz w:val="24"/>
          <w:szCs w:val="24"/>
        </w:rPr>
        <w:t xml:space="preserve">such as drug distribution, plasma protein binding and tissue penetrance </w:t>
      </w:r>
      <w:r w:rsidR="00682B3A" w:rsidRPr="00695061">
        <w:rPr>
          <w:sz w:val="24"/>
          <w:szCs w:val="24"/>
        </w:rPr>
        <w:t xml:space="preserve">can influence </w:t>
      </w:r>
      <w:r w:rsidR="006B692E" w:rsidRPr="00695061">
        <w:rPr>
          <w:sz w:val="24"/>
          <w:szCs w:val="24"/>
        </w:rPr>
        <w:t>tissue concen</w:t>
      </w:r>
      <w:r w:rsidR="00F44E8A" w:rsidRPr="00695061">
        <w:rPr>
          <w:sz w:val="24"/>
          <w:szCs w:val="24"/>
        </w:rPr>
        <w:t>trations</w:t>
      </w:r>
      <w:r w:rsidR="008B7DC1" w:rsidRPr="00695061">
        <w:rPr>
          <w:sz w:val="24"/>
          <w:szCs w:val="24"/>
        </w:rPr>
        <w:t xml:space="preserve">. Moreover, the artificial </w:t>
      </w:r>
      <w:r w:rsidR="008B7DC1" w:rsidRPr="00695061">
        <w:rPr>
          <w:i/>
          <w:iCs/>
          <w:sz w:val="24"/>
          <w:szCs w:val="24"/>
        </w:rPr>
        <w:t xml:space="preserve">in vitro </w:t>
      </w:r>
      <w:r w:rsidR="008B7DC1" w:rsidRPr="00695061">
        <w:rPr>
          <w:sz w:val="24"/>
          <w:szCs w:val="24"/>
        </w:rPr>
        <w:t xml:space="preserve">setting is far from </w:t>
      </w:r>
      <w:r w:rsidR="00C00E48" w:rsidRPr="00695061">
        <w:rPr>
          <w:sz w:val="24"/>
          <w:szCs w:val="24"/>
        </w:rPr>
        <w:t>intact organism</w:t>
      </w:r>
      <w:r w:rsidR="003F3607" w:rsidRPr="00695061">
        <w:rPr>
          <w:sz w:val="24"/>
          <w:szCs w:val="24"/>
        </w:rPr>
        <w:t xml:space="preserve"> and there seems to be large variation </w:t>
      </w:r>
      <w:r w:rsidR="00A55357" w:rsidRPr="00695061">
        <w:rPr>
          <w:sz w:val="24"/>
          <w:szCs w:val="24"/>
        </w:rPr>
        <w:t>in the sensitivity of the assays used</w:t>
      </w:r>
      <w:r w:rsidR="00C00E48" w:rsidRPr="00695061">
        <w:rPr>
          <w:sz w:val="24"/>
          <w:szCs w:val="24"/>
        </w:rPr>
        <w:t xml:space="preserve">. For </w:t>
      </w:r>
      <w:r w:rsidR="00CE3CA3" w:rsidRPr="00695061">
        <w:rPr>
          <w:sz w:val="24"/>
          <w:szCs w:val="24"/>
        </w:rPr>
        <w:t xml:space="preserve">example, </w:t>
      </w:r>
      <w:r w:rsidR="00D86C41" w:rsidRPr="00695061">
        <w:rPr>
          <w:sz w:val="24"/>
          <w:szCs w:val="24"/>
        </w:rPr>
        <w:t xml:space="preserve">1-10 </w:t>
      </w:r>
      <w:r w:rsidR="00D86C41" w:rsidRPr="00695061">
        <w:rPr>
          <w:rFonts w:cstheme="minorHAnsi"/>
          <w:sz w:val="24"/>
          <w:szCs w:val="24"/>
        </w:rPr>
        <w:t xml:space="preserve">µM </w:t>
      </w:r>
      <w:r w:rsidR="00A90576" w:rsidRPr="00695061">
        <w:rPr>
          <w:rFonts w:cstheme="minorHAnsi"/>
          <w:sz w:val="24"/>
          <w:szCs w:val="24"/>
        </w:rPr>
        <w:t xml:space="preserve">sildenafil </w:t>
      </w:r>
      <w:r w:rsidR="00D1141C" w:rsidRPr="00695061">
        <w:rPr>
          <w:rFonts w:cstheme="minorHAnsi"/>
          <w:sz w:val="24"/>
          <w:szCs w:val="24"/>
        </w:rPr>
        <w:fldChar w:fldCharType="begin" w:fldLock="1"/>
      </w:r>
      <w:r w:rsidR="007D7BEE" w:rsidRPr="00695061">
        <w:rPr>
          <w:rFonts w:cstheme="minorHAnsi"/>
          <w:sz w:val="24"/>
          <w:szCs w:val="24"/>
        </w:rPr>
        <w:instrText>ADDIN CSL_CITATION {"citationItems":[{"id":"ITEM-1","itemData":{"DOI":"10.1038/sj.ijir.3901157","ISSN":"09559930","PMID":"14961060","abstract":"Phosphodiesterase type 5 (PDE5) inhibitors have reduced efficacy in treating erectile dysfunction (ED) in conditions where there is a lack of endogenous nitric oxide (NO). Therefore, NO-releasing PDE5 inhibitors have been developed. Here we report the effect of such a compound, NCX-911, on the tone and nitrergic relaxations of rabbit corpus cavernosum in the absence or presence of a NO synthase inhibitor, NG-nitro-L-arginine methyl ester (L-NAME; 500 μM). NCX-911 was found to be as potent as sildenafil at inducing relaxation of rabbit cavernosum (EC50 values 997.8±195.7 and 1000.5±140.8 nM, respectively). The potency of NCX-911 was not altered, but that of sildenafil decreased five-fold in the presence of L-NAME (EC50 values 1281.2±268.3 and 4959.1±882.1, nM respectively, P &lt; 0.001 for sildenafil). Both compounds potentiated nitrergic relaxations with similar potencies. These results suggest that NO-releasing PDE5 inhibitors could potentially be more useful than PDE5 inhibitors in the treatment of ED in conditions where there is a lack of endogenous NO.","author":[{"dropping-particle":"","family":"Kalsi","given":"J. S.","non-dropping-particle":"","parse-names":false,"suffix":""},{"dropping-particle":"","family":"Kell","given":"P. D.","non-dropping-particle":"","parse-names":false,"suffix":""},{"dropping-particle":"","family":"Cellek","given":"Selim","non-dropping-particle":"","parse-names":false,"suffix":""},{"dropping-particle":"","family":"Ralph","given":"D. J.","non-dropping-particle":"","parse-names":false,"suffix":""}],"container-title":"International Journal of Impotence Research","id":"ITEM-1","issue":"2","issued":{"date-parts":[["2004"]]},"page":"195-200","title":"NCX-911, a novel nitric oxide-releasing PDE5 inhibitor relaxes rabbit corpus cavernosum in the absence of endogenous nitric oxide","type":"article-journal","volume":"16"},"uris":["http://www.mendeley.com/documents/?uuid=c5783f59-175f-4600-aa32-e44eb4ba5abb"]}],"mendeley":{"formattedCitation":"[62]","plainTextFormattedCitation":"[62]","previouslyFormattedCitation":"[63]"},"properties":{"noteIndex":0},"schema":"https://github.com/citation-style-language/schema/raw/master/csl-citation.json"}</w:instrText>
      </w:r>
      <w:r w:rsidR="00D1141C" w:rsidRPr="00695061">
        <w:rPr>
          <w:rFonts w:cstheme="minorHAnsi"/>
          <w:sz w:val="24"/>
          <w:szCs w:val="24"/>
        </w:rPr>
        <w:fldChar w:fldCharType="separate"/>
      </w:r>
      <w:r w:rsidR="007D7BEE" w:rsidRPr="00695061">
        <w:rPr>
          <w:rFonts w:cstheme="minorHAnsi"/>
          <w:noProof/>
          <w:sz w:val="24"/>
          <w:szCs w:val="24"/>
        </w:rPr>
        <w:t>[62]</w:t>
      </w:r>
      <w:r w:rsidR="00D1141C" w:rsidRPr="00695061">
        <w:rPr>
          <w:rFonts w:cstheme="minorHAnsi"/>
          <w:sz w:val="24"/>
          <w:szCs w:val="24"/>
        </w:rPr>
        <w:fldChar w:fldCharType="end"/>
      </w:r>
      <w:r w:rsidR="00D1141C" w:rsidRPr="00695061">
        <w:rPr>
          <w:rFonts w:cstheme="minorHAnsi"/>
          <w:sz w:val="24"/>
          <w:szCs w:val="24"/>
        </w:rPr>
        <w:t xml:space="preserve"> </w:t>
      </w:r>
      <w:r w:rsidR="00A90576" w:rsidRPr="00695061">
        <w:rPr>
          <w:rFonts w:cstheme="minorHAnsi"/>
          <w:sz w:val="24"/>
          <w:szCs w:val="24"/>
        </w:rPr>
        <w:t xml:space="preserve">or vardenafil </w:t>
      </w:r>
      <w:r w:rsidR="00D1141C" w:rsidRPr="00695061">
        <w:rPr>
          <w:rFonts w:cstheme="minorHAnsi"/>
          <w:sz w:val="24"/>
          <w:szCs w:val="24"/>
        </w:rPr>
        <w:fldChar w:fldCharType="begin" w:fldLock="1"/>
      </w:r>
      <w:r w:rsidR="007D7BEE" w:rsidRPr="00695061">
        <w:rPr>
          <w:rFonts w:cstheme="minorHAnsi"/>
          <w:sz w:val="24"/>
          <w:szCs w:val="24"/>
        </w:rPr>
        <w:instrText>ADDIN CSL_CITATION {"citationItems":[{"id":"ITEM-1","itemData":{"DOI":"10.1016/j.urology.2008.12.056","ISSN":"00904295","PMID":"19371941","abstract":"Objectives: To compare the direct relaxant activity of sildenafil, vardenafil, and tadalafil in the human corpus cavernosum (HCC) and to investigate their modulatory effects on nitric oxide (NO)-mediated responses. Phosphodiesterase (PDE)-5 inhibitors cause cavernosal smooth muscle relaxation and penile erection. Methods: HCC strips were mounted in 10-mL organ baths containing Krebs solution and connected to force-displacement transducers. The changes in isometric force were recorded using the Powerlab 400 data acquisition system. Corporeal smooth muscle was precontracted submaximally with phenylephrine (10 μmol/L). Results: All PDE-5 inhibitors tested (0.001-10 μmol/L) relaxed phenylephrine-precontracted HCC with similar values of potency in a concentration-dependent manner. However, the maximal relaxations induced by tadalafil (83% ± 4%) were significantly lower compared with sildenafil (107% ± 5%) and vardenafil (111% ± 3%). The NO synthesis inhibitor N-nitro-l-arginine methyl ester (100 μmol/L) caused significant rightward shifts in the concentration-response curves for sildenafil (4.0-fold), vardenafil (4.6-fold), and tadalafil (3.2-fold) in HCC tissue. The guanylyl cyclase inhibitor 1H-[1,2,4]oxadiazolo[4,3-a]quinoxalin-1-one (10 μmol/L) also produced similar rightward shifts for these PDE-5 inhibitors. The cavernosal relaxations evoked by either acetylcholine or the NO donor glyceryl trinitrate were markedly potentiated by sildenafil, vardenafil, and tadalafil (0.1 μmol/L each). All PDE-5 inhibitors significantly increased the duration of electrical field stimulation-induced relaxations (8 Hz). Conclusions: Our findings have shown that sildenafil, vardenafil, and tadalafil relax HCC tissues in a concentration-dependent manner, but the maximal relaxation obtained with tadalafil was significantly lower than that obtained with sildenafil and vardenafil. Moreover, the PDE-5 inhibitors interacted with endogenous and exogenous NO, amplifying its HCC relaxation. © 2009 Elsevier Inc. All rights reserved.","author":[{"dropping-particle":"","family":"Toque","given":"Haroldo A.","non-dropping-particle":"","parse-names":false,"suffix":""},{"dropping-particle":"","family":"Priviero","given":"Fernanda B.M.","non-dropping-particle":"","parse-names":false,"suffix":""},{"dropping-particle":"","family":"Teixeira","given":"Cleber E.","non-dropping-particle":"","parse-names":false,"suffix":""},{"dropping-particle":"","family":"Claudino","given":"Mário A.","non-dropping-particle":"","parse-names":false,"suffix":""},{"dropping-particle":"","family":"Baracat","given":"Juliana S.","non-dropping-particle":"","parse-names":false,"suffix":""},{"dropping-particle":"","family":"Fregonesi","given":"Adriano","non-dropping-particle":"","parse-names":false,"suffix":""},{"dropping-particle":"","family":"Nucci","given":"Gilberto","non-dropping-particle":"De","parse-names":false,"suffix":""},{"dropping-particle":"","family":"Antunes","given":"Edson","non-dropping-particle":"","parse-names":false,"suffix":""}],"container-title":"Urology","id":"ITEM-1","issue":"1","issued":{"date-parts":[["2009"]]},"page":"216-221","publisher":"Elsevier Inc.","title":"Comparative Relaxing Effects of Sildenafil, Vardenafil, and Tadalafil in Human Corpus Cavernosum: Contribution of Endogenous Nitric Oxide Release","type":"article-journal","volume":"74"},"uris":["http://www.mendeley.com/documents/?uuid=e36b4b32-bebf-486b-a612-5e875c15e383"]}],"mendeley":{"formattedCitation":"[63]","plainTextFormattedCitation":"[63]","previouslyFormattedCitation":"[64]"},"properties":{"noteIndex":0},"schema":"https://github.com/citation-style-language/schema/raw/master/csl-citation.json"}</w:instrText>
      </w:r>
      <w:r w:rsidR="00D1141C" w:rsidRPr="00695061">
        <w:rPr>
          <w:rFonts w:cstheme="minorHAnsi"/>
          <w:sz w:val="24"/>
          <w:szCs w:val="24"/>
        </w:rPr>
        <w:fldChar w:fldCharType="separate"/>
      </w:r>
      <w:r w:rsidR="007D7BEE" w:rsidRPr="00695061">
        <w:rPr>
          <w:rFonts w:cstheme="minorHAnsi"/>
          <w:noProof/>
          <w:sz w:val="24"/>
          <w:szCs w:val="24"/>
        </w:rPr>
        <w:t>[63]</w:t>
      </w:r>
      <w:r w:rsidR="00D1141C" w:rsidRPr="00695061">
        <w:rPr>
          <w:rFonts w:cstheme="minorHAnsi"/>
          <w:sz w:val="24"/>
          <w:szCs w:val="24"/>
        </w:rPr>
        <w:fldChar w:fldCharType="end"/>
      </w:r>
      <w:r w:rsidR="00D1141C" w:rsidRPr="00695061">
        <w:rPr>
          <w:rFonts w:cstheme="minorHAnsi"/>
          <w:sz w:val="24"/>
          <w:szCs w:val="24"/>
        </w:rPr>
        <w:t xml:space="preserve"> </w:t>
      </w:r>
      <w:r w:rsidR="00A55357" w:rsidRPr="00695061">
        <w:rPr>
          <w:rFonts w:cstheme="minorHAnsi"/>
          <w:sz w:val="24"/>
          <w:szCs w:val="24"/>
        </w:rPr>
        <w:t xml:space="preserve">have been reported </w:t>
      </w:r>
      <w:r w:rsidR="00A90576" w:rsidRPr="00695061">
        <w:rPr>
          <w:rFonts w:cstheme="minorHAnsi"/>
          <w:sz w:val="24"/>
          <w:szCs w:val="24"/>
        </w:rPr>
        <w:t>to relax human corp</w:t>
      </w:r>
      <w:r w:rsidR="00FD1845" w:rsidRPr="00695061">
        <w:rPr>
          <w:rFonts w:cstheme="minorHAnsi"/>
          <w:sz w:val="24"/>
          <w:szCs w:val="24"/>
        </w:rPr>
        <w:t>u</w:t>
      </w:r>
      <w:r w:rsidR="00A90576" w:rsidRPr="00695061">
        <w:rPr>
          <w:rFonts w:cstheme="minorHAnsi"/>
          <w:sz w:val="24"/>
          <w:szCs w:val="24"/>
        </w:rPr>
        <w:t xml:space="preserve">s cavernosum </w:t>
      </w:r>
      <w:r w:rsidR="00B24044" w:rsidRPr="00695061">
        <w:rPr>
          <w:rFonts w:cstheme="minorHAnsi"/>
          <w:sz w:val="24"/>
          <w:szCs w:val="24"/>
        </w:rPr>
        <w:t xml:space="preserve">(HCC) </w:t>
      </w:r>
      <w:r w:rsidR="00A90576" w:rsidRPr="00695061">
        <w:rPr>
          <w:rFonts w:cstheme="minorHAnsi"/>
          <w:sz w:val="24"/>
          <w:szCs w:val="24"/>
        </w:rPr>
        <w:t xml:space="preserve">strips </w:t>
      </w:r>
      <w:r w:rsidR="00A90576" w:rsidRPr="00695061">
        <w:rPr>
          <w:rFonts w:cstheme="minorHAnsi"/>
          <w:i/>
          <w:iCs/>
          <w:sz w:val="24"/>
          <w:szCs w:val="24"/>
        </w:rPr>
        <w:t>in vitro</w:t>
      </w:r>
      <w:r w:rsidR="00A90576" w:rsidRPr="00695061">
        <w:rPr>
          <w:rFonts w:cstheme="minorHAnsi"/>
          <w:sz w:val="24"/>
          <w:szCs w:val="24"/>
        </w:rPr>
        <w:t xml:space="preserve"> </w:t>
      </w:r>
      <w:r w:rsidR="00F627D4" w:rsidRPr="00695061">
        <w:rPr>
          <w:rFonts w:cstheme="minorHAnsi"/>
          <w:sz w:val="24"/>
          <w:szCs w:val="24"/>
        </w:rPr>
        <w:t xml:space="preserve">which are significantly higher than the peak plasma concentrations that can be achieved </w:t>
      </w:r>
      <w:r w:rsidR="00805524" w:rsidRPr="00695061">
        <w:rPr>
          <w:rFonts w:cstheme="minorHAnsi"/>
          <w:i/>
          <w:iCs/>
          <w:sz w:val="24"/>
          <w:szCs w:val="24"/>
        </w:rPr>
        <w:t>in vivo</w:t>
      </w:r>
      <w:r w:rsidR="00805524" w:rsidRPr="00695061">
        <w:rPr>
          <w:rFonts w:cstheme="minorHAnsi"/>
          <w:sz w:val="24"/>
          <w:szCs w:val="24"/>
        </w:rPr>
        <w:t xml:space="preserve"> in human. </w:t>
      </w:r>
      <w:r w:rsidR="0048391A" w:rsidRPr="00695061">
        <w:rPr>
          <w:rFonts w:cstheme="minorHAnsi"/>
          <w:sz w:val="24"/>
          <w:szCs w:val="24"/>
        </w:rPr>
        <w:t>On the other hand</w:t>
      </w:r>
      <w:r w:rsidR="003F3607" w:rsidRPr="00695061">
        <w:rPr>
          <w:rFonts w:cstheme="minorHAnsi"/>
          <w:sz w:val="24"/>
          <w:szCs w:val="24"/>
        </w:rPr>
        <w:t xml:space="preserve">, </w:t>
      </w:r>
      <w:r w:rsidR="002862EA" w:rsidRPr="00695061">
        <w:rPr>
          <w:rFonts w:cstheme="minorHAnsi"/>
          <w:sz w:val="24"/>
          <w:szCs w:val="24"/>
        </w:rPr>
        <w:t xml:space="preserve">sildenafil, tadalafil and vardenafil </w:t>
      </w:r>
      <w:r w:rsidR="001352C0" w:rsidRPr="00695061">
        <w:rPr>
          <w:rFonts w:cstheme="minorHAnsi"/>
          <w:sz w:val="24"/>
          <w:szCs w:val="24"/>
        </w:rPr>
        <w:t xml:space="preserve">at nanomolar concentrations </w:t>
      </w:r>
      <w:r w:rsidR="002862EA" w:rsidRPr="00695061">
        <w:rPr>
          <w:rFonts w:cstheme="minorHAnsi"/>
          <w:sz w:val="24"/>
          <w:szCs w:val="24"/>
        </w:rPr>
        <w:t xml:space="preserve">have been reported to produce significant relaxation of </w:t>
      </w:r>
      <w:r w:rsidR="00B24044" w:rsidRPr="00695061">
        <w:rPr>
          <w:rFonts w:cstheme="minorHAnsi"/>
          <w:sz w:val="24"/>
          <w:szCs w:val="24"/>
        </w:rPr>
        <w:t>HCC</w:t>
      </w:r>
      <w:r w:rsidR="002862EA" w:rsidRPr="00695061">
        <w:rPr>
          <w:rFonts w:cstheme="minorHAnsi"/>
          <w:sz w:val="24"/>
          <w:szCs w:val="24"/>
        </w:rPr>
        <w:t xml:space="preserve"> </w:t>
      </w:r>
      <w:r w:rsidR="0005398D" w:rsidRPr="00695061">
        <w:rPr>
          <w:rFonts w:cstheme="minorHAnsi"/>
          <w:sz w:val="24"/>
          <w:szCs w:val="24"/>
        </w:rPr>
        <w:fldChar w:fldCharType="begin" w:fldLock="1"/>
      </w:r>
      <w:r w:rsidR="007D7BEE" w:rsidRPr="00695061">
        <w:rPr>
          <w:rFonts w:cstheme="minorHAnsi"/>
          <w:sz w:val="24"/>
          <w:szCs w:val="24"/>
        </w:rPr>
        <w:instrText>ADDIN CSL_CITATION {"citationItems":[{"id":"ITEM-1","itemData":{"DOI":"10.1111/JSM.12477","ISSN":"1743-6095","PMID":"24877179","abstract":"Introduction: The efficacy of oral pharmacotherapy for erectile dysfunction (ED) (i.e., type 5 phosphodiesterase [PDE5] inhibitors) is significantly reduced in diabetic patients. Nebivolol is a selective β1-blocker used for treating hypertension that has been shown to increase the efficacy of sildenafil to reverse ED in diabetic rats. Aim: To evaluate the effects of nebivolol on the efficacy of the PDE5 inhibitors, sildenafil, tadalafil, and vardenafil to relax human corpus cavernosum (HCC) and vasodilate human penile resistance arteries (HPRA) from diabetic patients with ED (DMED). The influence of nebivolol on the capacity of these three PDE5 inhibitors to stimulate cyclic guanosine monophosphate (cGMP) production in HCC was also evaluated. Methods: HCC and HPRA were obtained from organ donors without ED (NEND; n=18) or patients with diabetes undergoing penile prosthesis implantation (DMED; n=19). Relaxations of HCC strips and HPRA to sildenafil, tadalafil, and vardenafil were evaluated in organ chambers and wire myographs. cGMP content in HCC was determined by ether extraction and quantification by ELISA. Main Outcome Measures: Effects of nebivolol on PDE5 inhibitor-induced relaxation of HCC, vasodilation of HPRA and cGMP accumulation in HCC. Results: Treatment with nebivolol (1μM) significantly potentiated sildenafil-, tadalafil- and vardenafil-induced relaxations of HCC and vasodilations of HPRA from both NEND and DMED. Enhancement of relaxant capacity by nebivolol resulted in reversion of the impairment of PDE5 inhibition-induced responses in DMED and it was accompanied by enhancing the ability of PDE5 inhibitors to increase cGMP in HCC restoring reduced cGMP levels in HCC from DMED. Conclusions: Nebivolol potentiated the capacity of PDE5 inhibitors to relax vascular structures of erectile tissue from diabetic patients by enhancing the nitric oxide (NO)/cGMP pathway in these tissues. These effects suggest a potential therapeutic utility of nebivolol as an adjunct to PDE5 inhibitors for the treatment of ED associated with diabetes. © 2014 International Society for Sexual Medicine.","author":[{"dropping-particle":"","family":"Martínez-Salamanca","given":"Juan I.","non-dropping-particle":"","parse-names":false,"suffix":""},{"dropping-particle":"","family":"Fuente","given":"José M.","non-dropping-particle":"La","parse-names":false,"suffix":""},{"dropping-particle":"","family":"Cardoso","given":"José","non-dropping-particle":"","parse-names":false,"suffix":""},{"dropping-particle":"","family":"Fernández","given":"Argentina","non-dropping-particle":"","parse-names":false,"suffix":""},{"dropping-particle":"","family":"Cuevas","given":"Pedro","non-dropping-particle":"","parse-names":false,"suffix":""},{"dropping-particle":"","family":"Wright","given":"Harold M.","non-dropping-particle":"","parse-names":false,"suffix":""},{"dropping-particle":"","family":"Angulo","given":"Javier","non-dropping-particle":"","parse-names":false,"suffix":""}],"container-title":"The Journal of Sexual Medicine","id":"ITEM-1","issue":"5","issued":{"date-parts":[["2014","5","1"]]},"page":"1182-1192","publisher":"Elsevier","title":"Nebivolol Potentiates the Efficacy of PDE5 Inhibitors to Relax Corpus Cavernosum and Penile Arteries from Diabetic Patients by Enhancing the NO/cGMP Pathway","type":"article-journal","volume":"11"},"uris":["http://www.mendeley.com/documents/?uuid=13a4d755-6a9c-39fb-8416-41fc06775153"]}],"mendeley":{"formattedCitation":"[64]","plainTextFormattedCitation":"[64]","previouslyFormattedCitation":"[65]"},"properties":{"noteIndex":0},"schema":"https://github.com/citation-style-language/schema/raw/master/csl-citation.json"}</w:instrText>
      </w:r>
      <w:r w:rsidR="0005398D" w:rsidRPr="00695061">
        <w:rPr>
          <w:rFonts w:cstheme="minorHAnsi"/>
          <w:sz w:val="24"/>
          <w:szCs w:val="24"/>
        </w:rPr>
        <w:fldChar w:fldCharType="separate"/>
      </w:r>
      <w:r w:rsidR="007D7BEE" w:rsidRPr="00695061">
        <w:rPr>
          <w:rFonts w:cstheme="minorHAnsi"/>
          <w:noProof/>
          <w:sz w:val="24"/>
          <w:szCs w:val="24"/>
        </w:rPr>
        <w:t>[64]</w:t>
      </w:r>
      <w:r w:rsidR="0005398D" w:rsidRPr="00695061">
        <w:rPr>
          <w:rFonts w:cstheme="minorHAnsi"/>
          <w:sz w:val="24"/>
          <w:szCs w:val="24"/>
        </w:rPr>
        <w:fldChar w:fldCharType="end"/>
      </w:r>
      <w:r w:rsidR="006B4C4C" w:rsidRPr="00695061">
        <w:rPr>
          <w:rFonts w:cstheme="minorHAnsi"/>
          <w:sz w:val="24"/>
          <w:szCs w:val="24"/>
        </w:rPr>
        <w:t xml:space="preserve"> </w:t>
      </w:r>
      <w:r w:rsidR="002862EA" w:rsidRPr="00695061">
        <w:rPr>
          <w:rFonts w:cstheme="minorHAnsi"/>
          <w:sz w:val="24"/>
          <w:szCs w:val="24"/>
        </w:rPr>
        <w:t xml:space="preserve">and vardenafil potentiates nitric oxide donor-induced, endothelial and neurogenic relaxation in HCC at 10 </w:t>
      </w:r>
      <w:proofErr w:type="spellStart"/>
      <w:r w:rsidR="002862EA" w:rsidRPr="00695061">
        <w:rPr>
          <w:rFonts w:cstheme="minorHAnsi"/>
          <w:sz w:val="24"/>
          <w:szCs w:val="24"/>
        </w:rPr>
        <w:t>nM</w:t>
      </w:r>
      <w:proofErr w:type="spellEnd"/>
      <w:r w:rsidR="002862EA" w:rsidRPr="00695061">
        <w:rPr>
          <w:rFonts w:cstheme="minorHAnsi"/>
          <w:sz w:val="24"/>
          <w:szCs w:val="24"/>
        </w:rPr>
        <w:t xml:space="preserve"> </w:t>
      </w:r>
      <w:r w:rsidR="0005398D" w:rsidRPr="00695061">
        <w:rPr>
          <w:rFonts w:cstheme="minorHAnsi"/>
          <w:sz w:val="24"/>
          <w:szCs w:val="24"/>
        </w:rPr>
        <w:fldChar w:fldCharType="begin" w:fldLock="1"/>
      </w:r>
      <w:r w:rsidR="007D7BEE" w:rsidRPr="00695061">
        <w:rPr>
          <w:rFonts w:cstheme="minorHAnsi"/>
          <w:sz w:val="24"/>
          <w:szCs w:val="24"/>
        </w:rPr>
        <w:instrText>ADDIN CSL_CITATION {"citationItems":[{"id":"ITEM-1","itemData":{"DOI":"10.1038/sj.ijir.3900726","ISSN":"09559930","PMID":"11890515","abstract":"We investigated the potency and the selectivity profile of vardenafil on phosphodiesterase (PDEs) enzymes, its ability to modify cGMP metabolism and cause relaxation of penile smooth muscle and its effect on erections in vivo under conditions of exogenous nitric oxide (NO) stimulation. PDE isozymes were extracted and purified from human platelets (PDE5) or bovine sources (PDEs 1, 2, 3, 4 and 6). The inhibition of these PDEs and of human recombinant PDEs by vardenafil was determined. The ability to potentiate NO-mediated relaxation and influence cGMP levels in human corpus cavernosum strips was measured in vitro, and erection-inducing activity was demonstrated in conscious rabbits after oral administration together with intravenous doses of sodium nitroprusside (SNP). The effects of vardenafil were compared with those of the well-recognized PDE5 inhibitor, sildenafil (values for sildenafil in brackets). Vardenafil specifically inhibited the hydrolysis of cGMP by PDE5 with an IC50 of 0.7 nM (6.6 nM). In contrast, the IC50 of vardenafil for PDE1 was 180 nM; for PDE6, 11 nM; for PDE2, PDE3 and PDE4, more than 1000 nM. Relative to PDE5, the ratios of the IC50 for PDE1 were 257 (60), for PDE6 16 (7.4). Vardenafil significantly enhanced the SNP-induced relaxation of human trabecular smooth muscle at 3nM (10nM). Vardenafil also significantly potentiated both ACh-induced and transmural electrical stimulation-induced relaxation of trabecular smooth muscle. The minimum concentration of vardenafil that significantly potentiated SNP-induced cGMP accumulation was 3 nM (30 nM). In vivo studies in rabbits showed that orally administered vardenafil dose-dependently potentiated erectile responses to intravenously administered SNP. The minimal effective dose that significantly potentiated erection was 0.1 mg/kg (1 mg/kg). The selectivity for PDE5, the potentiation of NO-induced relaxation and cGMP accumulation in human trabecular smooth muscle and the ability to enhance NO-induced erection in vivo indicate that vardenafil has the appropriate properties to be a potential compound for the treatment of erectile dysfunction. Vardenafil was more potent and selective than sildenafil on its inhibitory activity on PDE5.","author":[{"dropping-particle":"","family":"Saenz De Tejada","given":"I","non-dropping-particle":"","parse-names":false,"suffix":""},{"dropping-particle":"","family":"Angulo","given":"J","non-dropping-particle":"","parse-names":false,"suffix":""},{"dropping-particle":"","family":"Cuevas","given":"P","non-dropping-particle":"","parse-names":false,"suffix":""},{"dropping-particle":"","family":"Fernández","given":"A","non-dropping-particle":"","parse-names":false,"suffix":""},{"dropping-particle":"","family":"Moncada","given":"I","non-dropping-particle":"","parse-names":false,"suffix":""},{"dropping-particle":"","family":"Allona","given":"A","non-dropping-particle":"","parse-names":false,"suffix":""},{"dropping-particle":"","family":"Lledó","given":"E","non-dropping-particle":"","parse-names":false,"suffix":""},{"dropping-particle":"","family":"Körschen","given":"H. G.","non-dropping-particle":"","parse-names":false,"suffix":""},{"dropping-particle":"","family":"Niewöhner","given":"U.","non-dropping-particle":"","parse-names":false,"suffix":""},{"dropping-particle":"","family":"Haning","given":"H","non-dropping-particle":"","parse-names":false,"suffix":""},{"dropping-particle":"","family":"Pages","given":"E","non-dropping-particle":"","parse-names":false,"suffix":""},{"dropping-particle":"","family":"Bischoff","given":"E","non-dropping-particle":"","parse-names":false,"suffix":""}],"container-title":"International Journal of Impotence Research","id":"ITEM-1","issue":"5","issued":{"date-parts":[["2001"]]},"page":"282-290","title":"The phosphodiesterase inhibitory selectivity and the in vitro and in vivo potency of the new PDE5 inhibitor vardenafil","type":"article-journal","volume":"13"},"uris":["http://www.mendeley.com/documents/?uuid=42a90781-98ba-321b-a9e1-99860465d757"]}],"mendeley":{"formattedCitation":"[65]","plainTextFormattedCitation":"[65]","previouslyFormattedCitation":"[66]"},"properties":{"noteIndex":0},"schema":"https://github.com/citation-style-language/schema/raw/master/csl-citation.json"}</w:instrText>
      </w:r>
      <w:r w:rsidR="0005398D" w:rsidRPr="00695061">
        <w:rPr>
          <w:rFonts w:cstheme="minorHAnsi"/>
          <w:sz w:val="24"/>
          <w:szCs w:val="24"/>
        </w:rPr>
        <w:fldChar w:fldCharType="separate"/>
      </w:r>
      <w:r w:rsidR="007D7BEE" w:rsidRPr="00695061">
        <w:rPr>
          <w:rFonts w:cstheme="minorHAnsi"/>
          <w:noProof/>
          <w:sz w:val="24"/>
          <w:szCs w:val="24"/>
        </w:rPr>
        <w:t>[65]</w:t>
      </w:r>
      <w:r w:rsidR="0005398D" w:rsidRPr="00695061">
        <w:rPr>
          <w:rFonts w:cstheme="minorHAnsi"/>
          <w:sz w:val="24"/>
          <w:szCs w:val="24"/>
        </w:rPr>
        <w:fldChar w:fldCharType="end"/>
      </w:r>
      <w:r w:rsidR="005512EE" w:rsidRPr="00695061">
        <w:rPr>
          <w:rFonts w:cstheme="minorHAnsi"/>
          <w:sz w:val="24"/>
          <w:szCs w:val="24"/>
        </w:rPr>
        <w:t xml:space="preserve">. </w:t>
      </w:r>
      <w:r w:rsidR="00966A21" w:rsidRPr="00695061">
        <w:rPr>
          <w:rFonts w:cstheme="minorHAnsi"/>
          <w:sz w:val="24"/>
          <w:szCs w:val="24"/>
        </w:rPr>
        <w:t xml:space="preserve">Further clinical studies would be required to </w:t>
      </w:r>
      <w:r w:rsidR="008D6408" w:rsidRPr="00695061">
        <w:rPr>
          <w:rFonts w:cstheme="minorHAnsi"/>
          <w:sz w:val="24"/>
          <w:szCs w:val="24"/>
        </w:rPr>
        <w:t>demonstrate clinically meaningful effect of combinations of statins with PDE5</w:t>
      </w:r>
      <w:r w:rsidR="005D1FEA" w:rsidRPr="00695061">
        <w:rPr>
          <w:rFonts w:cstheme="minorHAnsi"/>
          <w:sz w:val="24"/>
          <w:szCs w:val="24"/>
        </w:rPr>
        <w:t>i</w:t>
      </w:r>
      <w:r w:rsidR="008D6408" w:rsidRPr="00695061">
        <w:rPr>
          <w:rFonts w:cstheme="minorHAnsi"/>
          <w:sz w:val="24"/>
          <w:szCs w:val="24"/>
        </w:rPr>
        <w:t xml:space="preserve"> </w:t>
      </w:r>
      <w:r w:rsidR="004735EC" w:rsidRPr="00695061">
        <w:rPr>
          <w:rFonts w:cstheme="minorHAnsi"/>
          <w:sz w:val="24"/>
          <w:szCs w:val="24"/>
        </w:rPr>
        <w:t>in treatment of early phase PD.</w:t>
      </w:r>
    </w:p>
    <w:p w14:paraId="60CB7D77" w14:textId="4D998EE9" w:rsidR="00007DD0" w:rsidRPr="00695061" w:rsidRDefault="00116D54" w:rsidP="004D25C4">
      <w:pPr>
        <w:jc w:val="both"/>
        <w:rPr>
          <w:sz w:val="24"/>
          <w:szCs w:val="24"/>
        </w:rPr>
      </w:pPr>
      <w:r w:rsidRPr="00695061">
        <w:rPr>
          <w:sz w:val="24"/>
          <w:szCs w:val="24"/>
        </w:rPr>
        <w:t xml:space="preserve">Statins are a well-established class of drugs in the treatment of hypercholesterolemia and have been shown to reduce the risk of cardiovascular morbidity and mortality in patients with or at risk for coronary heart disease in several clinical trials </w:t>
      </w:r>
      <w:r w:rsidR="002B23DB" w:rsidRPr="00695061">
        <w:rPr>
          <w:sz w:val="24"/>
          <w:szCs w:val="24"/>
        </w:rPr>
        <w:fldChar w:fldCharType="begin" w:fldLock="1"/>
      </w:r>
      <w:r w:rsidR="007D7BEE" w:rsidRPr="00695061">
        <w:rPr>
          <w:sz w:val="24"/>
          <w:szCs w:val="24"/>
        </w:rPr>
        <w:instrText>ADDIN CSL_CITATION {"citationItems":[{"id":"ITEM-1","itemData":{"DOI":"10.1016/S0140-6736(02)09327-3","ISSN":"01406736","PMID":"12114036","abstract":"Background: Throughout the usual LDL cholesterol range in Western populations, lower blood concentrations are associated with lower cardiovascular disease risk. In such populations, therefore, reducing LDL cholesterol may reduce the development of vascular disease, largely irrespective of initial cholesterol concentrations. Methods: 20 536 UK adults (aged 40-80 years) with coronary disease, other occlusive arterial disease, or diabetes were randomly allocated to receive 40 mg simvastatin daily (average compliance: 85%) or matching placebo (average non-study statin use: 17%). Analyses are of the first occurrence of particular events, and compare all simvastatin-allocated versus all placebo-allocated participants. These \"intention-to-treat\" comparisons assess the effects of about two-thirds (85% minus 17%) taking a statin during the scheduled 5-year treatment period, which yielded an average difference in LDL cholesterol of 1.0 mmol/L (about two-thirds of the effect of actual use of 40 mg simvastatin daily). Primary outcomes were mortality (for overall analyses) and fatal or non-fatal vascular events (for subcategory analyses), with subsidiary assessments of cancer and of other major morbidity. Findings: All-cause mortality was significantly reduced (1328 [12.9%] deaths among 10 269 allocated simvastatin versus 1507 [14.7%] among 10 267 allocated placebo; p=0.0003), due to a highly significant 18% (SE 5) proportional reduction in the coronary death rate (587 [5.7%] vs 707 [6.9%]; p=0.0005), a marginally significant reduction in other vascular deaths (194 [1.9%] vs 230 [2.2%]; p=0.07), and a non-significant reduction in non-vascular deaths (547 [5.3%] vs 570 [5.6%]; p=0.4). There were highly significant reductions of about one-quarter in the first event rate for non-fatal myocardial infarction or coronary death (898 [8.7%] vs 1212 [11.8%]; p&lt;0.0001), for non-fatal or fatal stroke (444 [4.3%] vs 585 [5.7%]; p&lt;0.0001), and for coronary or non-coronary revascularisation (939 [9.1%] vs 1205 [11.7%]; p&lt;0.0001). For the first occurrence of any of these major vascular events, there was a definite 24% (SE 3; 95% CI 19-28) reduction in the event rate (2033 [19.8%] vs 2585 [25.2%] affected individuals; p&lt;0.0001). During the first year the reduction in major vascular events was not significant, but subsequently it was highly significant during each separate year. The proportional reduction in the event rate was similar (and significant) in each subcategory of partici…","author":[{"dropping-particle":"","family":"Collins","given":"Rory","non-dropping-particle":"","parse-names":false,"suffix":""},{"dropping-particle":"","family":"Armitage","given":"Jane","non-dropping-particle":"","parse-names":false,"suffix":""},{"dropping-particle":"","family":"Parish","given":"Sarah","non-dropping-particle":"","parse-names":false,"suffix":""},{"dropping-particle":"","family":"Sleight","given":"Peter","non-dropping-particle":"","parse-names":false,"suffix":""},{"dropping-particle":"","family":"Peto","given":"Richard","non-dropping-particle":"","parse-names":false,"suffix":""}],"container-title":"Lancet","id":"ITEM-1","issue":"9326","issued":{"date-parts":[["2002","7","6"]]},"page":"7-22","publisher":"Elsevier Limited","title":"MRC/BHF Heart Protection Study of cholesterol lowering with simvastatin in 20 536 high-risk individuals: A randomised placebo-controlled trial","type":"article-journal","volume":"360"},"uris":["http://www.mendeley.com/documents/?uuid=35c6212f-fec0-3561-9617-46417c9ad7ef"]},{"id":"ITEM-2","itemData":{"DOI":"10.1161/01.CIR.0000131519.15067.1f","ISSN":"00097322","PMID":"15198967","abstract":"Statin monotherapy is generally well tolerated, with a low frequency of adverse events. The most important adverse effects associated with statins are myopathy and an asymptomatic increase in hepatic transaminases, both of which occur infrequently. Because statins are prescribed on a long-term basis, however, possible interactions with other drugs deserve particular attention, as many patients will typically receive pharmacological therapy for concomitant conditions during the course of statin treatment. This review summarizes the pharmacokinetic properties of statins and emphasizes their clinically relevant drug interactions.","author":[{"dropping-particle":"","family":"Bellosta","given":"Stefano","non-dropping-particle":"","parse-names":false,"suffix":""},{"dropping-particle":"","family":"Paoletti","given":"Rodolfo","non-dropping-particle":"","parse-names":false,"suffix":""},{"dropping-particle":"","family":"Corsini","given":"Alberto","non-dropping-particle":"","parse-names":false,"suffix":""}],"container-title":"Circulation","id":"ITEM-2","issue":"23 SUPPL.","issued":{"date-parts":[["2004","6","15"]]},"title":"Safety of statins: Focus on clinical pharmacokinetics and drug interactions","type":"article","volume":"109"},"uris":["http://www.mendeley.com/documents/?uuid=10efa698-c30e-3f98-aaa4-d1887b818f9b"]}],"mendeley":{"formattedCitation":"[66,67]","plainTextFormattedCitation":"[66,67]","previouslyFormattedCitation":"[67,68]"},"properties":{"noteIndex":0},"schema":"https://github.com/citation-style-language/schema/raw/master/csl-citation.json"}</w:instrText>
      </w:r>
      <w:r w:rsidR="002B23DB" w:rsidRPr="00695061">
        <w:rPr>
          <w:sz w:val="24"/>
          <w:szCs w:val="24"/>
        </w:rPr>
        <w:fldChar w:fldCharType="separate"/>
      </w:r>
      <w:r w:rsidR="007D7BEE" w:rsidRPr="00695061">
        <w:rPr>
          <w:noProof/>
          <w:sz w:val="24"/>
          <w:szCs w:val="24"/>
        </w:rPr>
        <w:t>[66,67]</w:t>
      </w:r>
      <w:r w:rsidR="002B23DB" w:rsidRPr="00695061">
        <w:rPr>
          <w:sz w:val="24"/>
          <w:szCs w:val="24"/>
        </w:rPr>
        <w:fldChar w:fldCharType="end"/>
      </w:r>
      <w:r w:rsidRPr="00695061">
        <w:rPr>
          <w:sz w:val="24"/>
          <w:szCs w:val="24"/>
        </w:rPr>
        <w:t xml:space="preserve">. Myopathy, described as </w:t>
      </w:r>
      <w:r w:rsidRPr="00695061">
        <w:rPr>
          <w:sz w:val="24"/>
          <w:szCs w:val="24"/>
        </w:rPr>
        <w:lastRenderedPageBreak/>
        <w:t>unexplained muscle pain, tenderness</w:t>
      </w:r>
      <w:r w:rsidR="00047196" w:rsidRPr="00695061">
        <w:rPr>
          <w:sz w:val="24"/>
          <w:szCs w:val="24"/>
        </w:rPr>
        <w:t>,</w:t>
      </w:r>
      <w:r w:rsidRPr="00695061">
        <w:rPr>
          <w:sz w:val="24"/>
          <w:szCs w:val="24"/>
        </w:rPr>
        <w:t xml:space="preserve"> or weakness, is one of the most important adverse effects associated with statins which occurs in 0.1-0.2% of the patients and typically fully resolves on cessation of statin therapy </w:t>
      </w:r>
      <w:r w:rsidR="002B23DB" w:rsidRPr="00695061">
        <w:rPr>
          <w:sz w:val="24"/>
          <w:szCs w:val="24"/>
        </w:rPr>
        <w:fldChar w:fldCharType="begin" w:fldLock="1"/>
      </w:r>
      <w:r w:rsidR="007D7BEE" w:rsidRPr="00695061">
        <w:rPr>
          <w:sz w:val="24"/>
          <w:szCs w:val="24"/>
        </w:rPr>
        <w:instrText>ADDIN CSL_CITATION {"citationItems":[{"id":"ITEM-1","itemData":{"DOI":"10.5694/j.1326-5377.2001.tb143683.x","ISSN":"0025729X","PMID":"11758079","abstract":"Myopathy occurs in 0.1%-0.2% of patients receiving statins in clinical trials. This adverse effect is shared by all statins, but is more common with cerivastatin, especially in combination with gemfibrozil. The risk of myopathy is increased by: • the use of high doses of statins. • concurrent use of fibrates • concurrent use of hepatic cytochrome P450 inhibitors. • acute viral infections, major trauma, surgery, hypothyroidism and other conditions. Statin-associated myopathy should be suspected when a statin-treated patient complains of unexplained muscle pain, tenderness or weakness. Statin therapy should be stopped in cases of suspected myopathy, and serum creatine kinase levels should be checked and monitored. No specific therapies other than statin withdrawal and supportive measures for rhabdomyolysis are currently available.","author":[{"dropping-particle":"","family":"Hamilton-Craig","given":"I.","non-dropping-particle":"","parse-names":false,"suffix":""}],"container-title":"Medical Journal of Australia","id":"ITEM-1","issue":"9","issued":{"date-parts":[["2001","11","5"]]},"page":"486-489","publisher":"Australasian Medical Publishing Co. Ltd","title":"Statin-associated myopathy","type":"article","volume":"175"},"uris":["http://www.mendeley.com/documents/?uuid=04bb02f4-49a3-3a78-9fad-ede9df9eefea"]}],"mendeley":{"formattedCitation":"[68]","plainTextFormattedCitation":"[68]","previouslyFormattedCitation":"[69]"},"properties":{"noteIndex":0},"schema":"https://github.com/citation-style-language/schema/raw/master/csl-citation.json"}</w:instrText>
      </w:r>
      <w:r w:rsidR="002B23DB" w:rsidRPr="00695061">
        <w:rPr>
          <w:sz w:val="24"/>
          <w:szCs w:val="24"/>
        </w:rPr>
        <w:fldChar w:fldCharType="separate"/>
      </w:r>
      <w:r w:rsidR="007D7BEE" w:rsidRPr="00695061">
        <w:rPr>
          <w:noProof/>
          <w:sz w:val="24"/>
          <w:szCs w:val="24"/>
        </w:rPr>
        <w:t>[68]</w:t>
      </w:r>
      <w:r w:rsidR="002B23DB" w:rsidRPr="00695061">
        <w:rPr>
          <w:sz w:val="24"/>
          <w:szCs w:val="24"/>
        </w:rPr>
        <w:fldChar w:fldCharType="end"/>
      </w:r>
      <w:r w:rsidRPr="00695061">
        <w:rPr>
          <w:sz w:val="24"/>
          <w:szCs w:val="24"/>
        </w:rPr>
        <w:t xml:space="preserve">. One of the reasons for statin-associated myopathy has been suggested to be concomitant drug usage. Sildenafil </w:t>
      </w:r>
      <w:r w:rsidR="002B23DB" w:rsidRPr="00695061">
        <w:rPr>
          <w:sz w:val="24"/>
          <w:szCs w:val="24"/>
        </w:rPr>
        <w:t xml:space="preserve"> </w:t>
      </w:r>
      <w:r w:rsidR="002B23DB" w:rsidRPr="00695061">
        <w:rPr>
          <w:sz w:val="24"/>
          <w:szCs w:val="24"/>
        </w:rPr>
        <w:fldChar w:fldCharType="begin" w:fldLock="1"/>
      </w:r>
      <w:r w:rsidR="007D7BEE" w:rsidRPr="00695061">
        <w:rPr>
          <w:sz w:val="24"/>
          <w:szCs w:val="24"/>
        </w:rPr>
        <w:instrText>ADDIN CSL_CITATION {"citationItems":[{"id":"ITEM-1","itemData":{"DOI":"10.1097/SMJ.0b013e3181f0e89c","author":[{"dropping-particle":"","family":"Pennisi","given":"Giovanni","non-dropping-particle":"","parse-names":false,"suffix":""},{"dropping-particle":"","family":"Vacante","given":"Marco","non-dropping-particle":"","parse-names":false,"suffix":""},{"dropping-particle":"","family":"Russo","given":"Cristina","non-dropping-particle":"","parse-names":false,"suffix":""},{"dropping-particle":"","family":"Malaguarnera","given":"Mariano","non-dropping-particle":"","parse-names":false,"suffix":""}],"container-title":"Southern medical journal","id":"ITEM-1","issued":{"date-parts":[["2010","10","1"]]},"page":"1052-1054","title":"Rhabdomyolysis Induced by Rosuvastatin and Sildenafil","type":"article-journal","volume":"103"},"uris":["http://www.mendeley.com/documents/?uuid=e3de5bba-0e67-3892-a891-d39c0e25e2c4"]}],"mendeley":{"formattedCitation":"[69]","plainTextFormattedCitation":"[69]","previouslyFormattedCitation":"[70]"},"properties":{"noteIndex":0},"schema":"https://github.com/citation-style-language/schema/raw/master/csl-citation.json"}</w:instrText>
      </w:r>
      <w:r w:rsidR="002B23DB" w:rsidRPr="00695061">
        <w:rPr>
          <w:sz w:val="24"/>
          <w:szCs w:val="24"/>
        </w:rPr>
        <w:fldChar w:fldCharType="separate"/>
      </w:r>
      <w:r w:rsidR="007D7BEE" w:rsidRPr="00695061">
        <w:rPr>
          <w:noProof/>
          <w:sz w:val="24"/>
          <w:szCs w:val="24"/>
        </w:rPr>
        <w:t>[69]</w:t>
      </w:r>
      <w:r w:rsidR="002B23DB" w:rsidRPr="00695061">
        <w:rPr>
          <w:sz w:val="24"/>
          <w:szCs w:val="24"/>
        </w:rPr>
        <w:fldChar w:fldCharType="end"/>
      </w:r>
      <w:r w:rsidRPr="00695061">
        <w:rPr>
          <w:sz w:val="24"/>
          <w:szCs w:val="24"/>
        </w:rPr>
        <w:t xml:space="preserve"> and tadalafil </w:t>
      </w:r>
      <w:r w:rsidR="002B23DB" w:rsidRPr="00695061">
        <w:rPr>
          <w:sz w:val="24"/>
          <w:szCs w:val="24"/>
        </w:rPr>
        <w:fldChar w:fldCharType="begin" w:fldLock="1"/>
      </w:r>
      <w:r w:rsidR="007D7BEE" w:rsidRPr="00695061">
        <w:rPr>
          <w:sz w:val="24"/>
          <w:szCs w:val="24"/>
        </w:rPr>
        <w:instrText>ADDIN CSL_CITATION {"citationItems":[{"id":"ITEM-1","itemData":{"DOI":"10.1155/2009/378287","ISSN":"1687-9627","abstract":"A 48-year-old man, using statin, was admitted to hospital with progressive myalgia after consumption of tadalafil and simvastatin. Muscle pain and penile erection disappeared seven days after interruption of therapy. This case demonstrates the interaction of tadalafil with simvastatin resulting in myopathy. Muscle damage could be attributed to the common metabolic way of these two drugs which is cytochrome P450 isoenzyme system.","author":[{"dropping-particle":"","family":"Gargante","given":"Maria Pia","non-dropping-particle":"","parse-names":false,"suffix":""},{"dropping-particle":"","family":"Vacante","given":"Marco","non-dropping-particle":"","parse-names":false,"suffix":""},{"dropping-particle":"","family":"Russo","given":"Cristina","non-dropping-particle":"","parse-names":false,"suffix":""},{"dropping-particle":"","family":"Malaguarnera","given":"Mariano","non-dropping-particle":"","parse-names":false,"suffix":""}],"container-title":"Case Reports in Medicine","id":"ITEM-1","issued":{"date-parts":[["2009"]]},"page":"1-3","publisher":"Hindawi Limited","title":"Myopathy with Concurrent Tadalafil and Simvastatin","type":"article-journal","volume":"2009"},"uris":["http://www.mendeley.com/documents/?uuid=e2404528-0e21-3568-a4a0-fedc84bb8b09"]}],"mendeley":{"formattedCitation":"[70]","plainTextFormattedCitation":"[70]","previouslyFormattedCitation":"[71]"},"properties":{"noteIndex":0},"schema":"https://github.com/citation-style-language/schema/raw/master/csl-citation.json"}</w:instrText>
      </w:r>
      <w:r w:rsidR="002B23DB" w:rsidRPr="00695061">
        <w:rPr>
          <w:sz w:val="24"/>
          <w:szCs w:val="24"/>
        </w:rPr>
        <w:fldChar w:fldCharType="separate"/>
      </w:r>
      <w:r w:rsidR="007D7BEE" w:rsidRPr="00695061">
        <w:rPr>
          <w:noProof/>
          <w:sz w:val="24"/>
          <w:szCs w:val="24"/>
        </w:rPr>
        <w:t>[70]</w:t>
      </w:r>
      <w:r w:rsidR="002B23DB" w:rsidRPr="00695061">
        <w:rPr>
          <w:sz w:val="24"/>
          <w:szCs w:val="24"/>
        </w:rPr>
        <w:fldChar w:fldCharType="end"/>
      </w:r>
      <w:r w:rsidRPr="00695061">
        <w:rPr>
          <w:sz w:val="24"/>
          <w:szCs w:val="24"/>
        </w:rPr>
        <w:t xml:space="preserve"> have been reported to cause such a drug-drug interaction and increase the incidence of myopathy in patients taking statins. Therefore, caution should be taken when combining a statin and a PDE5i for treatment of early phase PD.</w:t>
      </w:r>
    </w:p>
    <w:p w14:paraId="4A5E2D8A" w14:textId="05F71E13" w:rsidR="00154963" w:rsidRPr="00695061" w:rsidRDefault="00154963" w:rsidP="00154963">
      <w:pPr>
        <w:rPr>
          <w:b/>
          <w:bCs/>
          <w:sz w:val="24"/>
          <w:szCs w:val="24"/>
        </w:rPr>
      </w:pPr>
      <w:r w:rsidRPr="00695061">
        <w:rPr>
          <w:b/>
          <w:bCs/>
          <w:sz w:val="24"/>
          <w:szCs w:val="24"/>
        </w:rPr>
        <w:t>Conclusions:</w:t>
      </w:r>
    </w:p>
    <w:p w14:paraId="39967BB0" w14:textId="7296E9A4" w:rsidR="003353AA" w:rsidRPr="00695061" w:rsidRDefault="00E80C62" w:rsidP="00674F2E">
      <w:pPr>
        <w:jc w:val="both"/>
        <w:rPr>
          <w:sz w:val="24"/>
          <w:szCs w:val="24"/>
        </w:rPr>
      </w:pPr>
      <w:r w:rsidRPr="00695061">
        <w:rPr>
          <w:sz w:val="24"/>
          <w:szCs w:val="24"/>
        </w:rPr>
        <w:t xml:space="preserve">This is the first demonstration of a synergistic inhibition of myofibroblast transformation with statin </w:t>
      </w:r>
      <w:r w:rsidR="004D6969" w:rsidRPr="00695061">
        <w:rPr>
          <w:sz w:val="24"/>
          <w:szCs w:val="24"/>
        </w:rPr>
        <w:t xml:space="preserve">and </w:t>
      </w:r>
      <w:r w:rsidRPr="00695061">
        <w:rPr>
          <w:sz w:val="24"/>
          <w:szCs w:val="24"/>
        </w:rPr>
        <w:t>PDE5i</w:t>
      </w:r>
      <w:r w:rsidR="004D6969" w:rsidRPr="00695061">
        <w:rPr>
          <w:sz w:val="24"/>
          <w:szCs w:val="24"/>
        </w:rPr>
        <w:t xml:space="preserve"> combination</w:t>
      </w:r>
      <w:r w:rsidRPr="00695061">
        <w:rPr>
          <w:sz w:val="24"/>
          <w:szCs w:val="24"/>
        </w:rPr>
        <w:t xml:space="preserve">. </w:t>
      </w:r>
      <w:r w:rsidR="00934678" w:rsidRPr="00695061">
        <w:rPr>
          <w:sz w:val="24"/>
          <w:szCs w:val="24"/>
        </w:rPr>
        <w:t>Since</w:t>
      </w:r>
      <w:r w:rsidR="00DB516C" w:rsidRPr="00695061">
        <w:rPr>
          <w:sz w:val="24"/>
          <w:szCs w:val="24"/>
        </w:rPr>
        <w:t xml:space="preserve"> drug repurposing is more likely to succeed when drugs are combined</w:t>
      </w:r>
      <w:r w:rsidR="00934678" w:rsidRPr="00695061">
        <w:rPr>
          <w:sz w:val="24"/>
          <w:szCs w:val="24"/>
        </w:rPr>
        <w:t>,</w:t>
      </w:r>
      <w:r w:rsidR="00DB516C" w:rsidRPr="00695061">
        <w:rPr>
          <w:sz w:val="24"/>
          <w:szCs w:val="24"/>
        </w:rPr>
        <w:t xml:space="preserve"> </w:t>
      </w:r>
      <w:r w:rsidR="00C20C07" w:rsidRPr="00695061">
        <w:rPr>
          <w:sz w:val="24"/>
          <w:szCs w:val="24"/>
        </w:rPr>
        <w:t>c</w:t>
      </w:r>
      <w:r w:rsidR="003353AA" w:rsidRPr="00695061">
        <w:rPr>
          <w:sz w:val="24"/>
          <w:szCs w:val="24"/>
        </w:rPr>
        <w:t xml:space="preserve">ombining statins with </w:t>
      </w:r>
      <w:r w:rsidR="00934678" w:rsidRPr="00695061">
        <w:rPr>
          <w:sz w:val="24"/>
          <w:szCs w:val="24"/>
        </w:rPr>
        <w:t>PDE5i may be</w:t>
      </w:r>
      <w:r w:rsidR="003353AA" w:rsidRPr="00695061">
        <w:rPr>
          <w:sz w:val="24"/>
          <w:szCs w:val="24"/>
        </w:rPr>
        <w:t xml:space="preserve"> a</w:t>
      </w:r>
      <w:r w:rsidR="00674F2E" w:rsidRPr="00695061">
        <w:rPr>
          <w:sz w:val="24"/>
          <w:szCs w:val="24"/>
        </w:rPr>
        <w:t xml:space="preserve"> </w:t>
      </w:r>
      <w:r w:rsidR="003353AA" w:rsidRPr="00695061">
        <w:rPr>
          <w:sz w:val="24"/>
          <w:szCs w:val="24"/>
        </w:rPr>
        <w:t>potential pathway to novel treatments for PD. However, care must be taken as there have been adverse events reported when combining statins and PDE5is.</w:t>
      </w:r>
    </w:p>
    <w:p w14:paraId="6199652A" w14:textId="27F21A8E" w:rsidR="00154963" w:rsidRPr="00695061" w:rsidRDefault="00154963" w:rsidP="00674F2E">
      <w:pPr>
        <w:jc w:val="both"/>
      </w:pPr>
    </w:p>
    <w:p w14:paraId="0DF1875D" w14:textId="72A86784" w:rsidR="006A21EA" w:rsidRPr="00695061" w:rsidRDefault="006A21EA" w:rsidP="00674F2E">
      <w:pPr>
        <w:jc w:val="both"/>
        <w:rPr>
          <w:b/>
          <w:bCs/>
          <w:sz w:val="24"/>
          <w:szCs w:val="24"/>
        </w:rPr>
      </w:pPr>
      <w:r w:rsidRPr="00695061">
        <w:rPr>
          <w:b/>
          <w:bCs/>
          <w:sz w:val="24"/>
          <w:szCs w:val="24"/>
        </w:rPr>
        <w:t>Acknowledgement</w:t>
      </w:r>
    </w:p>
    <w:p w14:paraId="02C41DE7" w14:textId="2FA60F36" w:rsidR="00315C96" w:rsidRPr="00695061" w:rsidRDefault="007B20DD" w:rsidP="00154963">
      <w:pPr>
        <w:rPr>
          <w:sz w:val="24"/>
          <w:szCs w:val="24"/>
        </w:rPr>
      </w:pPr>
      <w:r w:rsidRPr="00695061">
        <w:rPr>
          <w:sz w:val="24"/>
          <w:szCs w:val="24"/>
        </w:rPr>
        <w:t>This study was partly funded by the European Society for Sexual Medicine (RG-</w:t>
      </w:r>
      <w:r w:rsidR="0093662B" w:rsidRPr="00695061">
        <w:rPr>
          <w:sz w:val="24"/>
          <w:szCs w:val="24"/>
        </w:rPr>
        <w:t>16-03)</w:t>
      </w:r>
    </w:p>
    <w:p w14:paraId="10A24EBB" w14:textId="77777777" w:rsidR="00F628E8" w:rsidRPr="00695061" w:rsidRDefault="00F628E8" w:rsidP="00154963">
      <w:pPr>
        <w:rPr>
          <w:sz w:val="24"/>
          <w:szCs w:val="24"/>
        </w:rPr>
      </w:pPr>
    </w:p>
    <w:p w14:paraId="3D72128E" w14:textId="77777777" w:rsidR="00F628E8" w:rsidRPr="00695061" w:rsidRDefault="005158F5" w:rsidP="00154963">
      <w:pPr>
        <w:rPr>
          <w:b/>
          <w:bCs/>
          <w:sz w:val="24"/>
          <w:szCs w:val="24"/>
        </w:rPr>
      </w:pPr>
      <w:r w:rsidRPr="00695061">
        <w:rPr>
          <w:b/>
          <w:bCs/>
          <w:sz w:val="24"/>
          <w:szCs w:val="24"/>
        </w:rPr>
        <w:t>Conflict of interest</w:t>
      </w:r>
    </w:p>
    <w:p w14:paraId="335DD47B" w14:textId="5156C2D3" w:rsidR="00315C96" w:rsidRPr="00695061" w:rsidRDefault="00B30651" w:rsidP="00154963">
      <w:r w:rsidRPr="00695061">
        <w:rPr>
          <w:sz w:val="24"/>
          <w:szCs w:val="24"/>
        </w:rPr>
        <w:t>No conflict of interest</w:t>
      </w:r>
    </w:p>
    <w:p w14:paraId="6B2D625A" w14:textId="77777777" w:rsidR="00BE75BC" w:rsidRPr="00695061" w:rsidRDefault="00BE75BC" w:rsidP="00154963">
      <w:pPr>
        <w:rPr>
          <w:b/>
          <w:bCs/>
        </w:rPr>
      </w:pPr>
    </w:p>
    <w:p w14:paraId="6CC5F16C" w14:textId="2EF17FC5" w:rsidR="00315C96" w:rsidRPr="00695061" w:rsidRDefault="00315C96" w:rsidP="00154963">
      <w:pPr>
        <w:rPr>
          <w:b/>
          <w:bCs/>
        </w:rPr>
      </w:pPr>
      <w:r w:rsidRPr="00695061">
        <w:rPr>
          <w:b/>
          <w:bCs/>
        </w:rPr>
        <w:t>Figure</w:t>
      </w:r>
      <w:r w:rsidR="00D6185D">
        <w:rPr>
          <w:b/>
          <w:bCs/>
        </w:rPr>
        <w:t>s</w:t>
      </w:r>
    </w:p>
    <w:p w14:paraId="033AE9CC" w14:textId="597079F2" w:rsidR="00315C96" w:rsidRPr="00695061" w:rsidRDefault="00180D1D" w:rsidP="00154963">
      <w:r>
        <w:rPr>
          <w:noProof/>
        </w:rPr>
        <w:drawing>
          <wp:inline distT="0" distB="0" distL="0" distR="0" wp14:anchorId="7AA20871" wp14:editId="100E1F5D">
            <wp:extent cx="5731510" cy="2138680"/>
            <wp:effectExtent l="0" t="0" r="2540" b="0"/>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2138680"/>
                    </a:xfrm>
                    <a:prstGeom prst="rect">
                      <a:avLst/>
                    </a:prstGeom>
                    <a:noFill/>
                    <a:ln>
                      <a:noFill/>
                    </a:ln>
                  </pic:spPr>
                </pic:pic>
              </a:graphicData>
            </a:graphic>
          </wp:inline>
        </w:drawing>
      </w:r>
    </w:p>
    <w:p w14:paraId="41E12AE0" w14:textId="48835A1E" w:rsidR="00315C96" w:rsidRPr="00695061" w:rsidRDefault="00315C96" w:rsidP="00A10CB5">
      <w:pPr>
        <w:jc w:val="both"/>
      </w:pPr>
      <w:r w:rsidRPr="00695061">
        <w:rPr>
          <w:b/>
          <w:bCs/>
        </w:rPr>
        <w:t>Figure 1:</w:t>
      </w:r>
      <w:r w:rsidR="003E4E5E" w:rsidRPr="00695061">
        <w:rPr>
          <w:b/>
          <w:bCs/>
        </w:rPr>
        <w:t xml:space="preserve"> Statins, PDE5i, and SERMS can prevent TGF-</w:t>
      </w:r>
      <w:r w:rsidR="003E4E5E" w:rsidRPr="00695061">
        <w:rPr>
          <w:rFonts w:cstheme="minorHAnsi"/>
          <w:b/>
          <w:bCs/>
        </w:rPr>
        <w:t>ß</w:t>
      </w:r>
      <w:r w:rsidR="003E4E5E" w:rsidRPr="00695061">
        <w:rPr>
          <w:b/>
          <w:bCs/>
        </w:rPr>
        <w:t>1-induced myofibroblast transformation</w:t>
      </w:r>
      <w:r w:rsidR="00B458C6" w:rsidRPr="00695061">
        <w:rPr>
          <w:b/>
          <w:bCs/>
        </w:rPr>
        <w:t xml:space="preserve"> in TA-derived cells</w:t>
      </w:r>
      <w:r w:rsidR="003E4E5E" w:rsidRPr="00695061">
        <w:rPr>
          <w:b/>
          <w:bCs/>
        </w:rPr>
        <w:t>.</w:t>
      </w:r>
      <w:r w:rsidR="003E4E5E" w:rsidRPr="00695061">
        <w:t xml:space="preserve"> </w:t>
      </w:r>
      <w:r w:rsidR="00B458C6" w:rsidRPr="00695061">
        <w:t xml:space="preserve">TA-derived cells were treated with 10 ng/mL </w:t>
      </w:r>
      <w:r w:rsidR="00C45DCB" w:rsidRPr="00695061">
        <w:t>TGF-</w:t>
      </w:r>
      <w:r w:rsidR="00C45DCB" w:rsidRPr="00695061">
        <w:rPr>
          <w:rFonts w:cstheme="minorHAnsi"/>
        </w:rPr>
        <w:t>ß</w:t>
      </w:r>
      <w:r w:rsidR="00C45DCB" w:rsidRPr="00695061">
        <w:t xml:space="preserve">1 in presence or absence of a range of concentrations of </w:t>
      </w:r>
      <w:r w:rsidR="0004539F" w:rsidRPr="00695061">
        <w:t>lovastatin (</w:t>
      </w:r>
      <w:r w:rsidR="001F19F5" w:rsidRPr="00695061">
        <w:t xml:space="preserve">0.03-100 </w:t>
      </w:r>
      <w:r w:rsidR="001F19F5" w:rsidRPr="00695061">
        <w:rPr>
          <w:rFonts w:cstheme="minorHAnsi"/>
        </w:rPr>
        <w:t>µ</w:t>
      </w:r>
      <w:r w:rsidR="001F19F5" w:rsidRPr="00695061">
        <w:t xml:space="preserve">M; black), simvastatin (0.03-100 </w:t>
      </w:r>
      <w:r w:rsidR="001F19F5" w:rsidRPr="00695061">
        <w:rPr>
          <w:rFonts w:cstheme="minorHAnsi"/>
        </w:rPr>
        <w:t>µ</w:t>
      </w:r>
      <w:r w:rsidR="001F19F5" w:rsidRPr="00695061">
        <w:t>M; grey), vardenafil (</w:t>
      </w:r>
      <w:r w:rsidR="00A10CB5" w:rsidRPr="00695061">
        <w:t xml:space="preserve">0.1-300 </w:t>
      </w:r>
      <w:r w:rsidR="00A10CB5" w:rsidRPr="00695061">
        <w:rPr>
          <w:rFonts w:cstheme="minorHAnsi"/>
        </w:rPr>
        <w:t>µ</w:t>
      </w:r>
      <w:r w:rsidR="00A10CB5" w:rsidRPr="00695061">
        <w:t xml:space="preserve">M; blue), or tamoxifen (0.018-54 </w:t>
      </w:r>
      <w:r w:rsidR="00A10CB5" w:rsidRPr="00695061">
        <w:rPr>
          <w:rFonts w:cstheme="minorHAnsi"/>
        </w:rPr>
        <w:t>µ</w:t>
      </w:r>
      <w:r w:rsidR="00A10CB5" w:rsidRPr="00695061">
        <w:t>M; green)</w:t>
      </w:r>
      <w:r w:rsidR="00081581" w:rsidRPr="00695061">
        <w:t>.</w:t>
      </w:r>
      <w:r w:rsidR="00C20C07" w:rsidRPr="00695061">
        <w:t xml:space="preserve"> </w:t>
      </w:r>
      <w:r w:rsidR="009F5C70" w:rsidRPr="00695061">
        <w:t xml:space="preserve">After 72h incubation, cells were stained for </w:t>
      </w:r>
      <w:r w:rsidR="009F5C70" w:rsidRPr="00695061">
        <w:rPr>
          <w:rFonts w:cstheme="minorHAnsi"/>
        </w:rPr>
        <w:t>α</w:t>
      </w:r>
      <w:r w:rsidR="009F5C70" w:rsidRPr="00695061">
        <w:t>-SMA</w:t>
      </w:r>
      <w:r w:rsidR="006033F3" w:rsidRPr="00695061">
        <w:t>,</w:t>
      </w:r>
      <w:r w:rsidR="009F5C70" w:rsidRPr="00695061">
        <w:t xml:space="preserve"> and expression was normalized to nuclear staining</w:t>
      </w:r>
      <w:r w:rsidR="009C3789" w:rsidRPr="00695061">
        <w:t xml:space="preserve">. Data points plotted as average </w:t>
      </w:r>
      <w:r w:rsidR="009C3789" w:rsidRPr="00695061">
        <w:rPr>
          <w:rFonts w:cstheme="minorHAnsi"/>
        </w:rPr>
        <w:t>±</w:t>
      </w:r>
      <w:r w:rsidR="009C3789" w:rsidRPr="00695061">
        <w:t xml:space="preserve"> SD of </w:t>
      </w:r>
      <w:r w:rsidR="009C3789" w:rsidRPr="00695061">
        <w:rPr>
          <w:rFonts w:cstheme="minorHAnsi"/>
        </w:rPr>
        <w:t>α</w:t>
      </w:r>
      <w:r w:rsidR="009C3789" w:rsidRPr="00695061">
        <w:t>-SMA/nuclear staining ratio</w:t>
      </w:r>
      <w:r w:rsidR="00191F30" w:rsidRPr="00695061">
        <w:t>. Data</w:t>
      </w:r>
      <w:r w:rsidR="009C3789" w:rsidRPr="00695061">
        <w:t xml:space="preserve"> obtained via Odyssey plate reader</w:t>
      </w:r>
      <w:r w:rsidR="00066BC7" w:rsidRPr="00695061">
        <w:t>. N=3</w:t>
      </w:r>
      <w:r w:rsidR="00E316B6" w:rsidRPr="00695061">
        <w:t xml:space="preserve">. For clarity purposes, cell viability </w:t>
      </w:r>
      <w:r w:rsidR="00182C19" w:rsidRPr="00695061">
        <w:t>data are not shown. None of the drugs affected the cell viability at any concentration</w:t>
      </w:r>
      <w:r w:rsidR="006A0A8D" w:rsidRPr="00695061">
        <w:t xml:space="preserve">. </w:t>
      </w:r>
    </w:p>
    <w:p w14:paraId="357020B3" w14:textId="067CE6F6" w:rsidR="00315C96" w:rsidRPr="00695061" w:rsidRDefault="00D6185D" w:rsidP="00A10CB5">
      <w:pPr>
        <w:jc w:val="both"/>
      </w:pPr>
      <w:r>
        <w:rPr>
          <w:noProof/>
        </w:rPr>
        <w:lastRenderedPageBreak/>
        <w:drawing>
          <wp:inline distT="0" distB="0" distL="0" distR="0" wp14:anchorId="6F1E774C" wp14:editId="2F2B1AE5">
            <wp:extent cx="5731510" cy="8787130"/>
            <wp:effectExtent l="0" t="0" r="2540" b="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8787130"/>
                    </a:xfrm>
                    <a:prstGeom prst="rect">
                      <a:avLst/>
                    </a:prstGeom>
                    <a:noFill/>
                    <a:ln>
                      <a:noFill/>
                    </a:ln>
                  </pic:spPr>
                </pic:pic>
              </a:graphicData>
            </a:graphic>
          </wp:inline>
        </w:drawing>
      </w:r>
    </w:p>
    <w:p w14:paraId="3C6C15AF" w14:textId="63A5C131" w:rsidR="00191F30" w:rsidRDefault="00B96D01" w:rsidP="00A10CB5">
      <w:pPr>
        <w:jc w:val="both"/>
      </w:pPr>
      <w:r w:rsidRPr="00695061">
        <w:rPr>
          <w:b/>
          <w:bCs/>
        </w:rPr>
        <w:lastRenderedPageBreak/>
        <w:t>Figure 2:</w:t>
      </w:r>
      <w:r w:rsidR="00787EA2" w:rsidRPr="00695061">
        <w:rPr>
          <w:b/>
          <w:bCs/>
        </w:rPr>
        <w:t xml:space="preserve"> </w:t>
      </w:r>
      <w:r w:rsidR="00FB7906" w:rsidRPr="00695061">
        <w:rPr>
          <w:b/>
          <w:bCs/>
        </w:rPr>
        <w:t xml:space="preserve">Effect of combinations of </w:t>
      </w:r>
      <w:r w:rsidR="0086242A" w:rsidRPr="00695061">
        <w:rPr>
          <w:b/>
          <w:bCs/>
        </w:rPr>
        <w:t>PDE5i</w:t>
      </w:r>
      <w:r w:rsidR="00FB7906" w:rsidRPr="00695061">
        <w:rPr>
          <w:b/>
          <w:bCs/>
        </w:rPr>
        <w:t>, SERMs,</w:t>
      </w:r>
      <w:r w:rsidR="0086242A" w:rsidRPr="00695061">
        <w:rPr>
          <w:b/>
          <w:bCs/>
        </w:rPr>
        <w:t xml:space="preserve"> and statins </w:t>
      </w:r>
      <w:r w:rsidR="00FB7906" w:rsidRPr="00695061">
        <w:rPr>
          <w:b/>
          <w:bCs/>
        </w:rPr>
        <w:t>on</w:t>
      </w:r>
      <w:r w:rsidR="003F0810" w:rsidRPr="00695061">
        <w:rPr>
          <w:b/>
          <w:bCs/>
        </w:rPr>
        <w:t xml:space="preserve"> TGF-</w:t>
      </w:r>
      <w:r w:rsidR="003F0810" w:rsidRPr="00695061">
        <w:rPr>
          <w:rFonts w:cstheme="minorHAnsi"/>
          <w:b/>
          <w:bCs/>
        </w:rPr>
        <w:t>ß</w:t>
      </w:r>
      <w:r w:rsidR="003F0810" w:rsidRPr="00695061">
        <w:rPr>
          <w:b/>
          <w:bCs/>
        </w:rPr>
        <w:t>1-induced myofibroblast transformation in TA-derived cells.</w:t>
      </w:r>
      <w:r w:rsidR="003F0810" w:rsidRPr="00695061">
        <w:t xml:space="preserve"> </w:t>
      </w:r>
      <w:r w:rsidR="00987267" w:rsidRPr="00695061">
        <w:rPr>
          <w:b/>
          <w:bCs/>
        </w:rPr>
        <w:t>(A)</w:t>
      </w:r>
      <w:r w:rsidR="00AA79A1" w:rsidRPr="00695061">
        <w:rPr>
          <w:b/>
          <w:bCs/>
        </w:rPr>
        <w:t xml:space="preserve"> </w:t>
      </w:r>
      <w:r w:rsidR="003F0810" w:rsidRPr="00695061">
        <w:t>TA-derived cells were treated with 10 ng/mL TGF-</w:t>
      </w:r>
      <w:r w:rsidR="003F0810" w:rsidRPr="00695061">
        <w:rPr>
          <w:rFonts w:cstheme="minorHAnsi"/>
        </w:rPr>
        <w:t>ß</w:t>
      </w:r>
      <w:r w:rsidR="003F0810" w:rsidRPr="00695061">
        <w:t>1 in presence or absence of a range of concentrations of vardenafil (</w:t>
      </w:r>
      <w:r w:rsidR="006033F3" w:rsidRPr="00695061">
        <w:t xml:space="preserve">0.1-300 </w:t>
      </w:r>
      <w:r w:rsidR="006033F3" w:rsidRPr="00695061">
        <w:rPr>
          <w:rFonts w:cstheme="minorHAnsi"/>
        </w:rPr>
        <w:t>µ</w:t>
      </w:r>
      <w:r w:rsidR="006033F3" w:rsidRPr="00695061">
        <w:t xml:space="preserve">M) in presence of 0.3 </w:t>
      </w:r>
      <w:r w:rsidR="006033F3" w:rsidRPr="00695061">
        <w:rPr>
          <w:rFonts w:cstheme="minorHAnsi"/>
        </w:rPr>
        <w:t>µ</w:t>
      </w:r>
      <w:r w:rsidR="006033F3" w:rsidRPr="00695061">
        <w:t xml:space="preserve">M simvastatin. </w:t>
      </w:r>
      <w:r w:rsidR="00987267" w:rsidRPr="00695061">
        <w:rPr>
          <w:b/>
          <w:bCs/>
        </w:rPr>
        <w:t>(B)</w:t>
      </w:r>
      <w:r w:rsidR="00987267" w:rsidRPr="00695061">
        <w:t xml:space="preserve"> TA-derived cells were treated with 10 ng/mL TGF-</w:t>
      </w:r>
      <w:r w:rsidR="00987267" w:rsidRPr="00695061">
        <w:rPr>
          <w:rFonts w:cstheme="minorHAnsi"/>
        </w:rPr>
        <w:t>ß</w:t>
      </w:r>
      <w:r w:rsidR="00987267" w:rsidRPr="00695061">
        <w:t xml:space="preserve">1 in presence or absence of a range of concentrations of tamoxifen (0.018-54 </w:t>
      </w:r>
      <w:r w:rsidR="00987267" w:rsidRPr="00695061">
        <w:rPr>
          <w:rFonts w:cstheme="minorHAnsi"/>
        </w:rPr>
        <w:t>µ</w:t>
      </w:r>
      <w:r w:rsidR="00987267" w:rsidRPr="00695061">
        <w:t xml:space="preserve">M) in presence of 0.3 </w:t>
      </w:r>
      <w:r w:rsidR="00987267" w:rsidRPr="00695061">
        <w:rPr>
          <w:rFonts w:cstheme="minorHAnsi"/>
        </w:rPr>
        <w:t>µ</w:t>
      </w:r>
      <w:r w:rsidR="00987267" w:rsidRPr="00695061">
        <w:t xml:space="preserve">M simvastatin. </w:t>
      </w:r>
      <w:r w:rsidR="001F74B8" w:rsidRPr="00695061">
        <w:rPr>
          <w:b/>
          <w:bCs/>
        </w:rPr>
        <w:t>(C)</w:t>
      </w:r>
      <w:r w:rsidR="001F74B8" w:rsidRPr="00695061">
        <w:t xml:space="preserve"> TA-derived cells were treated with 10 ng/mL TGF-</w:t>
      </w:r>
      <w:r w:rsidR="001F74B8" w:rsidRPr="00695061">
        <w:rPr>
          <w:rFonts w:cstheme="minorHAnsi"/>
        </w:rPr>
        <w:t>ß</w:t>
      </w:r>
      <w:r w:rsidR="001F74B8" w:rsidRPr="00695061">
        <w:t xml:space="preserve">1 in presence or absence of a range of concentrations of vardenafil (0.1-300 </w:t>
      </w:r>
      <w:r w:rsidR="001F74B8" w:rsidRPr="00695061">
        <w:rPr>
          <w:rFonts w:cstheme="minorHAnsi"/>
        </w:rPr>
        <w:t>µ</w:t>
      </w:r>
      <w:r w:rsidR="001F74B8" w:rsidRPr="00695061">
        <w:t xml:space="preserve">M) in presence of 1 </w:t>
      </w:r>
      <w:r w:rsidR="001F74B8" w:rsidRPr="00695061">
        <w:rPr>
          <w:rFonts w:cstheme="minorHAnsi"/>
        </w:rPr>
        <w:t>µ</w:t>
      </w:r>
      <w:r w:rsidR="001F74B8" w:rsidRPr="00695061">
        <w:t xml:space="preserve">M tamoxifen. </w:t>
      </w:r>
      <w:r w:rsidR="001F74B8" w:rsidRPr="00695061">
        <w:rPr>
          <w:b/>
          <w:bCs/>
        </w:rPr>
        <w:t>(D)</w:t>
      </w:r>
      <w:r w:rsidR="001F74B8" w:rsidRPr="00695061">
        <w:t xml:space="preserve"> </w:t>
      </w:r>
      <w:r w:rsidR="0017346B" w:rsidRPr="00695061">
        <w:t>TA-derived cells were treated with 10 ng/mL TGF-</w:t>
      </w:r>
      <w:r w:rsidR="0017346B" w:rsidRPr="00695061">
        <w:rPr>
          <w:rFonts w:cstheme="minorHAnsi"/>
        </w:rPr>
        <w:t>ß</w:t>
      </w:r>
      <w:r w:rsidR="0017346B" w:rsidRPr="00695061">
        <w:t xml:space="preserve">1 in presence or absence of a range of concentrations of vardenafil (0.1-300 </w:t>
      </w:r>
      <w:r w:rsidR="0017346B" w:rsidRPr="00695061">
        <w:rPr>
          <w:rFonts w:cstheme="minorHAnsi"/>
        </w:rPr>
        <w:t>µ</w:t>
      </w:r>
      <w:r w:rsidR="0017346B" w:rsidRPr="00695061">
        <w:t xml:space="preserve">M) in presence of 1 </w:t>
      </w:r>
      <w:r w:rsidR="0017346B" w:rsidRPr="00695061">
        <w:rPr>
          <w:rFonts w:cstheme="minorHAnsi"/>
        </w:rPr>
        <w:t>µ</w:t>
      </w:r>
      <w:r w:rsidR="0017346B" w:rsidRPr="00695061">
        <w:t xml:space="preserve">M tamoxifen. </w:t>
      </w:r>
      <w:r w:rsidR="006033F3" w:rsidRPr="00695061">
        <w:t xml:space="preserve">After 72h incubation, cells were stained for </w:t>
      </w:r>
      <w:r w:rsidR="006033F3" w:rsidRPr="00695061">
        <w:rPr>
          <w:rFonts w:cstheme="minorHAnsi"/>
        </w:rPr>
        <w:t>α</w:t>
      </w:r>
      <w:r w:rsidR="006033F3" w:rsidRPr="00695061">
        <w:t xml:space="preserve">-SMA, and expression was normalized to nuclear staining. Data points plotted as average </w:t>
      </w:r>
      <w:r w:rsidR="006033F3" w:rsidRPr="00695061">
        <w:rPr>
          <w:rFonts w:cstheme="minorHAnsi"/>
        </w:rPr>
        <w:t>±</w:t>
      </w:r>
      <w:r w:rsidR="006033F3" w:rsidRPr="00695061">
        <w:t xml:space="preserve"> SD of </w:t>
      </w:r>
      <w:r w:rsidR="006033F3" w:rsidRPr="00695061">
        <w:rPr>
          <w:rFonts w:cstheme="minorHAnsi"/>
        </w:rPr>
        <w:t>α</w:t>
      </w:r>
      <w:r w:rsidR="006033F3" w:rsidRPr="00695061">
        <w:t xml:space="preserve">-SMA/nuclear staining ratio </w:t>
      </w:r>
      <w:r w:rsidR="00191F30" w:rsidRPr="00695061">
        <w:t xml:space="preserve">or nuclear staining only (cell viability). Data </w:t>
      </w:r>
      <w:r w:rsidR="006033F3" w:rsidRPr="00695061">
        <w:t>obtained via Odyssey plate reader. N=3</w:t>
      </w:r>
      <w:r w:rsidR="00115172" w:rsidRPr="00695061">
        <w:t>. For clarity purposes, cell viability data are not shown. None of the drugs affected the cell viability at any concentration.</w:t>
      </w:r>
    </w:p>
    <w:p w14:paraId="14158E8D" w14:textId="77777777" w:rsidR="00D6185D" w:rsidRPr="00695061" w:rsidRDefault="00D6185D" w:rsidP="00A10CB5">
      <w:pPr>
        <w:jc w:val="both"/>
      </w:pPr>
    </w:p>
    <w:p w14:paraId="22187C55" w14:textId="5C3BA761" w:rsidR="00BA3B4C" w:rsidRPr="00695061" w:rsidRDefault="00D6185D" w:rsidP="00BA3B4C">
      <w:pPr>
        <w:jc w:val="both"/>
        <w:rPr>
          <w:b/>
          <w:bCs/>
        </w:rPr>
      </w:pPr>
      <w:r>
        <w:rPr>
          <w:noProof/>
        </w:rPr>
        <w:lastRenderedPageBreak/>
        <w:drawing>
          <wp:inline distT="0" distB="0" distL="0" distR="0" wp14:anchorId="4E75C9E8" wp14:editId="4484BA8C">
            <wp:extent cx="5731510" cy="6347460"/>
            <wp:effectExtent l="0" t="0" r="2540" b="0"/>
            <wp:docPr id="4" name="Picture 4" descr="A picture containing computer, indoor, keyboard, m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computer, indoor, keyboard, mous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6347460"/>
                    </a:xfrm>
                    <a:prstGeom prst="rect">
                      <a:avLst/>
                    </a:prstGeom>
                    <a:noFill/>
                    <a:ln>
                      <a:noFill/>
                    </a:ln>
                  </pic:spPr>
                </pic:pic>
              </a:graphicData>
            </a:graphic>
          </wp:inline>
        </w:drawing>
      </w:r>
    </w:p>
    <w:p w14:paraId="6C84FC10" w14:textId="312861B5" w:rsidR="00115172" w:rsidRPr="00695061" w:rsidRDefault="0017346B" w:rsidP="00CB382B">
      <w:pPr>
        <w:jc w:val="both"/>
      </w:pPr>
      <w:r w:rsidRPr="00695061">
        <w:rPr>
          <w:b/>
          <w:bCs/>
        </w:rPr>
        <w:t>Supplementary Figure 1:</w:t>
      </w:r>
      <w:r w:rsidR="0006257E" w:rsidRPr="00695061">
        <w:rPr>
          <w:b/>
          <w:bCs/>
        </w:rPr>
        <w:t xml:space="preserve"> Characterisation of TA-derived primary human fibroblasts. </w:t>
      </w:r>
      <w:r w:rsidR="0006257E" w:rsidRPr="00695061">
        <w:t xml:space="preserve">Immunocytochemical stainings of fibroblasts </w:t>
      </w:r>
      <w:r w:rsidR="00107DB6" w:rsidRPr="00695061">
        <w:t>with and without TGF-</w:t>
      </w:r>
      <w:r w:rsidR="00107DB6" w:rsidRPr="00695061">
        <w:rPr>
          <w:rFonts w:cstheme="minorHAnsi"/>
        </w:rPr>
        <w:t>β</w:t>
      </w:r>
      <w:r w:rsidR="00107DB6" w:rsidRPr="00695061">
        <w:t>1 (10ng/mL) treatment for 72h</w:t>
      </w:r>
      <w:r w:rsidR="00686999" w:rsidRPr="00695061">
        <w:t xml:space="preserve">. </w:t>
      </w:r>
      <w:r w:rsidR="00A321F9" w:rsidRPr="00695061">
        <w:t>S</w:t>
      </w:r>
      <w:r w:rsidR="00686999" w:rsidRPr="00695061">
        <w:t xml:space="preserve">taining for vimentin </w:t>
      </w:r>
      <w:r w:rsidR="00AF2FC4" w:rsidRPr="00695061">
        <w:t xml:space="preserve">(green) </w:t>
      </w:r>
      <w:r w:rsidR="00CD56D3" w:rsidRPr="00695061">
        <w:t xml:space="preserve">of </w:t>
      </w:r>
      <w:r w:rsidR="00AF2FC4" w:rsidRPr="00695061">
        <w:t xml:space="preserve">untreated </w:t>
      </w:r>
      <w:r w:rsidR="00CD56D3" w:rsidRPr="00695061">
        <w:t>(</w:t>
      </w:r>
      <w:r w:rsidR="00CD56D3" w:rsidRPr="00695061">
        <w:rPr>
          <w:b/>
          <w:bCs/>
        </w:rPr>
        <w:t>A</w:t>
      </w:r>
      <w:r w:rsidR="00CD56D3" w:rsidRPr="00695061">
        <w:t xml:space="preserve">) </w:t>
      </w:r>
      <w:r w:rsidR="00AF2FC4" w:rsidRPr="00695061">
        <w:t>and TGF-</w:t>
      </w:r>
      <w:r w:rsidR="00AF2FC4" w:rsidRPr="00695061">
        <w:rPr>
          <w:rFonts w:cstheme="minorHAnsi"/>
        </w:rPr>
        <w:t>β</w:t>
      </w:r>
      <w:r w:rsidR="00AF2FC4" w:rsidRPr="00695061">
        <w:t>1 treated</w:t>
      </w:r>
      <w:r w:rsidR="00A321F9" w:rsidRPr="00695061">
        <w:t xml:space="preserve"> (</w:t>
      </w:r>
      <w:r w:rsidR="00A321F9" w:rsidRPr="00695061">
        <w:rPr>
          <w:b/>
          <w:bCs/>
        </w:rPr>
        <w:t>B</w:t>
      </w:r>
      <w:r w:rsidR="00A321F9" w:rsidRPr="00695061">
        <w:t>) cells</w:t>
      </w:r>
      <w:r w:rsidR="00AF2FC4" w:rsidRPr="00695061">
        <w:t xml:space="preserve">. </w:t>
      </w:r>
      <w:r w:rsidR="00A321F9" w:rsidRPr="00695061">
        <w:t>S</w:t>
      </w:r>
      <w:r w:rsidR="00AF2FC4" w:rsidRPr="00695061">
        <w:t>taining for desmin</w:t>
      </w:r>
      <w:r w:rsidR="00104E77" w:rsidRPr="00695061">
        <w:t xml:space="preserve"> </w:t>
      </w:r>
      <w:r w:rsidR="00A321F9" w:rsidRPr="00695061">
        <w:t>of</w:t>
      </w:r>
      <w:r w:rsidR="00104E77" w:rsidRPr="00695061">
        <w:t xml:space="preserve"> untreated </w:t>
      </w:r>
      <w:r w:rsidR="00A321F9" w:rsidRPr="00695061">
        <w:t>(</w:t>
      </w:r>
      <w:r w:rsidR="00A321F9" w:rsidRPr="00695061">
        <w:rPr>
          <w:b/>
          <w:bCs/>
        </w:rPr>
        <w:t>C</w:t>
      </w:r>
      <w:r w:rsidR="00A321F9" w:rsidRPr="00695061">
        <w:t xml:space="preserve">) </w:t>
      </w:r>
      <w:r w:rsidR="00104E77" w:rsidRPr="00695061">
        <w:t>and TGF-</w:t>
      </w:r>
      <w:r w:rsidR="00104E77" w:rsidRPr="00695061">
        <w:rPr>
          <w:rFonts w:cstheme="minorHAnsi"/>
        </w:rPr>
        <w:t>β</w:t>
      </w:r>
      <w:r w:rsidR="00104E77" w:rsidRPr="00695061">
        <w:t>1 treated</w:t>
      </w:r>
      <w:r w:rsidR="00A321F9" w:rsidRPr="00695061">
        <w:t xml:space="preserve"> (</w:t>
      </w:r>
      <w:r w:rsidR="00A321F9" w:rsidRPr="00695061">
        <w:rPr>
          <w:b/>
          <w:bCs/>
        </w:rPr>
        <w:t>D</w:t>
      </w:r>
      <w:r w:rsidR="00A321F9" w:rsidRPr="00695061">
        <w:t>) cells</w:t>
      </w:r>
      <w:r w:rsidR="00104E77" w:rsidRPr="00695061">
        <w:t xml:space="preserve">. </w:t>
      </w:r>
      <w:r w:rsidR="00A321F9" w:rsidRPr="00695061">
        <w:t>S</w:t>
      </w:r>
      <w:r w:rsidR="00104E77" w:rsidRPr="00695061">
        <w:t xml:space="preserve">taining for </w:t>
      </w:r>
      <w:r w:rsidR="00104E77" w:rsidRPr="00695061">
        <w:rPr>
          <w:rFonts w:cstheme="minorHAnsi"/>
        </w:rPr>
        <w:t>α</w:t>
      </w:r>
      <w:r w:rsidR="00104E77" w:rsidRPr="00695061">
        <w:t xml:space="preserve">-SMA </w:t>
      </w:r>
      <w:r w:rsidR="00A321F9" w:rsidRPr="00695061">
        <w:t>of</w:t>
      </w:r>
      <w:r w:rsidR="00104E77" w:rsidRPr="00695061">
        <w:t xml:space="preserve"> untreated</w:t>
      </w:r>
      <w:r w:rsidR="00A321F9" w:rsidRPr="00695061">
        <w:t xml:space="preserve"> (</w:t>
      </w:r>
      <w:r w:rsidR="00A321F9" w:rsidRPr="00695061">
        <w:rPr>
          <w:b/>
          <w:bCs/>
        </w:rPr>
        <w:t>E</w:t>
      </w:r>
      <w:r w:rsidR="00A321F9" w:rsidRPr="00695061">
        <w:t>)</w:t>
      </w:r>
      <w:r w:rsidR="00104E77" w:rsidRPr="00695061">
        <w:t xml:space="preserve"> and TGF-</w:t>
      </w:r>
      <w:r w:rsidR="00104E77" w:rsidRPr="00695061">
        <w:rPr>
          <w:rFonts w:cstheme="minorHAnsi"/>
        </w:rPr>
        <w:t>β</w:t>
      </w:r>
      <w:r w:rsidR="00104E77" w:rsidRPr="00695061">
        <w:t>1</w:t>
      </w:r>
      <w:r w:rsidR="00A321F9" w:rsidRPr="00695061">
        <w:t xml:space="preserve"> treated (</w:t>
      </w:r>
      <w:r w:rsidR="00A321F9" w:rsidRPr="00695061">
        <w:rPr>
          <w:b/>
          <w:bCs/>
        </w:rPr>
        <w:t>F</w:t>
      </w:r>
      <w:r w:rsidR="00A321F9" w:rsidRPr="00695061">
        <w:t>) cells</w:t>
      </w:r>
      <w:r w:rsidR="00104E77" w:rsidRPr="00695061">
        <w:t xml:space="preserve">. Images taken at </w:t>
      </w:r>
      <w:r w:rsidR="0098097E" w:rsidRPr="00695061">
        <w:t>100x magnification</w:t>
      </w:r>
      <w:r w:rsidR="00EA616B" w:rsidRPr="00695061">
        <w:t xml:space="preserve"> using an Olympus IX71 fluorescent microscope and a Leica DFC3000 G camera and LASX software (Leica, Germany)</w:t>
      </w:r>
      <w:r w:rsidR="0098097E" w:rsidRPr="00695061">
        <w:t xml:space="preserve">. Nuclear staining (blue) with DAPI. Scale bars represent 50 </w:t>
      </w:r>
      <w:proofErr w:type="spellStart"/>
      <w:r w:rsidR="008C1AF7" w:rsidRPr="00695061">
        <w:rPr>
          <w:rFonts w:cstheme="minorHAnsi"/>
        </w:rPr>
        <w:t>μ</w:t>
      </w:r>
      <w:r w:rsidR="008C1AF7" w:rsidRPr="00695061">
        <w:t>m</w:t>
      </w:r>
      <w:proofErr w:type="spellEnd"/>
      <w:r w:rsidR="00EA616B" w:rsidRPr="00695061">
        <w:t xml:space="preserve">. </w:t>
      </w:r>
    </w:p>
    <w:p w14:paraId="505A874D" w14:textId="77777777" w:rsidR="00291B00" w:rsidRPr="00695061" w:rsidRDefault="00291B00" w:rsidP="00CB382B">
      <w:pPr>
        <w:jc w:val="both"/>
      </w:pPr>
    </w:p>
    <w:p w14:paraId="1627C51D" w14:textId="7E8FF9DF" w:rsidR="00CB382B" w:rsidRPr="00695061" w:rsidRDefault="00BE5F45" w:rsidP="00A10CB5">
      <w:pPr>
        <w:jc w:val="both"/>
        <w:rPr>
          <w:b/>
          <w:bCs/>
        </w:rPr>
      </w:pPr>
      <w:r w:rsidRPr="00695061">
        <w:rPr>
          <w:b/>
          <w:bCs/>
        </w:rPr>
        <w:t>References</w:t>
      </w:r>
    </w:p>
    <w:p w14:paraId="0322B572" w14:textId="00DA53AF" w:rsidR="007D7BEE" w:rsidRPr="00695061" w:rsidRDefault="00214486" w:rsidP="007D7BEE">
      <w:pPr>
        <w:widowControl w:val="0"/>
        <w:autoSpaceDE w:val="0"/>
        <w:autoSpaceDN w:val="0"/>
        <w:adjustRightInd w:val="0"/>
        <w:spacing w:line="240" w:lineRule="auto"/>
        <w:ind w:left="640" w:hanging="640"/>
        <w:rPr>
          <w:rFonts w:ascii="Calibri" w:hAnsi="Calibri" w:cs="Calibri"/>
          <w:noProof/>
          <w:szCs w:val="24"/>
        </w:rPr>
      </w:pPr>
      <w:r w:rsidRPr="00695061">
        <w:fldChar w:fldCharType="begin" w:fldLock="1"/>
      </w:r>
      <w:r w:rsidRPr="00695061">
        <w:instrText xml:space="preserve">ADDIN Mendeley Bibliography CSL_BIBLIOGRAPHY </w:instrText>
      </w:r>
      <w:r w:rsidRPr="00695061">
        <w:fldChar w:fldCharType="separate"/>
      </w:r>
      <w:r w:rsidR="007D7BEE" w:rsidRPr="00695061">
        <w:rPr>
          <w:rFonts w:ascii="Calibri" w:hAnsi="Calibri" w:cs="Calibri"/>
          <w:noProof/>
          <w:szCs w:val="24"/>
        </w:rPr>
        <w:t>[1]</w:t>
      </w:r>
      <w:r w:rsidR="007D7BEE" w:rsidRPr="00695061">
        <w:rPr>
          <w:rFonts w:ascii="Calibri" w:hAnsi="Calibri" w:cs="Calibri"/>
          <w:noProof/>
          <w:szCs w:val="24"/>
        </w:rPr>
        <w:tab/>
        <w:t>Mulhall JP, Schiff J, Guhring P. An Analysis of the Natural History of Peyronie’s Disease. J Urol 2006;175:2115–8. doi:10.1016/S0022-5347(06)00270-9.</w:t>
      </w:r>
    </w:p>
    <w:p w14:paraId="65979A99"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lastRenderedPageBreak/>
        <w:t>[2]</w:t>
      </w:r>
      <w:r w:rsidRPr="00695061">
        <w:rPr>
          <w:rFonts w:ascii="Calibri" w:hAnsi="Calibri" w:cs="Calibri"/>
          <w:noProof/>
          <w:szCs w:val="24"/>
        </w:rPr>
        <w:tab/>
        <w:t>Hussein AA, Alwaal A, Lue TF. ScienceDirect All about Peyronie ’ s disease. Asian J Urol 2015;2:70–8. doi:10.1016/j.ajur.2015.04.019.</w:t>
      </w:r>
    </w:p>
    <w:p w14:paraId="0412C4A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w:t>
      </w:r>
      <w:r w:rsidRPr="00695061">
        <w:rPr>
          <w:rFonts w:ascii="Calibri" w:hAnsi="Calibri" w:cs="Calibri"/>
          <w:noProof/>
          <w:szCs w:val="24"/>
        </w:rPr>
        <w:tab/>
        <w:t>Tsambarlis P, Levine LA. Nonsurgical Management of Peyronie’s Disease. Nat Rev Ur 2018;4.</w:t>
      </w:r>
    </w:p>
    <w:p w14:paraId="5F0F7982"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w:t>
      </w:r>
      <w:r w:rsidRPr="00695061">
        <w:rPr>
          <w:rFonts w:ascii="Calibri" w:hAnsi="Calibri" w:cs="Calibri"/>
          <w:noProof/>
          <w:szCs w:val="24"/>
        </w:rPr>
        <w:tab/>
        <w:t>Cocci A, Russo GI, Martinez-Salamanca JI, Ralph D, Djinovic R, Şerefoğlu EC, et al. Is there a line between ethics and market competition? Lights and shades of the withdrawal of collagenase treatment for Peyronie’s disease. Int J Impot Res 2021. doi:10.1038/s41443-021-00469-w.</w:t>
      </w:r>
    </w:p>
    <w:p w14:paraId="6FB5629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w:t>
      </w:r>
      <w:r w:rsidRPr="00695061">
        <w:rPr>
          <w:rFonts w:ascii="Calibri" w:hAnsi="Calibri" w:cs="Calibri"/>
          <w:noProof/>
          <w:szCs w:val="24"/>
        </w:rPr>
        <w:tab/>
        <w:t>Ziegelmann M, Savage J, Toussi A, Alom M, Yang D, Kohler T, et al. Outcomes of a novel penile traction device in men with peyronie’s disease: A randomized, single-blind, controlled trial. J Urol 2019;202:599–609. doi:10.1097/JU.0000000000000245.</w:t>
      </w:r>
    </w:p>
    <w:p w14:paraId="1C933590"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w:t>
      </w:r>
      <w:r w:rsidRPr="00695061">
        <w:rPr>
          <w:rFonts w:ascii="Calibri" w:hAnsi="Calibri" w:cs="Calibri"/>
          <w:noProof/>
          <w:szCs w:val="24"/>
        </w:rPr>
        <w:tab/>
        <w:t>Devine CJJ, Somers KD, Jordan GH, Schlossberg SM. Proposal: Trauma as the Cause of the Peyronie’s Lesion. J Urol 1997;157:285–90. doi:10.1016/S0022-5347(01)65361-8.</w:t>
      </w:r>
    </w:p>
    <w:p w14:paraId="567A838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[7]</w:t>
      </w:r>
      <w:r w:rsidRPr="00695061">
        <w:rPr>
          <w:rFonts w:ascii="Calibri" w:hAnsi="Calibri" w:cs="Calibri"/>
          <w:noProof/>
          <w:szCs w:val="24"/>
        </w:rPr>
        <w:tab/>
        <w:t>Lue TF. Peyronie’s disease: An anatomically-based hypothesis and beyond. Int J Impot Res 2002;14:411–3. doi:10.1038/sj.ijir.3900876.</w:t>
      </w:r>
    </w:p>
    <w:p w14:paraId="3515481C"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[8]</w:t>
      </w:r>
      <w:r w:rsidRPr="00695061">
        <w:rPr>
          <w:rFonts w:ascii="Calibri" w:hAnsi="Calibri" w:cs="Calibri"/>
          <w:noProof/>
          <w:szCs w:val="24"/>
        </w:rPr>
        <w:tab/>
        <w:t>Herati AS, Pastuszak AW. The Genetic Basis of Peyronie Disease: A Review. Sex Med Rev 2016;4:85–94. doi:https://doi.org/10.1016/j.sxmr.2015.10.002.</w:t>
      </w:r>
    </w:p>
    <w:p w14:paraId="0C7C2122"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[9]</w:t>
      </w:r>
      <w:r w:rsidRPr="00695061">
        <w:rPr>
          <w:rFonts w:ascii="Calibri" w:hAnsi="Calibri" w:cs="Calibri"/>
          <w:noProof/>
          <w:szCs w:val="24"/>
        </w:rPr>
        <w:tab/>
        <w:t>Milenkovic U, Ilg MM, Cellek S, Albersen M. Pathophysiology and Future Therapeutic Perspectives for Resolving Fibrosis in Peyronie’s Disease. Sex Med Rev 2019;7:679–89. doi:10.1016/j.sxmr.2019.02.004.</w:t>
      </w:r>
    </w:p>
    <w:p w14:paraId="110FC95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[10]</w:t>
      </w:r>
      <w:r w:rsidRPr="00695061">
        <w:rPr>
          <w:rFonts w:ascii="Calibri" w:hAnsi="Calibri" w:cs="Calibri"/>
          <w:noProof/>
          <w:szCs w:val="24"/>
        </w:rPr>
        <w:tab/>
        <w:t>Leask A, Abraham DJ. TGF-ß signaling and the fibrotic response. FASEB J 2004;18:816–27. doi:10.1096/fj.03-1273rev.</w:t>
      </w:r>
    </w:p>
    <w:p w14:paraId="25AC5DC9"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[11]</w:t>
      </w:r>
      <w:r w:rsidRPr="00695061">
        <w:rPr>
          <w:rFonts w:ascii="Calibri" w:hAnsi="Calibri" w:cs="Calibri"/>
          <w:noProof/>
          <w:szCs w:val="24"/>
        </w:rPr>
        <w:tab/>
        <w:t>Biernacka A, Dobaczewski M, Frangogiannis NG. TGF-β signaling in fibrosis. Growth Factors 2011;29:196–202. doi:10.3109/08977194.2011.595714.</w:t>
      </w:r>
    </w:p>
    <w:p w14:paraId="6096A48F"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[12]</w:t>
      </w:r>
      <w:r w:rsidRPr="00695061">
        <w:rPr>
          <w:rFonts w:ascii="Calibri" w:hAnsi="Calibri" w:cs="Calibri"/>
          <w:noProof/>
          <w:szCs w:val="24"/>
        </w:rPr>
        <w:tab/>
        <w:t>Jalkut M, Gonzalez-Cadavid N, Rajfer J. New discoveries in the basic science understanding of Peyronie’s disease. Curr Urol Rep 2004. doi:10.1007/s11934-004-0074-y.</w:t>
      </w:r>
    </w:p>
    <w:p w14:paraId="0E33F92A"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[13]</w:t>
      </w:r>
      <w:r w:rsidRPr="00695061">
        <w:rPr>
          <w:rFonts w:ascii="Calibri" w:hAnsi="Calibri" w:cs="Calibri"/>
          <w:noProof/>
          <w:szCs w:val="24"/>
        </w:rPr>
        <w:tab/>
        <w:t>Gelfand RA, Vernet D, Kovanecz I, Rajfer J, Gonzalez-Cadavid NF. The Transcriptional Signatures of Cells from the Human Peyronie’s Disease Plaque and the Ability of These Cells to Generate a Plaque in a Rat Model Suggest Potential Therapeutic Targets. J Sex Med 2015;12:313–27. doi:10.1111/jsm.12760.</w:t>
      </w:r>
    </w:p>
    <w:p w14:paraId="7AEA735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[14]</w:t>
      </w:r>
      <w:r w:rsidRPr="00695061">
        <w:rPr>
          <w:rFonts w:ascii="Calibri" w:hAnsi="Calibri" w:cs="Calibri"/>
          <w:noProof/>
          <w:szCs w:val="24"/>
        </w:rPr>
        <w:tab/>
        <w:t>Pakshir P, Hinz B. The big five in fibrosis: Macrophages, myofibroblasts, matrix, mechanics, and miscommunication. Matrix Biol 2018;68–69:81–93. doi:10.1016/j.matbio.2018.01.019.</w:t>
      </w:r>
    </w:p>
    <w:p w14:paraId="0F58659E"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[15]</w:t>
      </w:r>
      <w:r w:rsidRPr="00695061">
        <w:rPr>
          <w:rFonts w:ascii="Calibri" w:hAnsi="Calibri" w:cs="Calibri"/>
          <w:noProof/>
          <w:szCs w:val="24"/>
        </w:rPr>
        <w:tab/>
        <w:t>Bollong MJ, Yang B, Vergani N, Beyer BA, Chin EN, Zambaldo C, et al. Small molecule-mediated inhibition of myofibroblast transdifferentiation for the treatment of fibrosis. Proc Natl Acad Sci U S A 2017;114:4679–84. doi:10.1073/pnas.1702750114.</w:t>
      </w:r>
    </w:p>
    <w:p w14:paraId="4D3F261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[16]</w:t>
      </w:r>
      <w:r w:rsidRPr="00695061">
        <w:rPr>
          <w:rFonts w:ascii="Calibri" w:hAnsi="Calibri" w:cs="Calibri"/>
          <w:noProof/>
          <w:szCs w:val="24"/>
        </w:rPr>
        <w:tab/>
        <w:t>Ilg MM, Mateus M, Stebbeds WJ, Milenkovic U, Christopher N, Muneer A, et al. Antifibrotic Synergy Between Phosphodiesterase Type 5 Inhibitors and Selective Oestrogen Receptor Modulators in Peyronie’s Disease Models. Eur Urol 2019;75:329–40. doi:10.1016/j.eururo.2018.10.014.</w:t>
      </w:r>
    </w:p>
    <w:p w14:paraId="0AA5AD22"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[17]</w:t>
      </w:r>
      <w:r w:rsidRPr="00695061">
        <w:rPr>
          <w:rFonts w:ascii="Calibri" w:hAnsi="Calibri" w:cs="Calibri"/>
          <w:noProof/>
          <w:szCs w:val="24"/>
        </w:rPr>
        <w:tab/>
        <w:t>Matthew Megson, Christopher Merrett, Marcus Ilg, Selim Cellek, David Ralph. Can tamoxifen and a PDE5 inhibitor slow the progression of Peyronie’s disease? Present Eur Soc Sex Med Annu Congr 17-19 Febr 2022 Abstr to Be Publ J Sex Med  n.d.</w:t>
      </w:r>
    </w:p>
    <w:p w14:paraId="10EFA43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[18]</w:t>
      </w:r>
      <w:r w:rsidRPr="00695061">
        <w:rPr>
          <w:rFonts w:ascii="Calibri" w:hAnsi="Calibri" w:cs="Calibri"/>
          <w:noProof/>
          <w:szCs w:val="24"/>
        </w:rPr>
        <w:tab/>
        <w:t xml:space="preserve">Milenkovic U, Ilg MM, Zuccato C, Ramazani Y, De Ridder D, Albersen M. Simvastatin and the </w:t>
      </w:r>
      <w:r w:rsidRPr="00695061">
        <w:rPr>
          <w:rFonts w:ascii="Calibri" w:hAnsi="Calibri" w:cs="Calibri"/>
          <w:noProof/>
          <w:szCs w:val="24"/>
        </w:rPr>
        <w:lastRenderedPageBreak/>
        <w:t>Rho-kinase inhibitor Y-27632 prevent myofibroblast transformation in Peyronie’s disease-derived fibroblasts via inhibition of YAP/TAZ nuclear translocation. BJU Int 2019;123:703–15. doi:10.1111/bju.14638.</w:t>
      </w:r>
    </w:p>
    <w:p w14:paraId="547C2BB9"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[19]</w:t>
      </w:r>
      <w:r w:rsidRPr="00695061">
        <w:rPr>
          <w:rFonts w:ascii="Calibri" w:hAnsi="Calibri" w:cs="Calibri"/>
          <w:noProof/>
          <w:szCs w:val="24"/>
        </w:rPr>
        <w:tab/>
        <w:t>Hu PJ, Wu MY, Lin TC, Chen TT, Wu YC, Su SL, et al. Effect of Statins on Renal Function in Chronic Kidney Disease Patients. Sci Rep 2018;8. doi:10.1038/s41598-018-34632-z.</w:t>
      </w:r>
    </w:p>
    <w:p w14:paraId="3AA62C34"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[20]</w:t>
      </w:r>
      <w:r w:rsidRPr="00695061">
        <w:rPr>
          <w:rFonts w:ascii="Calibri" w:hAnsi="Calibri" w:cs="Calibri"/>
          <w:noProof/>
          <w:szCs w:val="24"/>
        </w:rPr>
        <w:tab/>
        <w:t>Kou L, Kou P, Luo G, Wei S. Progress of Statin Therapy in the Treatment of Idiopathic Pulmonary Fibrosis. Oxid Med Cell Longev 2022;2022. doi:10.1155/2022/6197219.</w:t>
      </w:r>
    </w:p>
    <w:p w14:paraId="13FA921F"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[21]</w:t>
      </w:r>
      <w:r w:rsidRPr="00695061">
        <w:rPr>
          <w:rFonts w:ascii="Calibri" w:hAnsi="Calibri" w:cs="Calibri"/>
          <w:noProof/>
          <w:szCs w:val="24"/>
        </w:rPr>
        <w:tab/>
        <w:t>Scott FI, Vajravelu RK, Mamtani R, Bianchina N, Mahmoud N, Hou JK, et al. Association between Statin Use at the Time of Intra-abdominal Surgery and Postoperative Adhesion-Related Complications and Small-Bowel Obstruction. JAMA Netw Open 2021;4. doi:10.1001/jamanetworkopen.2020.36315.</w:t>
      </w:r>
    </w:p>
    <w:p w14:paraId="0EC470D4"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[22]</w:t>
      </w:r>
      <w:r w:rsidRPr="00695061">
        <w:rPr>
          <w:rFonts w:ascii="Calibri" w:hAnsi="Calibri" w:cs="Calibri"/>
          <w:noProof/>
          <w:szCs w:val="24"/>
        </w:rPr>
        <w:tab/>
        <w:t>Mateus M, Ilg MM, Stebbeds WJ, Christopher N, Muneer A, Ralph DJ, et al. Understanding the Role of Adenosine Receptors in the Myofibroblast Transformation in Peyronie’s Disease. J Sex Med 2018;15:947–57. doi:10.1016/j.jsxm.2018.05.003.</w:t>
      </w:r>
    </w:p>
    <w:p w14:paraId="21292605"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[23]</w:t>
      </w:r>
      <w:r w:rsidRPr="00695061">
        <w:rPr>
          <w:rFonts w:ascii="Calibri" w:hAnsi="Calibri" w:cs="Calibri"/>
          <w:noProof/>
          <w:szCs w:val="24"/>
        </w:rPr>
        <w:tab/>
        <w:t>Ilg MM, Stafford SJ, Mateus M, Bustin SA, Carpenter MJ, Muneer A, et al. Phosphodiesterase Type 5 Inhibitors and Selective Estrogen Receptor Modulators Can Prevent But Not Reverse Myofibroblast Transformation in Peyronie’s Disease. J Sex Med 2020;17:1848–64. doi:10.1016/j.jsxm.2020.06.022.</w:t>
      </w:r>
    </w:p>
    <w:p w14:paraId="42A45FB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[24]</w:t>
      </w:r>
      <w:r w:rsidRPr="00695061">
        <w:rPr>
          <w:rFonts w:ascii="Calibri" w:hAnsi="Calibri" w:cs="Calibri"/>
          <w:noProof/>
          <w:szCs w:val="24"/>
        </w:rPr>
        <w:tab/>
        <w:t>Meyer CT, Wooten DJ, Paudel BB, Bauer J, Hardeman KN, Westover D, et al. Quantifying Drug Combination Synergy along Potency and Efficacy Axes. Cell Syst 2019;8:97-108.e16. doi:10.1016/j.cels.2019.01.003.</w:t>
      </w:r>
    </w:p>
    <w:p w14:paraId="36F8B76A"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[25]</w:t>
      </w:r>
      <w:r w:rsidRPr="00695061">
        <w:rPr>
          <w:rFonts w:ascii="Calibri" w:hAnsi="Calibri" w:cs="Calibri"/>
          <w:noProof/>
          <w:szCs w:val="24"/>
        </w:rPr>
        <w:tab/>
        <w:t>Ilg MM, Lapthorn AR, Ralph DJ, Cellek S. Phenotypic screening of 1,953 FDA-approved drugs reveals 26 hits with potential for repurposing for Peyronie’s disease. PLoS One 2022;17:e0277646.</w:t>
      </w:r>
    </w:p>
    <w:p w14:paraId="7EA11F5E"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[26]</w:t>
      </w:r>
      <w:r w:rsidRPr="00695061">
        <w:rPr>
          <w:rFonts w:ascii="Calibri" w:hAnsi="Calibri" w:cs="Calibri"/>
          <w:noProof/>
          <w:szCs w:val="24"/>
        </w:rPr>
        <w:tab/>
        <w:t>Haydont V, Bourgier C, Pocard M, Lusinchi A, Aigueperse J, Mathé D, et al. Pravastatin inhibits the Rho/CCN2/extracellular matrix cascade in human fibrosis explants and improves radiation-induced intestinal fibrosis in rats. Clin Cancer Res 2007;13:5331–40. doi:10.1158/1078-0432.CCR-07-0625.</w:t>
      </w:r>
    </w:p>
    <w:p w14:paraId="063D4C64"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[27]</w:t>
      </w:r>
      <w:r w:rsidRPr="00695061">
        <w:rPr>
          <w:rFonts w:ascii="Calibri" w:hAnsi="Calibri" w:cs="Calibri"/>
          <w:noProof/>
          <w:szCs w:val="24"/>
        </w:rPr>
        <w:tab/>
        <w:t>Chade AR, Zhu XY, Grande JP, Krier JD, Lerman A, Lerman LO. Simvastatin abates development of renal fibrosis in experimental renovascular disease. J Hypertens 2008;26.</w:t>
      </w:r>
    </w:p>
    <w:p w14:paraId="78A859E3"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[28]</w:t>
      </w:r>
      <w:r w:rsidRPr="00695061">
        <w:rPr>
          <w:rFonts w:ascii="Calibri" w:hAnsi="Calibri" w:cs="Calibri"/>
          <w:noProof/>
          <w:szCs w:val="24"/>
        </w:rPr>
        <w:tab/>
        <w:t>Sun F, Duan W, Zhang Y, Zhang L, Qile M, Liu Z, et al. Simvastatin alleviates cardiac fibrosis induced by infarction via up-regulation of TGF-β receptor III expression. Br J Pharmacol 2015;172:3779–92. doi:10.1111/bph.13166.</w:t>
      </w:r>
    </w:p>
    <w:p w14:paraId="6D8D573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[29]</w:t>
      </w:r>
      <w:r w:rsidRPr="00695061">
        <w:rPr>
          <w:rFonts w:ascii="Calibri" w:hAnsi="Calibri" w:cs="Calibri"/>
          <w:noProof/>
          <w:szCs w:val="24"/>
        </w:rPr>
        <w:tab/>
        <w:t>Yamamoto C, Fukuda N, Jumabay M, Saito K, Matsumoto T, Ueno T, et al. Protective effects of statin on cardiac fibrosis and apoptosis in adrenomedullin-knockout mice treated with angiotensin II and high salt loading. Hypertens Res 2011;34:348–53. doi:10.1038/hr.2010.243.</w:t>
      </w:r>
    </w:p>
    <w:p w14:paraId="6256EB35"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[30]</w:t>
      </w:r>
      <w:r w:rsidRPr="00695061">
        <w:rPr>
          <w:rFonts w:ascii="Calibri" w:hAnsi="Calibri" w:cs="Calibri"/>
          <w:noProof/>
          <w:szCs w:val="24"/>
        </w:rPr>
        <w:tab/>
        <w:t>Santos DM, Pantano L, Pronzati G, Grasberger P, Probst CK, Black KE, et al. Screening for YAP inhibitors identifies statins as modulators of fibrosis. Am J Respir Cell Mol Biol 2020;62:479–92. doi:10.1165/rcmb.2019-0296OC.</w:t>
      </w:r>
    </w:p>
    <w:p w14:paraId="3B8A4C8F"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[31]</w:t>
      </w:r>
      <w:r w:rsidRPr="00695061">
        <w:rPr>
          <w:rFonts w:ascii="Calibri" w:hAnsi="Calibri" w:cs="Calibri"/>
          <w:noProof/>
          <w:szCs w:val="24"/>
        </w:rPr>
        <w:tab/>
        <w:t>Wang QM, Wei Y, Zheng Y, Waeber C. Efficacy of combined atorvastatin and sildenafil in promoting recovery after ischemic stroke in mice. Am J Phys Med Rehabil 2013;92:143–50. doi:10.1097/PHM.0b013e3182643f1a.</w:t>
      </w:r>
    </w:p>
    <w:p w14:paraId="43A7F0E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lastRenderedPageBreak/>
        <w:t>[32]</w:t>
      </w:r>
      <w:r w:rsidRPr="00695061">
        <w:rPr>
          <w:rFonts w:ascii="Calibri" w:hAnsi="Calibri" w:cs="Calibri"/>
          <w:noProof/>
          <w:szCs w:val="24"/>
        </w:rPr>
        <w:tab/>
        <w:t>Zhao L, Sebkhi A, Ali O, Wojciak-Stothard B, Mamanova L, Yang Q, et al. Simvastatin and sildenafil combine to attenuate pulmonary hypertension. Eur Respir J 2009;34:948–57. doi:10.1183/09031936.00143508.</w:t>
      </w:r>
    </w:p>
    <w:p w14:paraId="1CD1976D"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[33]</w:t>
      </w:r>
      <w:r w:rsidRPr="00695061">
        <w:rPr>
          <w:rFonts w:ascii="Calibri" w:hAnsi="Calibri" w:cs="Calibri"/>
          <w:noProof/>
          <w:szCs w:val="24"/>
        </w:rPr>
        <w:tab/>
        <w:t>La Vignera S, Condorelli RA, Vicari E, Calogero AE. Statins and erectile dysfunction: A critical summary of current evidence. J Androl 2012;33:552–8. doi:10.2164/jandrol.111.015230.</w:t>
      </w:r>
    </w:p>
    <w:p w14:paraId="2FAAEB58"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[34]</w:t>
      </w:r>
      <w:r w:rsidRPr="00695061">
        <w:rPr>
          <w:rFonts w:ascii="Calibri" w:hAnsi="Calibri" w:cs="Calibri"/>
          <w:noProof/>
          <w:szCs w:val="24"/>
        </w:rPr>
        <w:tab/>
        <w:t>Ralph DJ, Brooks MD, Bottazoo GF, Pryor JP. The Treatment of Peyronie’s Disease with Tamoxifen. Br J Urol 1992:648–51.</w:t>
      </w:r>
    </w:p>
    <w:p w14:paraId="4B13520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[35]</w:t>
      </w:r>
      <w:r w:rsidRPr="00695061">
        <w:rPr>
          <w:rFonts w:ascii="Calibri" w:hAnsi="Calibri" w:cs="Calibri"/>
          <w:noProof/>
          <w:szCs w:val="24"/>
        </w:rPr>
        <w:tab/>
        <w:t>Teloken C, Rhoden EL, Grazziotin TM, Teodósio Da Ros C, Sogari PR, Souto CAV. Tamoxifen versus placebo in the treatment of Peyronie’s disease. J Urol 1999. doi:10.1016/S0022-5347(05)68087-1.</w:t>
      </w:r>
    </w:p>
    <w:p w14:paraId="3F3EC630"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[36]</w:t>
      </w:r>
      <w:r w:rsidRPr="00695061">
        <w:rPr>
          <w:rFonts w:ascii="Calibri" w:hAnsi="Calibri" w:cs="Calibri"/>
          <w:noProof/>
          <w:szCs w:val="24"/>
        </w:rPr>
        <w:tab/>
        <w:t>Biagiotti G, Cavallini G. Acetyl-L-carnitine vs tamoxifen in the oral therapy of Peyronie’s disease: A preliminary report. BJU Int 2001;88:63–7. doi:10.1046/j.1464-410X.2001.02241.x.</w:t>
      </w:r>
    </w:p>
    <w:p w14:paraId="6645EBA3"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[37]</w:t>
      </w:r>
      <w:r w:rsidRPr="00695061">
        <w:rPr>
          <w:rFonts w:ascii="Calibri" w:hAnsi="Calibri" w:cs="Calibri"/>
          <w:noProof/>
          <w:szCs w:val="24"/>
        </w:rPr>
        <w:tab/>
        <w:t>Ibrahim AB, Zaki HF, Ibrahim WW, Omran MM, Shouman SA. Evaluation of tamoxifen and simvastatin as the combination therapy for the treatment of hormonal dependent breast cancer cells. Toxicol Reports 2019;6:1114–26. doi:10.1016/j.toxrep.2019.10.016.</w:t>
      </w:r>
    </w:p>
    <w:p w14:paraId="236DC20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[38]</w:t>
      </w:r>
      <w:r w:rsidRPr="00695061">
        <w:rPr>
          <w:rFonts w:ascii="Calibri" w:hAnsi="Calibri" w:cs="Calibri"/>
          <w:noProof/>
          <w:szCs w:val="24"/>
        </w:rPr>
        <w:tab/>
        <w:t>Ibrahim AB, Zaki HF, Wadie W, Omran MM, Shouman SA. Simvastatin evokes an unpredicted antagonism for tamoxifen in MCF-7 breast cancer cells. Cancer Manag Res 2019;11:10011–28. doi:10.2147/CMAR.S218668.</w:t>
      </w:r>
    </w:p>
    <w:p w14:paraId="44B86885"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[39]</w:t>
      </w:r>
      <w:r w:rsidRPr="00695061">
        <w:rPr>
          <w:rFonts w:ascii="Calibri" w:hAnsi="Calibri" w:cs="Calibri"/>
          <w:noProof/>
          <w:szCs w:val="24"/>
        </w:rPr>
        <w:tab/>
        <w:t>Li X, Song QS, Wang JY, Leng HJ, Chen ZQ, Liu ZJ, et al. Simvastatin induces estrogen receptor-alpha expression in bone, restores bone loss, and decreases ERα expression and uterine wet weight in ovariectomized rats. J Bone Miner Metab 2011;29:396–403. doi:10.1007/s00774-010-0231-y.</w:t>
      </w:r>
    </w:p>
    <w:p w14:paraId="718E8D15"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[40]</w:t>
      </w:r>
      <w:r w:rsidRPr="00695061">
        <w:rPr>
          <w:rFonts w:ascii="Calibri" w:hAnsi="Calibri" w:cs="Calibri"/>
          <w:noProof/>
          <w:szCs w:val="24"/>
        </w:rPr>
        <w:tab/>
        <w:t>Sun W, Sanderson PE, Zheng W. Drug combination therapy increases successful drug repositioning. Drug Discov Today 2016;21:1189–95. doi:10.1016/j.drudis.2016.05.015.</w:t>
      </w:r>
    </w:p>
    <w:p w14:paraId="04C74582"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[41]</w:t>
      </w:r>
      <w:r w:rsidRPr="00695061">
        <w:rPr>
          <w:rFonts w:ascii="Calibri" w:hAnsi="Calibri" w:cs="Calibri"/>
          <w:noProof/>
          <w:szCs w:val="24"/>
        </w:rPr>
        <w:tab/>
        <w:t>Rastelli G, Pinzi L. Computational polypharmacology comes of age. Front Pharmacol 2015;6. doi:10.3389/fphar.2015.00157.</w:t>
      </w:r>
    </w:p>
    <w:p w14:paraId="6BC24ED6"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[42]</w:t>
      </w:r>
      <w:r w:rsidRPr="00695061">
        <w:rPr>
          <w:rFonts w:ascii="Calibri" w:hAnsi="Calibri" w:cs="Calibri"/>
          <w:noProof/>
          <w:szCs w:val="24"/>
        </w:rPr>
        <w:tab/>
        <w:t>Wei YH, Liao SL, Wang SH, Wang CC, Yang CH. Simvastatin and ROCK Inhibitor Y-27632 Inhibit Myofibroblast Differentiation of Graves’ Ophthalmopathy-Derived Orbital Fibroblasts via RhoA-Mediated ERK and p38 Signaling Pathways. Front Endocrinol (Lausanne) 2021;11. doi:10.3389/fendo.2020.607968.</w:t>
      </w:r>
    </w:p>
    <w:p w14:paraId="185753F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[43]</w:t>
      </w:r>
      <w:r w:rsidRPr="00695061">
        <w:rPr>
          <w:rFonts w:ascii="Calibri" w:hAnsi="Calibri" w:cs="Calibri"/>
          <w:noProof/>
          <w:szCs w:val="24"/>
        </w:rPr>
        <w:tab/>
        <w:t>Meyer-ter-Vehn T, Katzenberger B, Han H, Grehn F, Schlunck G. Lovastatin inhibits TGF-β-induced myofibroblast transdifferentiation in human tenon fibroblasts. Investig Ophthalmol Vis Sci 2008;49:3955–60. doi:10.1167/iovs.07-1610.</w:t>
      </w:r>
    </w:p>
    <w:p w14:paraId="693C031D"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[44]</w:t>
      </w:r>
      <w:r w:rsidRPr="00695061">
        <w:rPr>
          <w:rFonts w:ascii="Calibri" w:hAnsi="Calibri" w:cs="Calibri"/>
          <w:noProof/>
          <w:szCs w:val="24"/>
        </w:rPr>
        <w:tab/>
        <w:t>Watts KL, Sampson EM, Schultz GS, Spiteri MA. Simvastatin inhibits growth factor expression and modulates profibrogenic markers in lung fibroblasts. Am J Respir Cell Mol Biol 2005;32:290–300. doi:10.1165/rcmb.2004-0127OC.</w:t>
      </w:r>
    </w:p>
    <w:p w14:paraId="3E506313"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[45]</w:t>
      </w:r>
      <w:r w:rsidRPr="00695061">
        <w:rPr>
          <w:rFonts w:ascii="Calibri" w:hAnsi="Calibri" w:cs="Calibri"/>
          <w:noProof/>
          <w:szCs w:val="24"/>
        </w:rPr>
        <w:tab/>
        <w:t>Lapthorn AR, Ilg MM, Sullivan JV, Dziewulski P, Cellek S. Phenotypic screening identifies hydroxypyridone anti-fungals as novel medicines for the prevention of hypertrophic scars. Eur J Pharmacol 2022;937. doi:10.1016/j.ejphar.2022.175374.</w:t>
      </w:r>
    </w:p>
    <w:p w14:paraId="2CF5AD3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[46]</w:t>
      </w:r>
      <w:r w:rsidRPr="00695061">
        <w:rPr>
          <w:rFonts w:ascii="Calibri" w:hAnsi="Calibri" w:cs="Calibri"/>
          <w:noProof/>
          <w:szCs w:val="24"/>
        </w:rPr>
        <w:tab/>
        <w:t>Meng X, Nikolic-Paterson DJ, Lan HY. TGF-β: the master regulator of fibrosis. Nat Rev Nephrol 2016;12:325–38. doi:10.1038/nrneph.2016.48.</w:t>
      </w:r>
    </w:p>
    <w:p w14:paraId="6801E9BF"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[47]</w:t>
      </w:r>
      <w:r w:rsidRPr="00695061">
        <w:rPr>
          <w:rFonts w:ascii="Calibri" w:hAnsi="Calibri" w:cs="Calibri"/>
          <w:noProof/>
          <w:szCs w:val="24"/>
        </w:rPr>
        <w:tab/>
        <w:t xml:space="preserve">El-Sakka AI, Hassoba HM, Pillarisetty RJ, Dahiya R, Lue TF. PEYRONIE’S DISEASE IS ASSOCIATED WITH AN INCREASE IN TRANSFORMING GROWTH FACTOR-beta PROTEIN EXPRESSION. J Urol </w:t>
      </w:r>
      <w:r w:rsidRPr="00695061">
        <w:rPr>
          <w:rFonts w:ascii="Calibri" w:hAnsi="Calibri" w:cs="Calibri"/>
          <w:noProof/>
          <w:szCs w:val="24"/>
        </w:rPr>
        <w:lastRenderedPageBreak/>
        <w:t>1997;158:1391–4. doi:https://doi.org/10.1016/S0022-5347(01)64223-X.</w:t>
      </w:r>
    </w:p>
    <w:p w14:paraId="2C71200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[48]</w:t>
      </w:r>
      <w:r w:rsidRPr="00695061">
        <w:rPr>
          <w:rFonts w:ascii="Calibri" w:hAnsi="Calibri" w:cs="Calibri"/>
          <w:noProof/>
          <w:szCs w:val="24"/>
        </w:rPr>
        <w:tab/>
        <w:t>Paulis G, Romano G, Paulis L, Barletta D. Recent Pathophysiological Aspects of Peyronie’s Disease: Role of Free Radicals, Rationale, and Therapeutic Implications for Antioxidant Treatment - Literature Review. Adv Urol 2017;2017. doi:10.1155/2017/4653512.</w:t>
      </w:r>
    </w:p>
    <w:p w14:paraId="0AE665A4"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[49]</w:t>
      </w:r>
      <w:r w:rsidRPr="00695061">
        <w:rPr>
          <w:rFonts w:ascii="Calibri" w:hAnsi="Calibri" w:cs="Calibri"/>
          <w:noProof/>
          <w:szCs w:val="24"/>
        </w:rPr>
        <w:tab/>
        <w:t>Dendooven A, Gerritsen KG, Nguyen TQ, Kok RJ, Goldschmeding R. Connective tissue growth factor (CTGF/CCN2) ELISA: a novel tool for monitoring fibrosis. Biomarkers 2011;16:289–301. doi:10.3109/1354750X.2011.561366.</w:t>
      </w:r>
    </w:p>
    <w:p w14:paraId="43D607CA"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[50]</w:t>
      </w:r>
      <w:r w:rsidRPr="00695061">
        <w:rPr>
          <w:rFonts w:ascii="Calibri" w:hAnsi="Calibri" w:cs="Calibri"/>
          <w:noProof/>
          <w:szCs w:val="24"/>
        </w:rPr>
        <w:tab/>
        <w:t>Leask A. Potential Therapeutic Targets for Cardiac Fibrosis. Circ Res 2009;105:47–57. doi:10.1161/CIRCRESAHA.110.217737.</w:t>
      </w:r>
    </w:p>
    <w:p w14:paraId="04F5A79A"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[51]</w:t>
      </w:r>
      <w:r w:rsidRPr="00695061">
        <w:rPr>
          <w:rFonts w:ascii="Calibri" w:hAnsi="Calibri" w:cs="Calibri"/>
          <w:noProof/>
          <w:szCs w:val="24"/>
        </w:rPr>
        <w:tab/>
        <w:t>Brigstock DR. Connective tissue growth factor (CCN2, CTGF) and organ fibrosis: lessons from transgenic animals. J Cell Commun Signal 2010;4:1–4. doi:10.1007/s12079-009-0071-5.</w:t>
      </w:r>
    </w:p>
    <w:p w14:paraId="5F2B82E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[52]</w:t>
      </w:r>
      <w:r w:rsidRPr="00695061">
        <w:rPr>
          <w:rFonts w:ascii="Calibri" w:hAnsi="Calibri" w:cs="Calibri"/>
          <w:noProof/>
          <w:szCs w:val="24"/>
        </w:rPr>
        <w:tab/>
        <w:t>Shi-Wen X, Leask A, Abraham D. Regulation and function of connective tissue growth factor/CCN2 in tissue repair, scarring and fibrosis. Cytokine Growth Factor Rev 2008;19:133–44. doi:10.1016/J.CYTOGFR.2008.01.002.</w:t>
      </w:r>
    </w:p>
    <w:p w14:paraId="2349CE75"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[53]</w:t>
      </w:r>
      <w:r w:rsidRPr="00695061">
        <w:rPr>
          <w:rFonts w:ascii="Calibri" w:hAnsi="Calibri" w:cs="Calibri"/>
          <w:noProof/>
          <w:szCs w:val="24"/>
        </w:rPr>
        <w:tab/>
        <w:t>Lin CS, Lin G, Wang Z, Maddah SA, Lue TF. Upregulation of monocyte chemoattractant protein 1 and effects of transforming growth factor-α 1 in Peyronie</w:t>
      </w:r>
      <w:r w:rsidRPr="00695061">
        <w:rPr>
          <w:rFonts w:ascii="Cambria Math" w:hAnsi="Cambria Math" w:cs="Cambria Math"/>
          <w:noProof/>
          <w:szCs w:val="24"/>
        </w:rPr>
        <w:t>℉</w:t>
      </w:r>
      <w:r w:rsidRPr="00695061">
        <w:rPr>
          <w:rFonts w:ascii="Calibri" w:hAnsi="Calibri" w:cs="Calibri"/>
          <w:noProof/>
          <w:szCs w:val="24"/>
        </w:rPr>
        <w:t>s disease. Biochem Biophys Res Commun 2002;295:1014–9. doi:10.1016/S0006-291X(02)00765-9.</w:t>
      </w:r>
    </w:p>
    <w:p w14:paraId="61821F9D"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[54]</w:t>
      </w:r>
      <w:r w:rsidRPr="00695061">
        <w:rPr>
          <w:rFonts w:ascii="Calibri" w:hAnsi="Calibri" w:cs="Calibri"/>
          <w:noProof/>
          <w:szCs w:val="24"/>
        </w:rPr>
        <w:tab/>
        <w:t>Lucattelli M, Lunghi B, Fineschi S, Mirone V, di Villa Bianca R d’Emmanuele, Longo N, et al. A new mouse model of Peyronie’s disease: An increased expression of hypoxia-inducible factor-1 target genes during the development of penile changes. Int J Biochem Cell Biol 2008;40:2638–48. doi:10.1016/J.BIOCEL.2008.05.012.</w:t>
      </w:r>
    </w:p>
    <w:p w14:paraId="5803C45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[55]</w:t>
      </w:r>
      <w:r w:rsidRPr="00695061">
        <w:rPr>
          <w:rFonts w:ascii="Calibri" w:hAnsi="Calibri" w:cs="Calibri"/>
          <w:noProof/>
          <w:szCs w:val="24"/>
        </w:rPr>
        <w:tab/>
        <w:t>Hasegawa M, Sato S, Takehara K. Augmented production of chemokines (monocyte chemotactic protein-1 (MCP- 1), macrophage inflammatory protein-1α (MIP-1α) and MIP-1β) in patients with systemic sclerosis: MCP-1 and MIP-1α may be involved in the development of pulmonary fibrosis. Clin Exp Immunol 1999;117:159–65. doi:10.1046/j.1365-2249.1999.00929.x.</w:t>
      </w:r>
    </w:p>
    <w:p w14:paraId="238F420D"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[56]</w:t>
      </w:r>
      <w:r w:rsidRPr="00695061">
        <w:rPr>
          <w:rFonts w:ascii="Calibri" w:hAnsi="Calibri" w:cs="Calibri"/>
          <w:noProof/>
          <w:szCs w:val="24"/>
        </w:rPr>
        <w:tab/>
        <w:t>Yamamoto T, Eckes B, Krieg T. High expression and autoinduction of monocyte chemoattractant protein-1 in scleroderma fibroblasts. Eur J Immunol 2001;31:2936–41. doi:10.1002/1521-4141(2001010)31:10&lt;2936::AID-IMMU2936&gt;3.0.CO;2-0.</w:t>
      </w:r>
    </w:p>
    <w:p w14:paraId="49E5B268"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[57]</w:t>
      </w:r>
      <w:r w:rsidRPr="00695061">
        <w:rPr>
          <w:rFonts w:ascii="Calibri" w:hAnsi="Calibri" w:cs="Calibri"/>
          <w:noProof/>
          <w:szCs w:val="24"/>
        </w:rPr>
        <w:tab/>
        <w:t>Lloyd CM, Minto AW, Dorf ME, Proudfoot A, Wells TNC, Salant DJ, et al. RANTES and monocyte chemoattractant protein-1 (MCP-1) play an important role in the inflammatory phase of crescentic nephritis, but only MCP-1 is involved in crescent formation and interstitial fibrosis. J Exp Med 1997;185:1371–80. doi:10.1084/jem.185.7.1371.</w:t>
      </w:r>
    </w:p>
    <w:p w14:paraId="0BFA16C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[58]</w:t>
      </w:r>
      <w:r w:rsidRPr="00695061">
        <w:rPr>
          <w:rFonts w:ascii="Calibri" w:hAnsi="Calibri" w:cs="Calibri"/>
          <w:noProof/>
          <w:szCs w:val="24"/>
        </w:rPr>
        <w:tab/>
        <w:t>Marra F, DeFranco R, Grappone C, Milani S, Pastacaldi S, Pinzani M, et al. Increased expression of monocyte chemotactic protein-1 during active hepatic fibrogenesis: Correlation with monocyte infiltration. Am J Pathol 1998;152:423–30.</w:t>
      </w:r>
    </w:p>
    <w:p w14:paraId="14487F5A"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[59]</w:t>
      </w:r>
      <w:r w:rsidRPr="00695061">
        <w:rPr>
          <w:rFonts w:ascii="Calibri" w:hAnsi="Calibri" w:cs="Calibri"/>
          <w:noProof/>
          <w:szCs w:val="24"/>
        </w:rPr>
        <w:tab/>
        <w:t>Magee TR, Qian A, Rajfer J, Sander FC, Levine LA, Gonzalez-Cadavid NF. Gene expression profiles in the Peyronie’s disease plaque. Urology 2002;59:451–7. doi:10.1016/S0090-4295(01)01578-3.</w:t>
      </w:r>
    </w:p>
    <w:p w14:paraId="3C4A55DE"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[60]</w:t>
      </w:r>
      <w:r w:rsidRPr="00695061">
        <w:rPr>
          <w:rFonts w:ascii="Calibri" w:hAnsi="Calibri" w:cs="Calibri"/>
          <w:noProof/>
          <w:szCs w:val="24"/>
        </w:rPr>
        <w:tab/>
        <w:t>FDA. https://www.accessdata.fda.gov/drugsatfda_docs/label/2008/021400s011lbl.pdf n.d.</w:t>
      </w:r>
    </w:p>
    <w:p w14:paraId="0ACD0C01"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[61]</w:t>
      </w:r>
      <w:r w:rsidRPr="00695061">
        <w:rPr>
          <w:rFonts w:ascii="Calibri" w:hAnsi="Calibri" w:cs="Calibri"/>
          <w:noProof/>
          <w:szCs w:val="24"/>
        </w:rPr>
        <w:tab/>
        <w:t xml:space="preserve">Krishna R, Garg A, Jin B, Keshavarz SS, Bieberdorf FA, Chodakewitz J, et al. Assessment of a pharmacokinetic and pharmacodynamic interaction between simvastatin and anacetrapib, a potent cholesteryl ester transfer protein (CETP) inhibitor, in healthy subjects. Br J Clin </w:t>
      </w:r>
      <w:r w:rsidRPr="00695061">
        <w:rPr>
          <w:rFonts w:ascii="Calibri" w:hAnsi="Calibri" w:cs="Calibri"/>
          <w:noProof/>
          <w:szCs w:val="24"/>
        </w:rPr>
        <w:lastRenderedPageBreak/>
        <w:t>Pharmacol 2009;67:520–6. doi:10.1111/j.1365-2125.2009.03385.x.</w:t>
      </w:r>
    </w:p>
    <w:p w14:paraId="77523A7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[62]</w:t>
      </w:r>
      <w:r w:rsidRPr="00695061">
        <w:rPr>
          <w:rFonts w:ascii="Calibri" w:hAnsi="Calibri" w:cs="Calibri"/>
          <w:noProof/>
          <w:szCs w:val="24"/>
        </w:rPr>
        <w:tab/>
        <w:t>Kalsi JS, Kell PD, Cellek S, Ralph DJ. NCX-911, a novel nitric oxide-releasing PDE5 inhibitor relaxes rabbit corpus cavernosum in the absence of endogenous nitric oxide. Int J Impot Res 2004;16:195–200. doi:10.1038/sj.ijir.3901157.</w:t>
      </w:r>
    </w:p>
    <w:p w14:paraId="289A82C3"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[63]</w:t>
      </w:r>
      <w:r w:rsidRPr="00695061">
        <w:rPr>
          <w:rFonts w:ascii="Calibri" w:hAnsi="Calibri" w:cs="Calibri"/>
          <w:noProof/>
          <w:szCs w:val="24"/>
        </w:rPr>
        <w:tab/>
        <w:t>Toque HA, Priviero FBM, Teixeira CE, Claudino MA, Baracat JS, Fregonesi A, et al. Comparative Relaxing Effects of Sildenafil, Vardenafil, and Tadalafil in Human Corpus Cavernosum: Contribution of Endogenous Nitric Oxide Release. Urology 2009;74:216–21. doi:10.1016/j.urology.2008.12.056.</w:t>
      </w:r>
    </w:p>
    <w:p w14:paraId="4A9732E7"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[64]</w:t>
      </w:r>
      <w:r w:rsidRPr="00695061">
        <w:rPr>
          <w:rFonts w:ascii="Calibri" w:hAnsi="Calibri" w:cs="Calibri"/>
          <w:noProof/>
          <w:szCs w:val="24"/>
        </w:rPr>
        <w:tab/>
        <w:t>Martínez-Salamanca JI, La Fuente JM, Cardoso J, Fernández A, Cuevas P, Wright HM, et al. Nebivolol Potentiates the Efficacy of PDE5 Inhibitors to Relax Corpus Cavernosum and Penile Arteries from Diabetic Patients by Enhancing the NO/cGMP Pathway. J Sex Med 2014;11:1182–92. doi:10.1111/JSM.12477.</w:t>
      </w:r>
    </w:p>
    <w:p w14:paraId="2588AD5F"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[65]</w:t>
      </w:r>
      <w:r w:rsidRPr="00695061">
        <w:rPr>
          <w:rFonts w:ascii="Calibri" w:hAnsi="Calibri" w:cs="Calibri"/>
          <w:noProof/>
          <w:szCs w:val="24"/>
        </w:rPr>
        <w:tab/>
        <w:t>Saenz De Tejada I, Angulo J, Cuevas P, Fernández A, Moncada I, Allona A, et al. The phosphodiesterase inhibitory selectivity and the in vitro and in vivo potency of the new PDE5 inhibitor vardenafil. Int J Impot Res 2001;13:282–90. doi:10.1038/sj.ijir.3900726.</w:t>
      </w:r>
    </w:p>
    <w:p w14:paraId="076FED1B"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[66]</w:t>
      </w:r>
      <w:r w:rsidRPr="00695061">
        <w:rPr>
          <w:rFonts w:ascii="Calibri" w:hAnsi="Calibri" w:cs="Calibri"/>
          <w:noProof/>
          <w:szCs w:val="24"/>
        </w:rPr>
        <w:tab/>
        <w:t>Collins R, Armitage J, Parish S, Sleight P, Peto R. MRC/BHF Heart Protection Study of cholesterol lowering with simvastatin in 20 536 high-risk individuals: A randomised placebo-controlled trial. Lancet 2002;360:7–22. doi:10.1016/S0140-6736(02)09327-3.</w:t>
      </w:r>
    </w:p>
    <w:p w14:paraId="6BE7E53F"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[67]</w:t>
      </w:r>
      <w:r w:rsidRPr="00695061">
        <w:rPr>
          <w:rFonts w:ascii="Calibri" w:hAnsi="Calibri" w:cs="Calibri"/>
          <w:noProof/>
          <w:szCs w:val="24"/>
        </w:rPr>
        <w:tab/>
        <w:t>Bellosta S, Paoletti R, Corsini A. Safety of statins: Focus on clinical pharmacokinetics and drug interactions. Circulation 2004;109. doi:10.1161/01.CIR.0000131519.15067.1f.</w:t>
      </w:r>
    </w:p>
    <w:p w14:paraId="3A5283D2"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[68]</w:t>
      </w:r>
      <w:r w:rsidRPr="00695061">
        <w:rPr>
          <w:rFonts w:ascii="Calibri" w:hAnsi="Calibri" w:cs="Calibri"/>
          <w:noProof/>
          <w:szCs w:val="24"/>
        </w:rPr>
        <w:tab/>
        <w:t>Hamilton-Craig I. Statin-associated myopathy. Med J Aust 2001;175:486–9. doi:10.5694/j.1326-5377.2001.tb143683.x.</w:t>
      </w:r>
    </w:p>
    <w:p w14:paraId="0A97D25A"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szCs w:val="24"/>
        </w:rPr>
      </w:pPr>
      <w:r w:rsidRPr="00695061">
        <w:rPr>
          <w:rFonts w:ascii="Calibri" w:hAnsi="Calibri" w:cs="Calibri"/>
          <w:noProof/>
          <w:szCs w:val="24"/>
        </w:rPr>
        <w:t>[69]</w:t>
      </w:r>
      <w:r w:rsidRPr="00695061">
        <w:rPr>
          <w:rFonts w:ascii="Calibri" w:hAnsi="Calibri" w:cs="Calibri"/>
          <w:noProof/>
          <w:szCs w:val="24"/>
        </w:rPr>
        <w:tab/>
        <w:t>Pennisi G, Vacante M, Russo C, Malaguarnera M. Rhabdomyolysis Induced by Rosuvastatin and Sildenafil. South Med J 2010;103:1052–4. doi:10.1097/SMJ.0b013e3181f0e89c.</w:t>
      </w:r>
    </w:p>
    <w:p w14:paraId="7D6D8FF9" w14:textId="77777777" w:rsidR="007D7BEE" w:rsidRPr="00695061" w:rsidRDefault="007D7BEE" w:rsidP="007D7BEE">
      <w:pPr>
        <w:widowControl w:val="0"/>
        <w:autoSpaceDE w:val="0"/>
        <w:autoSpaceDN w:val="0"/>
        <w:adjustRightInd w:val="0"/>
        <w:spacing w:line="240" w:lineRule="auto"/>
        <w:ind w:left="640" w:hanging="640"/>
        <w:rPr>
          <w:rFonts w:ascii="Calibri" w:hAnsi="Calibri" w:cs="Calibri"/>
          <w:noProof/>
        </w:rPr>
      </w:pPr>
      <w:r w:rsidRPr="00695061">
        <w:rPr>
          <w:rFonts w:ascii="Calibri" w:hAnsi="Calibri" w:cs="Calibri"/>
          <w:noProof/>
          <w:szCs w:val="24"/>
        </w:rPr>
        <w:t>[70]</w:t>
      </w:r>
      <w:r w:rsidRPr="00695061">
        <w:rPr>
          <w:rFonts w:ascii="Calibri" w:hAnsi="Calibri" w:cs="Calibri"/>
          <w:noProof/>
          <w:szCs w:val="24"/>
        </w:rPr>
        <w:tab/>
        <w:t>Gargante MP, Vacante M, Russo C, Malaguarnera M. Myopathy with Concurrent Tadalafil and Simvastatin. Case Rep Med 2009;2009:1–3. doi:10.1155/2009/378287.</w:t>
      </w:r>
    </w:p>
    <w:p w14:paraId="5C9DDAF8" w14:textId="77777777" w:rsidR="00D6185D" w:rsidRDefault="00214486" w:rsidP="00C71DF8">
      <w:pPr>
        <w:jc w:val="both"/>
      </w:pPr>
      <w:r w:rsidRPr="00695061">
        <w:fldChar w:fldCharType="end"/>
      </w:r>
    </w:p>
    <w:p w14:paraId="73C69D25" w14:textId="77777777" w:rsidR="00D6185D" w:rsidRDefault="00D6185D" w:rsidP="00C71DF8">
      <w:pPr>
        <w:jc w:val="both"/>
        <w:rPr>
          <w:b/>
          <w:bCs/>
        </w:rPr>
      </w:pPr>
    </w:p>
    <w:p w14:paraId="3442BAC2" w14:textId="77777777" w:rsidR="00D6185D" w:rsidRDefault="00D6185D" w:rsidP="00C71DF8">
      <w:pPr>
        <w:jc w:val="both"/>
        <w:rPr>
          <w:b/>
          <w:bCs/>
        </w:rPr>
      </w:pPr>
    </w:p>
    <w:p w14:paraId="4B24AEAA" w14:textId="77777777" w:rsidR="00D6185D" w:rsidRDefault="00D6185D" w:rsidP="00C71DF8">
      <w:pPr>
        <w:jc w:val="both"/>
        <w:rPr>
          <w:b/>
          <w:bCs/>
        </w:rPr>
      </w:pPr>
    </w:p>
    <w:p w14:paraId="7708D647" w14:textId="77777777" w:rsidR="00D6185D" w:rsidRDefault="00D6185D" w:rsidP="00C71DF8">
      <w:pPr>
        <w:jc w:val="both"/>
        <w:rPr>
          <w:b/>
          <w:bCs/>
        </w:rPr>
      </w:pPr>
    </w:p>
    <w:p w14:paraId="66B5BFD8" w14:textId="77777777" w:rsidR="00D6185D" w:rsidRDefault="00D6185D" w:rsidP="00C71DF8">
      <w:pPr>
        <w:jc w:val="both"/>
        <w:rPr>
          <w:b/>
          <w:bCs/>
        </w:rPr>
      </w:pPr>
    </w:p>
    <w:p w14:paraId="493500D0" w14:textId="77777777" w:rsidR="00D6185D" w:rsidRDefault="00D6185D" w:rsidP="00C71DF8">
      <w:pPr>
        <w:jc w:val="both"/>
        <w:rPr>
          <w:b/>
          <w:bCs/>
        </w:rPr>
      </w:pPr>
    </w:p>
    <w:p w14:paraId="093F469C" w14:textId="77777777" w:rsidR="00D6185D" w:rsidRDefault="00D6185D" w:rsidP="00C71DF8">
      <w:pPr>
        <w:jc w:val="both"/>
        <w:rPr>
          <w:b/>
          <w:bCs/>
        </w:rPr>
      </w:pPr>
    </w:p>
    <w:p w14:paraId="52FD0741" w14:textId="77777777" w:rsidR="00D6185D" w:rsidRDefault="00D6185D" w:rsidP="00C71DF8">
      <w:pPr>
        <w:jc w:val="both"/>
        <w:rPr>
          <w:b/>
          <w:bCs/>
        </w:rPr>
      </w:pPr>
    </w:p>
    <w:p w14:paraId="0DD1B4F5" w14:textId="77777777" w:rsidR="00D6185D" w:rsidRDefault="00D6185D" w:rsidP="00C71DF8">
      <w:pPr>
        <w:jc w:val="both"/>
        <w:rPr>
          <w:b/>
          <w:bCs/>
        </w:rPr>
      </w:pPr>
    </w:p>
    <w:p w14:paraId="3B7EC051" w14:textId="77777777" w:rsidR="00D6185D" w:rsidRDefault="00D6185D" w:rsidP="00C71DF8">
      <w:pPr>
        <w:jc w:val="both"/>
        <w:rPr>
          <w:b/>
          <w:bCs/>
        </w:rPr>
      </w:pPr>
    </w:p>
    <w:p w14:paraId="7D17802B" w14:textId="77777777" w:rsidR="00D6185D" w:rsidRDefault="00D6185D" w:rsidP="00C71DF8">
      <w:pPr>
        <w:jc w:val="both"/>
        <w:rPr>
          <w:b/>
          <w:bCs/>
        </w:rPr>
      </w:pPr>
    </w:p>
    <w:p w14:paraId="14ED6874" w14:textId="22825584" w:rsidR="00C71DF8" w:rsidRPr="005F5B4E" w:rsidRDefault="00C71DF8" w:rsidP="00C71DF8">
      <w:pPr>
        <w:jc w:val="both"/>
        <w:rPr>
          <w:b/>
          <w:bCs/>
        </w:rPr>
      </w:pPr>
      <w:r w:rsidRPr="00C71DF8">
        <w:rPr>
          <w:b/>
          <w:bCs/>
        </w:rPr>
        <w:lastRenderedPageBreak/>
        <w:t xml:space="preserve"> </w:t>
      </w:r>
      <w:r w:rsidRPr="005F5B4E">
        <w:rPr>
          <w:b/>
          <w:bCs/>
        </w:rPr>
        <w:t xml:space="preserve">Table 1: Statistical comparison using Student’s t-test between predicted and observed effects when combining vardenafil with 0.3 </w:t>
      </w:r>
      <w:r w:rsidRPr="005F5B4E">
        <w:rPr>
          <w:rFonts w:cstheme="minorHAnsi"/>
          <w:b/>
          <w:bCs/>
        </w:rPr>
        <w:t>µ</w:t>
      </w:r>
      <w:r w:rsidRPr="005F5B4E">
        <w:rPr>
          <w:b/>
          <w:bCs/>
        </w:rPr>
        <w:t>M simvastatin</w:t>
      </w:r>
      <w:r w:rsidRPr="005F5B4E">
        <w:t>. P&lt;0.05 in red.</w:t>
      </w:r>
      <w:r w:rsidRPr="005F5B4E">
        <w:rPr>
          <w:b/>
          <w:bCs/>
        </w:rPr>
        <w:t xml:space="preserve"> </w:t>
      </w:r>
      <w:r w:rsidRPr="005F5B4E">
        <w:t xml:space="preserve">Predictive effect is the arithmetic sum of percentage inhibition by vardenafil and 11% inhibition by 0.3 </w:t>
      </w:r>
      <w:r w:rsidRPr="005F5B4E">
        <w:rPr>
          <w:rFonts w:cstheme="minorHAnsi"/>
        </w:rPr>
        <w:t>µ</w:t>
      </w:r>
      <w:r w:rsidRPr="005F5B4E">
        <w:t>M simvastatin.</w:t>
      </w:r>
      <w:r w:rsidRPr="005F5B4E">
        <w:rPr>
          <w:b/>
          <w:bCs/>
        </w:rPr>
        <w:t xml:space="preserve"> </w:t>
      </w:r>
    </w:p>
    <w:tbl>
      <w:tblPr>
        <w:tblStyle w:val="TableGrid"/>
        <w:tblW w:w="10483" w:type="dxa"/>
        <w:tblInd w:w="-736" w:type="dxa"/>
        <w:tblLook w:val="0600" w:firstRow="0" w:lastRow="0" w:firstColumn="0" w:lastColumn="0" w:noHBand="1" w:noVBand="1"/>
      </w:tblPr>
      <w:tblGrid>
        <w:gridCol w:w="1875"/>
        <w:gridCol w:w="1393"/>
        <w:gridCol w:w="559"/>
        <w:gridCol w:w="1330"/>
        <w:gridCol w:w="1330"/>
        <w:gridCol w:w="1332"/>
        <w:gridCol w:w="1332"/>
        <w:gridCol w:w="1332"/>
      </w:tblGrid>
      <w:tr w:rsidR="00C71DF8" w:rsidRPr="005F5B4E" w14:paraId="50589094" w14:textId="77777777" w:rsidTr="0027689B">
        <w:trPr>
          <w:trHeight w:val="288"/>
        </w:trPr>
        <w:tc>
          <w:tcPr>
            <w:tcW w:w="1875" w:type="dxa"/>
            <w:hideMark/>
          </w:tcPr>
          <w:p w14:paraId="72CCD4B2" w14:textId="77777777" w:rsidR="00C71DF8" w:rsidRPr="005F5B4E" w:rsidRDefault="00C71DF8" w:rsidP="0027689B">
            <w:pPr>
              <w:spacing w:after="160" w:line="259" w:lineRule="auto"/>
              <w:jc w:val="center"/>
              <w:rPr>
                <w:sz w:val="28"/>
                <w:szCs w:val="28"/>
              </w:rPr>
            </w:pPr>
            <w:r w:rsidRPr="005F5B4E">
              <w:rPr>
                <w:b/>
                <w:bCs/>
                <w:sz w:val="28"/>
                <w:szCs w:val="28"/>
              </w:rPr>
              <w:t>Concentration of vardenafil (µM)</w:t>
            </w:r>
          </w:p>
        </w:tc>
        <w:tc>
          <w:tcPr>
            <w:tcW w:w="1393" w:type="dxa"/>
            <w:hideMark/>
          </w:tcPr>
          <w:p w14:paraId="3708B776" w14:textId="77777777" w:rsidR="00C71DF8" w:rsidRPr="005F5B4E" w:rsidRDefault="00C71DF8" w:rsidP="0027689B">
            <w:pPr>
              <w:spacing w:after="160" w:line="259" w:lineRule="auto"/>
              <w:jc w:val="center"/>
              <w:rPr>
                <w:sz w:val="28"/>
                <w:szCs w:val="28"/>
              </w:rPr>
            </w:pPr>
            <w:r w:rsidRPr="005F5B4E">
              <w:rPr>
                <w:b/>
                <w:bCs/>
                <w:sz w:val="28"/>
                <w:szCs w:val="28"/>
              </w:rPr>
              <w:t>Inhibition by</w:t>
            </w:r>
          </w:p>
          <w:p w14:paraId="6472FB03" w14:textId="77777777" w:rsidR="00C71DF8" w:rsidRPr="005F5B4E" w:rsidRDefault="00C71DF8" w:rsidP="0027689B">
            <w:pPr>
              <w:spacing w:after="160" w:line="259" w:lineRule="auto"/>
              <w:jc w:val="center"/>
              <w:rPr>
                <w:sz w:val="28"/>
                <w:szCs w:val="28"/>
              </w:rPr>
            </w:pPr>
            <w:r w:rsidRPr="005F5B4E">
              <w:rPr>
                <w:b/>
                <w:bCs/>
                <w:sz w:val="28"/>
                <w:szCs w:val="28"/>
              </w:rPr>
              <w:t>vardenafil only</w:t>
            </w:r>
          </w:p>
        </w:tc>
        <w:tc>
          <w:tcPr>
            <w:tcW w:w="559" w:type="dxa"/>
            <w:hideMark/>
          </w:tcPr>
          <w:p w14:paraId="2A14976E" w14:textId="77777777" w:rsidR="00C71DF8" w:rsidRPr="005F5B4E" w:rsidRDefault="00C71DF8" w:rsidP="0027689B">
            <w:pPr>
              <w:spacing w:after="160" w:line="259" w:lineRule="auto"/>
              <w:jc w:val="center"/>
              <w:rPr>
                <w:sz w:val="28"/>
                <w:szCs w:val="28"/>
              </w:rPr>
            </w:pPr>
            <w:r w:rsidRPr="005F5B4E">
              <w:rPr>
                <w:b/>
                <w:bCs/>
                <w:sz w:val="28"/>
                <w:szCs w:val="28"/>
              </w:rPr>
              <w:t>SD</w:t>
            </w:r>
          </w:p>
          <w:p w14:paraId="73021BAB" w14:textId="77777777" w:rsidR="00C71DF8" w:rsidRPr="005F5B4E" w:rsidRDefault="00C71DF8" w:rsidP="0027689B">
            <w:pPr>
              <w:spacing w:after="160" w:line="259" w:lineRule="auto"/>
              <w:jc w:val="center"/>
              <w:rPr>
                <w:sz w:val="28"/>
                <w:szCs w:val="28"/>
              </w:rPr>
            </w:pPr>
          </w:p>
        </w:tc>
        <w:tc>
          <w:tcPr>
            <w:tcW w:w="1330" w:type="dxa"/>
            <w:hideMark/>
          </w:tcPr>
          <w:p w14:paraId="32EC5E9E" w14:textId="77777777" w:rsidR="00C71DF8" w:rsidRPr="005F5B4E" w:rsidRDefault="00C71DF8" w:rsidP="0027689B">
            <w:pPr>
              <w:spacing w:after="160" w:line="259" w:lineRule="auto"/>
              <w:jc w:val="center"/>
              <w:rPr>
                <w:sz w:val="28"/>
                <w:szCs w:val="28"/>
              </w:rPr>
            </w:pPr>
            <w:r w:rsidRPr="005F5B4E">
              <w:rPr>
                <w:b/>
                <w:bCs/>
                <w:sz w:val="28"/>
                <w:szCs w:val="28"/>
              </w:rPr>
              <w:t>Predicted additive effect</w:t>
            </w:r>
          </w:p>
        </w:tc>
        <w:tc>
          <w:tcPr>
            <w:tcW w:w="1330" w:type="dxa"/>
            <w:hideMark/>
          </w:tcPr>
          <w:p w14:paraId="30F691AA" w14:textId="77777777" w:rsidR="00C71DF8" w:rsidRPr="005F5B4E" w:rsidRDefault="00C71DF8" w:rsidP="0027689B">
            <w:pPr>
              <w:spacing w:after="160" w:line="259" w:lineRule="auto"/>
              <w:jc w:val="center"/>
              <w:rPr>
                <w:sz w:val="28"/>
                <w:szCs w:val="28"/>
              </w:rPr>
            </w:pPr>
            <w:r w:rsidRPr="005F5B4E">
              <w:rPr>
                <w:b/>
                <w:bCs/>
                <w:sz w:val="28"/>
                <w:szCs w:val="28"/>
              </w:rPr>
              <w:t>Predicted SD</w:t>
            </w:r>
          </w:p>
        </w:tc>
        <w:tc>
          <w:tcPr>
            <w:tcW w:w="1332" w:type="dxa"/>
            <w:hideMark/>
          </w:tcPr>
          <w:p w14:paraId="7E3EFE6C" w14:textId="77777777" w:rsidR="00C71DF8" w:rsidRPr="005F5B4E" w:rsidRDefault="00C71DF8" w:rsidP="0027689B">
            <w:pPr>
              <w:spacing w:after="160" w:line="259" w:lineRule="auto"/>
              <w:jc w:val="center"/>
              <w:rPr>
                <w:sz w:val="28"/>
                <w:szCs w:val="28"/>
              </w:rPr>
            </w:pPr>
            <w:r w:rsidRPr="005F5B4E">
              <w:rPr>
                <w:b/>
                <w:bCs/>
                <w:sz w:val="28"/>
                <w:szCs w:val="28"/>
              </w:rPr>
              <w:t>Observed effect</w:t>
            </w:r>
          </w:p>
        </w:tc>
        <w:tc>
          <w:tcPr>
            <w:tcW w:w="1332" w:type="dxa"/>
            <w:hideMark/>
          </w:tcPr>
          <w:p w14:paraId="51B36301" w14:textId="77777777" w:rsidR="00C71DF8" w:rsidRPr="005F5B4E" w:rsidRDefault="00C71DF8" w:rsidP="0027689B">
            <w:pPr>
              <w:spacing w:after="160" w:line="259" w:lineRule="auto"/>
              <w:jc w:val="center"/>
              <w:rPr>
                <w:sz w:val="28"/>
                <w:szCs w:val="28"/>
              </w:rPr>
            </w:pPr>
            <w:r w:rsidRPr="005F5B4E">
              <w:rPr>
                <w:b/>
                <w:bCs/>
                <w:sz w:val="28"/>
                <w:szCs w:val="28"/>
              </w:rPr>
              <w:t>Observed SD</w:t>
            </w:r>
          </w:p>
        </w:tc>
        <w:tc>
          <w:tcPr>
            <w:tcW w:w="1332" w:type="dxa"/>
            <w:hideMark/>
          </w:tcPr>
          <w:p w14:paraId="69E9FB3F" w14:textId="77777777" w:rsidR="00C71DF8" w:rsidRPr="005F5B4E" w:rsidRDefault="00C71DF8" w:rsidP="0027689B">
            <w:pPr>
              <w:spacing w:after="160" w:line="259" w:lineRule="auto"/>
              <w:jc w:val="center"/>
              <w:rPr>
                <w:sz w:val="28"/>
                <w:szCs w:val="28"/>
              </w:rPr>
            </w:pPr>
            <w:r w:rsidRPr="005F5B4E">
              <w:rPr>
                <w:b/>
                <w:bCs/>
                <w:sz w:val="28"/>
                <w:szCs w:val="28"/>
              </w:rPr>
              <w:t>t-test predicted vs observed</w:t>
            </w:r>
          </w:p>
        </w:tc>
      </w:tr>
      <w:tr w:rsidR="00C71DF8" w:rsidRPr="005F5B4E" w14:paraId="09BA40D5" w14:textId="77777777" w:rsidTr="0027689B">
        <w:trPr>
          <w:trHeight w:val="312"/>
        </w:trPr>
        <w:tc>
          <w:tcPr>
            <w:tcW w:w="1875" w:type="dxa"/>
            <w:hideMark/>
          </w:tcPr>
          <w:p w14:paraId="70AF5ECC" w14:textId="77777777" w:rsidR="00C71DF8" w:rsidRPr="005F5B4E" w:rsidRDefault="00C71DF8" w:rsidP="0027689B">
            <w:pPr>
              <w:spacing w:after="160" w:line="259" w:lineRule="auto"/>
              <w:jc w:val="both"/>
              <w:rPr>
                <w:sz w:val="28"/>
                <w:szCs w:val="28"/>
              </w:rPr>
            </w:pPr>
            <w:r w:rsidRPr="005F5B4E">
              <w:rPr>
                <w:sz w:val="28"/>
                <w:szCs w:val="28"/>
              </w:rPr>
              <w:t>300</w:t>
            </w:r>
          </w:p>
        </w:tc>
        <w:tc>
          <w:tcPr>
            <w:tcW w:w="1393" w:type="dxa"/>
            <w:hideMark/>
          </w:tcPr>
          <w:p w14:paraId="12D49A91" w14:textId="77777777" w:rsidR="00C71DF8" w:rsidRPr="005F5B4E" w:rsidRDefault="00C71DF8" w:rsidP="0027689B">
            <w:pPr>
              <w:spacing w:after="160" w:line="259" w:lineRule="auto"/>
              <w:jc w:val="both"/>
              <w:rPr>
                <w:sz w:val="28"/>
                <w:szCs w:val="28"/>
              </w:rPr>
            </w:pPr>
            <w:r w:rsidRPr="005F5B4E">
              <w:rPr>
                <w:sz w:val="28"/>
                <w:szCs w:val="28"/>
              </w:rPr>
              <w:t>100%</w:t>
            </w:r>
          </w:p>
        </w:tc>
        <w:tc>
          <w:tcPr>
            <w:tcW w:w="559" w:type="dxa"/>
            <w:hideMark/>
          </w:tcPr>
          <w:p w14:paraId="013A7A3B" w14:textId="77777777" w:rsidR="00C71DF8" w:rsidRPr="005F5B4E" w:rsidRDefault="00C71DF8" w:rsidP="0027689B">
            <w:pPr>
              <w:spacing w:after="160" w:line="259" w:lineRule="auto"/>
              <w:jc w:val="both"/>
              <w:rPr>
                <w:sz w:val="28"/>
                <w:szCs w:val="28"/>
              </w:rPr>
            </w:pPr>
            <w:r w:rsidRPr="005F5B4E">
              <w:rPr>
                <w:sz w:val="28"/>
                <w:szCs w:val="28"/>
              </w:rPr>
              <w:t>0%</w:t>
            </w:r>
          </w:p>
        </w:tc>
        <w:tc>
          <w:tcPr>
            <w:tcW w:w="1330" w:type="dxa"/>
            <w:hideMark/>
          </w:tcPr>
          <w:p w14:paraId="3B6FDCD6" w14:textId="77777777" w:rsidR="00C71DF8" w:rsidRPr="005F5B4E" w:rsidRDefault="00C71DF8" w:rsidP="0027689B">
            <w:pPr>
              <w:spacing w:after="160" w:line="259" w:lineRule="auto"/>
              <w:jc w:val="both"/>
              <w:rPr>
                <w:sz w:val="28"/>
                <w:szCs w:val="28"/>
              </w:rPr>
            </w:pPr>
            <w:r w:rsidRPr="005F5B4E">
              <w:rPr>
                <w:sz w:val="28"/>
                <w:szCs w:val="28"/>
              </w:rPr>
              <w:t>111%</w:t>
            </w:r>
          </w:p>
        </w:tc>
        <w:tc>
          <w:tcPr>
            <w:tcW w:w="1330" w:type="dxa"/>
            <w:hideMark/>
          </w:tcPr>
          <w:p w14:paraId="4D77C872"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0751A664" w14:textId="77777777" w:rsidR="00C71DF8" w:rsidRPr="005F5B4E" w:rsidRDefault="00C71DF8" w:rsidP="0027689B">
            <w:pPr>
              <w:spacing w:after="160" w:line="259" w:lineRule="auto"/>
              <w:jc w:val="both"/>
              <w:rPr>
                <w:sz w:val="28"/>
                <w:szCs w:val="28"/>
              </w:rPr>
            </w:pPr>
            <w:r w:rsidRPr="005F5B4E">
              <w:rPr>
                <w:sz w:val="28"/>
                <w:szCs w:val="28"/>
              </w:rPr>
              <w:t>96%</w:t>
            </w:r>
          </w:p>
        </w:tc>
        <w:tc>
          <w:tcPr>
            <w:tcW w:w="1332" w:type="dxa"/>
            <w:hideMark/>
          </w:tcPr>
          <w:p w14:paraId="62691029"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739DD9D2"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0.0036</w:t>
            </w:r>
          </w:p>
        </w:tc>
      </w:tr>
      <w:tr w:rsidR="00C71DF8" w:rsidRPr="005F5B4E" w14:paraId="5A090D6E" w14:textId="77777777" w:rsidTr="0027689B">
        <w:trPr>
          <w:trHeight w:val="312"/>
        </w:trPr>
        <w:tc>
          <w:tcPr>
            <w:tcW w:w="1875" w:type="dxa"/>
            <w:hideMark/>
          </w:tcPr>
          <w:p w14:paraId="4955E273" w14:textId="77777777" w:rsidR="00C71DF8" w:rsidRPr="005F5B4E" w:rsidRDefault="00C71DF8" w:rsidP="0027689B">
            <w:pPr>
              <w:spacing w:after="160" w:line="259" w:lineRule="auto"/>
              <w:jc w:val="both"/>
              <w:rPr>
                <w:sz w:val="28"/>
                <w:szCs w:val="28"/>
              </w:rPr>
            </w:pPr>
            <w:r w:rsidRPr="005F5B4E">
              <w:rPr>
                <w:sz w:val="28"/>
                <w:szCs w:val="28"/>
              </w:rPr>
              <w:t>100</w:t>
            </w:r>
          </w:p>
        </w:tc>
        <w:tc>
          <w:tcPr>
            <w:tcW w:w="1393" w:type="dxa"/>
            <w:hideMark/>
          </w:tcPr>
          <w:p w14:paraId="7EDD4305" w14:textId="77777777" w:rsidR="00C71DF8" w:rsidRPr="005F5B4E" w:rsidRDefault="00C71DF8" w:rsidP="0027689B">
            <w:pPr>
              <w:spacing w:after="160" w:line="259" w:lineRule="auto"/>
              <w:jc w:val="both"/>
              <w:rPr>
                <w:sz w:val="28"/>
                <w:szCs w:val="28"/>
              </w:rPr>
            </w:pPr>
            <w:r w:rsidRPr="005F5B4E">
              <w:rPr>
                <w:sz w:val="28"/>
                <w:szCs w:val="28"/>
              </w:rPr>
              <w:t>99%</w:t>
            </w:r>
          </w:p>
        </w:tc>
        <w:tc>
          <w:tcPr>
            <w:tcW w:w="559" w:type="dxa"/>
            <w:hideMark/>
          </w:tcPr>
          <w:p w14:paraId="09611094" w14:textId="77777777" w:rsidR="00C71DF8" w:rsidRPr="005F5B4E" w:rsidRDefault="00C71DF8" w:rsidP="0027689B">
            <w:pPr>
              <w:spacing w:after="160" w:line="259" w:lineRule="auto"/>
              <w:jc w:val="both"/>
              <w:rPr>
                <w:sz w:val="28"/>
                <w:szCs w:val="28"/>
              </w:rPr>
            </w:pPr>
            <w:r w:rsidRPr="005F5B4E">
              <w:rPr>
                <w:sz w:val="28"/>
                <w:szCs w:val="28"/>
              </w:rPr>
              <w:t>1%</w:t>
            </w:r>
          </w:p>
        </w:tc>
        <w:tc>
          <w:tcPr>
            <w:tcW w:w="1330" w:type="dxa"/>
            <w:hideMark/>
          </w:tcPr>
          <w:p w14:paraId="6BC5B7AF" w14:textId="77777777" w:rsidR="00C71DF8" w:rsidRPr="005F5B4E" w:rsidRDefault="00C71DF8" w:rsidP="0027689B">
            <w:pPr>
              <w:spacing w:after="160" w:line="259" w:lineRule="auto"/>
              <w:jc w:val="both"/>
              <w:rPr>
                <w:sz w:val="28"/>
                <w:szCs w:val="28"/>
              </w:rPr>
            </w:pPr>
            <w:r w:rsidRPr="005F5B4E">
              <w:rPr>
                <w:sz w:val="28"/>
                <w:szCs w:val="28"/>
              </w:rPr>
              <w:t>110%</w:t>
            </w:r>
          </w:p>
        </w:tc>
        <w:tc>
          <w:tcPr>
            <w:tcW w:w="1330" w:type="dxa"/>
            <w:hideMark/>
          </w:tcPr>
          <w:p w14:paraId="1B249E13" w14:textId="77777777" w:rsidR="00C71DF8" w:rsidRPr="005F5B4E" w:rsidRDefault="00C71DF8" w:rsidP="0027689B">
            <w:pPr>
              <w:spacing w:after="160" w:line="259" w:lineRule="auto"/>
              <w:jc w:val="both"/>
              <w:rPr>
                <w:sz w:val="28"/>
                <w:szCs w:val="28"/>
              </w:rPr>
            </w:pPr>
            <w:r w:rsidRPr="005F5B4E">
              <w:rPr>
                <w:sz w:val="28"/>
                <w:szCs w:val="28"/>
              </w:rPr>
              <w:t>4%</w:t>
            </w:r>
          </w:p>
        </w:tc>
        <w:tc>
          <w:tcPr>
            <w:tcW w:w="1332" w:type="dxa"/>
            <w:hideMark/>
          </w:tcPr>
          <w:p w14:paraId="66D10F26" w14:textId="77777777" w:rsidR="00C71DF8" w:rsidRPr="005F5B4E" w:rsidRDefault="00C71DF8" w:rsidP="0027689B">
            <w:pPr>
              <w:spacing w:after="160" w:line="259" w:lineRule="auto"/>
              <w:jc w:val="both"/>
              <w:rPr>
                <w:sz w:val="28"/>
                <w:szCs w:val="28"/>
              </w:rPr>
            </w:pPr>
            <w:r w:rsidRPr="005F5B4E">
              <w:rPr>
                <w:sz w:val="28"/>
                <w:szCs w:val="28"/>
              </w:rPr>
              <w:t>101%</w:t>
            </w:r>
          </w:p>
        </w:tc>
        <w:tc>
          <w:tcPr>
            <w:tcW w:w="1332" w:type="dxa"/>
            <w:hideMark/>
          </w:tcPr>
          <w:p w14:paraId="7D3F133F"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77D24E0C"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0.0356</w:t>
            </w:r>
          </w:p>
        </w:tc>
      </w:tr>
      <w:tr w:rsidR="00C71DF8" w:rsidRPr="005F5B4E" w14:paraId="21875CB9" w14:textId="77777777" w:rsidTr="0027689B">
        <w:trPr>
          <w:trHeight w:val="312"/>
        </w:trPr>
        <w:tc>
          <w:tcPr>
            <w:tcW w:w="1875" w:type="dxa"/>
            <w:hideMark/>
          </w:tcPr>
          <w:p w14:paraId="28552488" w14:textId="77777777" w:rsidR="00C71DF8" w:rsidRPr="005F5B4E" w:rsidRDefault="00C71DF8" w:rsidP="0027689B">
            <w:pPr>
              <w:spacing w:after="160" w:line="259" w:lineRule="auto"/>
              <w:jc w:val="both"/>
              <w:rPr>
                <w:sz w:val="28"/>
                <w:szCs w:val="28"/>
              </w:rPr>
            </w:pPr>
            <w:r w:rsidRPr="005F5B4E">
              <w:rPr>
                <w:sz w:val="28"/>
                <w:szCs w:val="28"/>
              </w:rPr>
              <w:t>30</w:t>
            </w:r>
          </w:p>
        </w:tc>
        <w:tc>
          <w:tcPr>
            <w:tcW w:w="1393" w:type="dxa"/>
            <w:hideMark/>
          </w:tcPr>
          <w:p w14:paraId="65673AA3" w14:textId="77777777" w:rsidR="00C71DF8" w:rsidRPr="005F5B4E" w:rsidRDefault="00C71DF8" w:rsidP="0027689B">
            <w:pPr>
              <w:spacing w:after="160" w:line="259" w:lineRule="auto"/>
              <w:jc w:val="both"/>
              <w:rPr>
                <w:sz w:val="28"/>
                <w:szCs w:val="28"/>
              </w:rPr>
            </w:pPr>
            <w:r w:rsidRPr="005F5B4E">
              <w:rPr>
                <w:sz w:val="28"/>
                <w:szCs w:val="28"/>
              </w:rPr>
              <w:t>62%</w:t>
            </w:r>
          </w:p>
        </w:tc>
        <w:tc>
          <w:tcPr>
            <w:tcW w:w="559" w:type="dxa"/>
            <w:hideMark/>
          </w:tcPr>
          <w:p w14:paraId="44417920" w14:textId="77777777" w:rsidR="00C71DF8" w:rsidRPr="005F5B4E" w:rsidRDefault="00C71DF8" w:rsidP="0027689B">
            <w:pPr>
              <w:spacing w:after="160" w:line="259" w:lineRule="auto"/>
              <w:jc w:val="both"/>
              <w:rPr>
                <w:sz w:val="28"/>
                <w:szCs w:val="28"/>
              </w:rPr>
            </w:pPr>
            <w:r w:rsidRPr="005F5B4E">
              <w:rPr>
                <w:sz w:val="28"/>
                <w:szCs w:val="28"/>
              </w:rPr>
              <w:t>8%</w:t>
            </w:r>
          </w:p>
        </w:tc>
        <w:tc>
          <w:tcPr>
            <w:tcW w:w="1330" w:type="dxa"/>
            <w:hideMark/>
          </w:tcPr>
          <w:p w14:paraId="1ED08869" w14:textId="77777777" w:rsidR="00C71DF8" w:rsidRPr="005F5B4E" w:rsidRDefault="00C71DF8" w:rsidP="0027689B">
            <w:pPr>
              <w:spacing w:after="160" w:line="259" w:lineRule="auto"/>
              <w:jc w:val="both"/>
              <w:rPr>
                <w:sz w:val="28"/>
                <w:szCs w:val="28"/>
              </w:rPr>
            </w:pPr>
            <w:r w:rsidRPr="005F5B4E">
              <w:rPr>
                <w:sz w:val="28"/>
                <w:szCs w:val="28"/>
              </w:rPr>
              <w:t>73%</w:t>
            </w:r>
          </w:p>
        </w:tc>
        <w:tc>
          <w:tcPr>
            <w:tcW w:w="1330" w:type="dxa"/>
            <w:hideMark/>
          </w:tcPr>
          <w:p w14:paraId="410DD812" w14:textId="77777777" w:rsidR="00C71DF8" w:rsidRPr="005F5B4E" w:rsidRDefault="00C71DF8" w:rsidP="0027689B">
            <w:pPr>
              <w:spacing w:after="160" w:line="259" w:lineRule="auto"/>
              <w:jc w:val="both"/>
              <w:rPr>
                <w:sz w:val="28"/>
                <w:szCs w:val="28"/>
              </w:rPr>
            </w:pPr>
            <w:r w:rsidRPr="005F5B4E">
              <w:rPr>
                <w:sz w:val="28"/>
                <w:szCs w:val="28"/>
              </w:rPr>
              <w:t>11%</w:t>
            </w:r>
          </w:p>
        </w:tc>
        <w:tc>
          <w:tcPr>
            <w:tcW w:w="1332" w:type="dxa"/>
            <w:hideMark/>
          </w:tcPr>
          <w:p w14:paraId="4B26FFA8" w14:textId="77777777" w:rsidR="00C71DF8" w:rsidRPr="005F5B4E" w:rsidRDefault="00C71DF8" w:rsidP="0027689B">
            <w:pPr>
              <w:spacing w:after="160" w:line="259" w:lineRule="auto"/>
              <w:jc w:val="both"/>
              <w:rPr>
                <w:sz w:val="28"/>
                <w:szCs w:val="28"/>
              </w:rPr>
            </w:pPr>
            <w:r w:rsidRPr="005F5B4E">
              <w:rPr>
                <w:sz w:val="28"/>
                <w:szCs w:val="28"/>
              </w:rPr>
              <w:t>92%</w:t>
            </w:r>
          </w:p>
        </w:tc>
        <w:tc>
          <w:tcPr>
            <w:tcW w:w="1332" w:type="dxa"/>
            <w:hideMark/>
          </w:tcPr>
          <w:p w14:paraId="322AB70F"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2BBD8AEC"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0.0447</w:t>
            </w:r>
          </w:p>
        </w:tc>
      </w:tr>
      <w:tr w:rsidR="00C71DF8" w:rsidRPr="005F5B4E" w14:paraId="15A5BCF1" w14:textId="77777777" w:rsidTr="0027689B">
        <w:trPr>
          <w:trHeight w:val="312"/>
        </w:trPr>
        <w:tc>
          <w:tcPr>
            <w:tcW w:w="1875" w:type="dxa"/>
            <w:hideMark/>
          </w:tcPr>
          <w:p w14:paraId="60FCE8A4" w14:textId="77777777" w:rsidR="00C71DF8" w:rsidRPr="005F5B4E" w:rsidRDefault="00C71DF8" w:rsidP="0027689B">
            <w:pPr>
              <w:spacing w:after="160" w:line="259" w:lineRule="auto"/>
              <w:jc w:val="both"/>
              <w:rPr>
                <w:sz w:val="28"/>
                <w:szCs w:val="28"/>
              </w:rPr>
            </w:pPr>
            <w:r w:rsidRPr="005F5B4E">
              <w:rPr>
                <w:sz w:val="28"/>
                <w:szCs w:val="28"/>
              </w:rPr>
              <w:t>10</w:t>
            </w:r>
          </w:p>
        </w:tc>
        <w:tc>
          <w:tcPr>
            <w:tcW w:w="1393" w:type="dxa"/>
            <w:hideMark/>
          </w:tcPr>
          <w:p w14:paraId="6175C7B3" w14:textId="77777777" w:rsidR="00C71DF8" w:rsidRPr="005F5B4E" w:rsidRDefault="00C71DF8" w:rsidP="0027689B">
            <w:pPr>
              <w:spacing w:after="160" w:line="259" w:lineRule="auto"/>
              <w:jc w:val="both"/>
              <w:rPr>
                <w:sz w:val="28"/>
                <w:szCs w:val="28"/>
              </w:rPr>
            </w:pPr>
            <w:r w:rsidRPr="005F5B4E">
              <w:rPr>
                <w:sz w:val="28"/>
                <w:szCs w:val="28"/>
              </w:rPr>
              <w:t>43%</w:t>
            </w:r>
          </w:p>
        </w:tc>
        <w:tc>
          <w:tcPr>
            <w:tcW w:w="559" w:type="dxa"/>
            <w:hideMark/>
          </w:tcPr>
          <w:p w14:paraId="7E7AFBFC" w14:textId="77777777" w:rsidR="00C71DF8" w:rsidRPr="005F5B4E" w:rsidRDefault="00C71DF8" w:rsidP="0027689B">
            <w:pPr>
              <w:spacing w:after="160" w:line="259" w:lineRule="auto"/>
              <w:jc w:val="both"/>
              <w:rPr>
                <w:sz w:val="28"/>
                <w:szCs w:val="28"/>
              </w:rPr>
            </w:pPr>
            <w:r w:rsidRPr="005F5B4E">
              <w:rPr>
                <w:sz w:val="28"/>
                <w:szCs w:val="28"/>
              </w:rPr>
              <w:t>7%</w:t>
            </w:r>
          </w:p>
        </w:tc>
        <w:tc>
          <w:tcPr>
            <w:tcW w:w="1330" w:type="dxa"/>
            <w:hideMark/>
          </w:tcPr>
          <w:p w14:paraId="4F21EA35" w14:textId="77777777" w:rsidR="00C71DF8" w:rsidRPr="005F5B4E" w:rsidRDefault="00C71DF8" w:rsidP="0027689B">
            <w:pPr>
              <w:spacing w:after="160" w:line="259" w:lineRule="auto"/>
              <w:jc w:val="both"/>
              <w:rPr>
                <w:sz w:val="28"/>
                <w:szCs w:val="28"/>
              </w:rPr>
            </w:pPr>
            <w:r w:rsidRPr="005F5B4E">
              <w:rPr>
                <w:sz w:val="28"/>
                <w:szCs w:val="28"/>
              </w:rPr>
              <w:t>54%</w:t>
            </w:r>
          </w:p>
        </w:tc>
        <w:tc>
          <w:tcPr>
            <w:tcW w:w="1330" w:type="dxa"/>
            <w:hideMark/>
          </w:tcPr>
          <w:p w14:paraId="6322D03D" w14:textId="77777777" w:rsidR="00C71DF8" w:rsidRPr="005F5B4E" w:rsidRDefault="00C71DF8" w:rsidP="0027689B">
            <w:pPr>
              <w:spacing w:after="160" w:line="259" w:lineRule="auto"/>
              <w:jc w:val="both"/>
              <w:rPr>
                <w:sz w:val="28"/>
                <w:szCs w:val="28"/>
              </w:rPr>
            </w:pPr>
            <w:r w:rsidRPr="005F5B4E">
              <w:rPr>
                <w:sz w:val="28"/>
                <w:szCs w:val="28"/>
              </w:rPr>
              <w:t>10%</w:t>
            </w:r>
          </w:p>
        </w:tc>
        <w:tc>
          <w:tcPr>
            <w:tcW w:w="1332" w:type="dxa"/>
            <w:hideMark/>
          </w:tcPr>
          <w:p w14:paraId="499B9DF5" w14:textId="77777777" w:rsidR="00C71DF8" w:rsidRPr="005F5B4E" w:rsidRDefault="00C71DF8" w:rsidP="0027689B">
            <w:pPr>
              <w:spacing w:after="160" w:line="259" w:lineRule="auto"/>
              <w:jc w:val="both"/>
              <w:rPr>
                <w:sz w:val="28"/>
                <w:szCs w:val="28"/>
              </w:rPr>
            </w:pPr>
            <w:r w:rsidRPr="005F5B4E">
              <w:rPr>
                <w:sz w:val="28"/>
                <w:szCs w:val="28"/>
              </w:rPr>
              <w:t>79%</w:t>
            </w:r>
          </w:p>
        </w:tc>
        <w:tc>
          <w:tcPr>
            <w:tcW w:w="1332" w:type="dxa"/>
            <w:hideMark/>
          </w:tcPr>
          <w:p w14:paraId="7207AC1F" w14:textId="77777777" w:rsidR="00C71DF8" w:rsidRPr="005F5B4E" w:rsidRDefault="00C71DF8" w:rsidP="0027689B">
            <w:pPr>
              <w:spacing w:after="160" w:line="259" w:lineRule="auto"/>
              <w:jc w:val="both"/>
              <w:rPr>
                <w:sz w:val="28"/>
                <w:szCs w:val="28"/>
              </w:rPr>
            </w:pPr>
            <w:r w:rsidRPr="005F5B4E">
              <w:rPr>
                <w:sz w:val="28"/>
                <w:szCs w:val="28"/>
              </w:rPr>
              <w:t>5%</w:t>
            </w:r>
          </w:p>
        </w:tc>
        <w:tc>
          <w:tcPr>
            <w:tcW w:w="1332" w:type="dxa"/>
            <w:hideMark/>
          </w:tcPr>
          <w:p w14:paraId="2B632596"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0.0179</w:t>
            </w:r>
          </w:p>
        </w:tc>
      </w:tr>
      <w:tr w:rsidR="00C71DF8" w:rsidRPr="005F5B4E" w14:paraId="6B18894D" w14:textId="77777777" w:rsidTr="0027689B">
        <w:trPr>
          <w:trHeight w:val="312"/>
        </w:trPr>
        <w:tc>
          <w:tcPr>
            <w:tcW w:w="1875" w:type="dxa"/>
            <w:hideMark/>
          </w:tcPr>
          <w:p w14:paraId="124E2E0A" w14:textId="77777777" w:rsidR="00C71DF8" w:rsidRPr="005F5B4E" w:rsidRDefault="00C71DF8" w:rsidP="0027689B">
            <w:pPr>
              <w:spacing w:after="160" w:line="259" w:lineRule="auto"/>
              <w:jc w:val="both"/>
              <w:rPr>
                <w:sz w:val="28"/>
                <w:szCs w:val="28"/>
              </w:rPr>
            </w:pPr>
            <w:r w:rsidRPr="005F5B4E">
              <w:rPr>
                <w:sz w:val="28"/>
                <w:szCs w:val="28"/>
              </w:rPr>
              <w:t>3</w:t>
            </w:r>
          </w:p>
        </w:tc>
        <w:tc>
          <w:tcPr>
            <w:tcW w:w="1393" w:type="dxa"/>
            <w:hideMark/>
          </w:tcPr>
          <w:p w14:paraId="5C48E9DB" w14:textId="77777777" w:rsidR="00C71DF8" w:rsidRPr="005F5B4E" w:rsidRDefault="00C71DF8" w:rsidP="0027689B">
            <w:pPr>
              <w:spacing w:after="160" w:line="259" w:lineRule="auto"/>
              <w:jc w:val="both"/>
              <w:rPr>
                <w:sz w:val="28"/>
                <w:szCs w:val="28"/>
              </w:rPr>
            </w:pPr>
            <w:r w:rsidRPr="005F5B4E">
              <w:rPr>
                <w:sz w:val="28"/>
                <w:szCs w:val="28"/>
              </w:rPr>
              <w:t>2%</w:t>
            </w:r>
          </w:p>
        </w:tc>
        <w:tc>
          <w:tcPr>
            <w:tcW w:w="559" w:type="dxa"/>
            <w:hideMark/>
          </w:tcPr>
          <w:p w14:paraId="7440678C" w14:textId="77777777" w:rsidR="00C71DF8" w:rsidRPr="005F5B4E" w:rsidRDefault="00C71DF8" w:rsidP="0027689B">
            <w:pPr>
              <w:spacing w:after="160" w:line="259" w:lineRule="auto"/>
              <w:jc w:val="both"/>
              <w:rPr>
                <w:sz w:val="28"/>
                <w:szCs w:val="28"/>
              </w:rPr>
            </w:pPr>
            <w:r w:rsidRPr="005F5B4E">
              <w:rPr>
                <w:sz w:val="28"/>
                <w:szCs w:val="28"/>
              </w:rPr>
              <w:t>5%</w:t>
            </w:r>
          </w:p>
        </w:tc>
        <w:tc>
          <w:tcPr>
            <w:tcW w:w="1330" w:type="dxa"/>
            <w:hideMark/>
          </w:tcPr>
          <w:p w14:paraId="65D162C3" w14:textId="77777777" w:rsidR="00C71DF8" w:rsidRPr="005F5B4E" w:rsidRDefault="00C71DF8" w:rsidP="0027689B">
            <w:pPr>
              <w:spacing w:after="160" w:line="259" w:lineRule="auto"/>
              <w:jc w:val="both"/>
              <w:rPr>
                <w:sz w:val="28"/>
                <w:szCs w:val="28"/>
              </w:rPr>
            </w:pPr>
            <w:r w:rsidRPr="005F5B4E">
              <w:rPr>
                <w:sz w:val="28"/>
                <w:szCs w:val="28"/>
              </w:rPr>
              <w:t>13%</w:t>
            </w:r>
          </w:p>
        </w:tc>
        <w:tc>
          <w:tcPr>
            <w:tcW w:w="1330" w:type="dxa"/>
            <w:hideMark/>
          </w:tcPr>
          <w:p w14:paraId="2CC6CB40" w14:textId="77777777" w:rsidR="00C71DF8" w:rsidRPr="005F5B4E" w:rsidRDefault="00C71DF8" w:rsidP="0027689B">
            <w:pPr>
              <w:spacing w:after="160" w:line="259" w:lineRule="auto"/>
              <w:jc w:val="both"/>
              <w:rPr>
                <w:sz w:val="28"/>
                <w:szCs w:val="28"/>
              </w:rPr>
            </w:pPr>
            <w:r w:rsidRPr="005F5B4E">
              <w:rPr>
                <w:sz w:val="28"/>
                <w:szCs w:val="28"/>
              </w:rPr>
              <w:t>8%</w:t>
            </w:r>
          </w:p>
        </w:tc>
        <w:tc>
          <w:tcPr>
            <w:tcW w:w="1332" w:type="dxa"/>
            <w:hideMark/>
          </w:tcPr>
          <w:p w14:paraId="61702C1E" w14:textId="77777777" w:rsidR="00C71DF8" w:rsidRPr="005F5B4E" w:rsidRDefault="00C71DF8" w:rsidP="0027689B">
            <w:pPr>
              <w:spacing w:after="160" w:line="259" w:lineRule="auto"/>
              <w:jc w:val="both"/>
              <w:rPr>
                <w:sz w:val="28"/>
                <w:szCs w:val="28"/>
              </w:rPr>
            </w:pPr>
            <w:r w:rsidRPr="005F5B4E">
              <w:rPr>
                <w:sz w:val="28"/>
                <w:szCs w:val="28"/>
              </w:rPr>
              <w:t>53%</w:t>
            </w:r>
          </w:p>
        </w:tc>
        <w:tc>
          <w:tcPr>
            <w:tcW w:w="1332" w:type="dxa"/>
            <w:hideMark/>
          </w:tcPr>
          <w:p w14:paraId="27595AE2"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2A005DBB"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0.0013</w:t>
            </w:r>
          </w:p>
        </w:tc>
      </w:tr>
      <w:tr w:rsidR="00C71DF8" w:rsidRPr="005F5B4E" w14:paraId="5AB0B557" w14:textId="77777777" w:rsidTr="0027689B">
        <w:trPr>
          <w:trHeight w:val="312"/>
        </w:trPr>
        <w:tc>
          <w:tcPr>
            <w:tcW w:w="1875" w:type="dxa"/>
            <w:hideMark/>
          </w:tcPr>
          <w:p w14:paraId="27583BEC" w14:textId="77777777" w:rsidR="00C71DF8" w:rsidRPr="005F5B4E" w:rsidRDefault="00C71DF8" w:rsidP="0027689B">
            <w:pPr>
              <w:spacing w:after="160" w:line="259" w:lineRule="auto"/>
              <w:jc w:val="both"/>
              <w:rPr>
                <w:sz w:val="28"/>
                <w:szCs w:val="28"/>
              </w:rPr>
            </w:pPr>
            <w:r w:rsidRPr="005F5B4E">
              <w:rPr>
                <w:sz w:val="28"/>
                <w:szCs w:val="28"/>
              </w:rPr>
              <w:t>1</w:t>
            </w:r>
          </w:p>
        </w:tc>
        <w:tc>
          <w:tcPr>
            <w:tcW w:w="1393" w:type="dxa"/>
            <w:hideMark/>
          </w:tcPr>
          <w:p w14:paraId="7EFF8467" w14:textId="77777777" w:rsidR="00C71DF8" w:rsidRPr="005F5B4E" w:rsidRDefault="00C71DF8" w:rsidP="0027689B">
            <w:pPr>
              <w:spacing w:after="160" w:line="259" w:lineRule="auto"/>
              <w:jc w:val="both"/>
              <w:rPr>
                <w:sz w:val="28"/>
                <w:szCs w:val="28"/>
              </w:rPr>
            </w:pPr>
            <w:r w:rsidRPr="005F5B4E">
              <w:rPr>
                <w:sz w:val="28"/>
                <w:szCs w:val="28"/>
              </w:rPr>
              <w:t>4%</w:t>
            </w:r>
          </w:p>
        </w:tc>
        <w:tc>
          <w:tcPr>
            <w:tcW w:w="559" w:type="dxa"/>
            <w:hideMark/>
          </w:tcPr>
          <w:p w14:paraId="2B87620C" w14:textId="77777777" w:rsidR="00C71DF8" w:rsidRPr="005F5B4E" w:rsidRDefault="00C71DF8" w:rsidP="0027689B">
            <w:pPr>
              <w:spacing w:after="160" w:line="259" w:lineRule="auto"/>
              <w:jc w:val="both"/>
              <w:rPr>
                <w:sz w:val="28"/>
                <w:szCs w:val="28"/>
              </w:rPr>
            </w:pPr>
            <w:r w:rsidRPr="005F5B4E">
              <w:rPr>
                <w:sz w:val="28"/>
                <w:szCs w:val="28"/>
              </w:rPr>
              <w:t>2%</w:t>
            </w:r>
          </w:p>
        </w:tc>
        <w:tc>
          <w:tcPr>
            <w:tcW w:w="1330" w:type="dxa"/>
            <w:hideMark/>
          </w:tcPr>
          <w:p w14:paraId="03C93F4E" w14:textId="77777777" w:rsidR="00C71DF8" w:rsidRPr="005F5B4E" w:rsidRDefault="00C71DF8" w:rsidP="0027689B">
            <w:pPr>
              <w:spacing w:after="160" w:line="259" w:lineRule="auto"/>
              <w:jc w:val="both"/>
              <w:rPr>
                <w:sz w:val="28"/>
                <w:szCs w:val="28"/>
              </w:rPr>
            </w:pPr>
            <w:r w:rsidRPr="005F5B4E">
              <w:rPr>
                <w:sz w:val="28"/>
                <w:szCs w:val="28"/>
              </w:rPr>
              <w:t>15%</w:t>
            </w:r>
          </w:p>
        </w:tc>
        <w:tc>
          <w:tcPr>
            <w:tcW w:w="1330" w:type="dxa"/>
            <w:hideMark/>
          </w:tcPr>
          <w:p w14:paraId="5A8E37C0" w14:textId="77777777" w:rsidR="00C71DF8" w:rsidRPr="005F5B4E" w:rsidRDefault="00C71DF8" w:rsidP="0027689B">
            <w:pPr>
              <w:spacing w:after="160" w:line="259" w:lineRule="auto"/>
              <w:jc w:val="both"/>
              <w:rPr>
                <w:sz w:val="28"/>
                <w:szCs w:val="28"/>
              </w:rPr>
            </w:pPr>
            <w:r w:rsidRPr="005F5B4E">
              <w:rPr>
                <w:sz w:val="28"/>
                <w:szCs w:val="28"/>
              </w:rPr>
              <w:t>5%</w:t>
            </w:r>
          </w:p>
        </w:tc>
        <w:tc>
          <w:tcPr>
            <w:tcW w:w="1332" w:type="dxa"/>
            <w:hideMark/>
          </w:tcPr>
          <w:p w14:paraId="1CFDA53B" w14:textId="77777777" w:rsidR="00C71DF8" w:rsidRPr="005F5B4E" w:rsidRDefault="00C71DF8" w:rsidP="0027689B">
            <w:pPr>
              <w:spacing w:after="160" w:line="259" w:lineRule="auto"/>
              <w:jc w:val="both"/>
              <w:rPr>
                <w:sz w:val="28"/>
                <w:szCs w:val="28"/>
              </w:rPr>
            </w:pPr>
            <w:r w:rsidRPr="005F5B4E">
              <w:rPr>
                <w:sz w:val="28"/>
                <w:szCs w:val="28"/>
              </w:rPr>
              <w:t>40%</w:t>
            </w:r>
          </w:p>
        </w:tc>
        <w:tc>
          <w:tcPr>
            <w:tcW w:w="1332" w:type="dxa"/>
            <w:hideMark/>
          </w:tcPr>
          <w:p w14:paraId="49B8922A" w14:textId="77777777" w:rsidR="00C71DF8" w:rsidRPr="005F5B4E" w:rsidRDefault="00C71DF8" w:rsidP="0027689B">
            <w:pPr>
              <w:spacing w:after="160" w:line="259" w:lineRule="auto"/>
              <w:jc w:val="both"/>
              <w:rPr>
                <w:sz w:val="28"/>
                <w:szCs w:val="28"/>
              </w:rPr>
            </w:pPr>
            <w:r w:rsidRPr="005F5B4E">
              <w:rPr>
                <w:sz w:val="28"/>
                <w:szCs w:val="28"/>
              </w:rPr>
              <w:t>13%</w:t>
            </w:r>
          </w:p>
        </w:tc>
        <w:tc>
          <w:tcPr>
            <w:tcW w:w="1332" w:type="dxa"/>
            <w:hideMark/>
          </w:tcPr>
          <w:p w14:paraId="48CC24E8"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0.0359</w:t>
            </w:r>
          </w:p>
        </w:tc>
      </w:tr>
      <w:tr w:rsidR="00C71DF8" w:rsidRPr="005F5B4E" w14:paraId="18E9D400" w14:textId="77777777" w:rsidTr="0027689B">
        <w:trPr>
          <w:trHeight w:val="312"/>
        </w:trPr>
        <w:tc>
          <w:tcPr>
            <w:tcW w:w="1875" w:type="dxa"/>
            <w:hideMark/>
          </w:tcPr>
          <w:p w14:paraId="4829BB5F" w14:textId="77777777" w:rsidR="00C71DF8" w:rsidRPr="005F5B4E" w:rsidRDefault="00C71DF8" w:rsidP="0027689B">
            <w:pPr>
              <w:spacing w:after="160" w:line="259" w:lineRule="auto"/>
              <w:jc w:val="both"/>
              <w:rPr>
                <w:sz w:val="28"/>
                <w:szCs w:val="28"/>
              </w:rPr>
            </w:pPr>
            <w:r w:rsidRPr="005F5B4E">
              <w:rPr>
                <w:sz w:val="28"/>
                <w:szCs w:val="28"/>
              </w:rPr>
              <w:t>0.3</w:t>
            </w:r>
          </w:p>
        </w:tc>
        <w:tc>
          <w:tcPr>
            <w:tcW w:w="1393" w:type="dxa"/>
            <w:hideMark/>
          </w:tcPr>
          <w:p w14:paraId="04061384" w14:textId="77777777" w:rsidR="00C71DF8" w:rsidRPr="005F5B4E" w:rsidRDefault="00C71DF8" w:rsidP="0027689B">
            <w:pPr>
              <w:spacing w:after="160" w:line="259" w:lineRule="auto"/>
              <w:jc w:val="both"/>
              <w:rPr>
                <w:sz w:val="28"/>
                <w:szCs w:val="28"/>
              </w:rPr>
            </w:pPr>
            <w:r w:rsidRPr="005F5B4E">
              <w:rPr>
                <w:sz w:val="28"/>
                <w:szCs w:val="28"/>
              </w:rPr>
              <w:t>-8%</w:t>
            </w:r>
          </w:p>
        </w:tc>
        <w:tc>
          <w:tcPr>
            <w:tcW w:w="559" w:type="dxa"/>
            <w:hideMark/>
          </w:tcPr>
          <w:p w14:paraId="782766EC" w14:textId="77777777" w:rsidR="00C71DF8" w:rsidRPr="005F5B4E" w:rsidRDefault="00C71DF8" w:rsidP="0027689B">
            <w:pPr>
              <w:spacing w:after="160" w:line="259" w:lineRule="auto"/>
              <w:jc w:val="both"/>
              <w:rPr>
                <w:sz w:val="28"/>
                <w:szCs w:val="28"/>
              </w:rPr>
            </w:pPr>
            <w:r w:rsidRPr="005F5B4E">
              <w:rPr>
                <w:sz w:val="28"/>
                <w:szCs w:val="28"/>
              </w:rPr>
              <w:t>3%</w:t>
            </w:r>
          </w:p>
        </w:tc>
        <w:tc>
          <w:tcPr>
            <w:tcW w:w="1330" w:type="dxa"/>
            <w:hideMark/>
          </w:tcPr>
          <w:p w14:paraId="1AA45FE0" w14:textId="77777777" w:rsidR="00C71DF8" w:rsidRPr="005F5B4E" w:rsidRDefault="00C71DF8" w:rsidP="0027689B">
            <w:pPr>
              <w:spacing w:after="160" w:line="259" w:lineRule="auto"/>
              <w:jc w:val="both"/>
              <w:rPr>
                <w:sz w:val="28"/>
                <w:szCs w:val="28"/>
              </w:rPr>
            </w:pPr>
            <w:r w:rsidRPr="005F5B4E">
              <w:rPr>
                <w:sz w:val="28"/>
                <w:szCs w:val="28"/>
              </w:rPr>
              <w:t>3%</w:t>
            </w:r>
          </w:p>
        </w:tc>
        <w:tc>
          <w:tcPr>
            <w:tcW w:w="1330" w:type="dxa"/>
            <w:hideMark/>
          </w:tcPr>
          <w:p w14:paraId="2EFEDCD5" w14:textId="77777777" w:rsidR="00C71DF8" w:rsidRPr="005F5B4E" w:rsidRDefault="00C71DF8" w:rsidP="0027689B">
            <w:pPr>
              <w:spacing w:after="160" w:line="259" w:lineRule="auto"/>
              <w:jc w:val="both"/>
              <w:rPr>
                <w:sz w:val="28"/>
                <w:szCs w:val="28"/>
              </w:rPr>
            </w:pPr>
            <w:r w:rsidRPr="005F5B4E">
              <w:rPr>
                <w:sz w:val="28"/>
                <w:szCs w:val="28"/>
              </w:rPr>
              <w:t>6%</w:t>
            </w:r>
          </w:p>
        </w:tc>
        <w:tc>
          <w:tcPr>
            <w:tcW w:w="1332" w:type="dxa"/>
            <w:hideMark/>
          </w:tcPr>
          <w:p w14:paraId="026AA3A9" w14:textId="77777777" w:rsidR="00C71DF8" w:rsidRPr="005F5B4E" w:rsidRDefault="00C71DF8" w:rsidP="0027689B">
            <w:pPr>
              <w:spacing w:after="160" w:line="259" w:lineRule="auto"/>
              <w:jc w:val="both"/>
              <w:rPr>
                <w:sz w:val="28"/>
                <w:szCs w:val="28"/>
              </w:rPr>
            </w:pPr>
            <w:r w:rsidRPr="005F5B4E">
              <w:rPr>
                <w:sz w:val="28"/>
                <w:szCs w:val="28"/>
              </w:rPr>
              <w:t>36%</w:t>
            </w:r>
          </w:p>
        </w:tc>
        <w:tc>
          <w:tcPr>
            <w:tcW w:w="1332" w:type="dxa"/>
            <w:hideMark/>
          </w:tcPr>
          <w:p w14:paraId="50153A6C" w14:textId="77777777" w:rsidR="00C71DF8" w:rsidRPr="005F5B4E" w:rsidRDefault="00C71DF8" w:rsidP="0027689B">
            <w:pPr>
              <w:spacing w:after="160" w:line="259" w:lineRule="auto"/>
              <w:jc w:val="both"/>
              <w:rPr>
                <w:sz w:val="28"/>
                <w:szCs w:val="28"/>
              </w:rPr>
            </w:pPr>
            <w:r w:rsidRPr="005F5B4E">
              <w:rPr>
                <w:sz w:val="28"/>
                <w:szCs w:val="28"/>
              </w:rPr>
              <w:t>9%</w:t>
            </w:r>
          </w:p>
        </w:tc>
        <w:tc>
          <w:tcPr>
            <w:tcW w:w="1332" w:type="dxa"/>
            <w:hideMark/>
          </w:tcPr>
          <w:p w14:paraId="596F2BA2"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0.0062</w:t>
            </w:r>
          </w:p>
        </w:tc>
      </w:tr>
      <w:tr w:rsidR="00C71DF8" w:rsidRPr="005F5B4E" w14:paraId="73B014E6" w14:textId="77777777" w:rsidTr="0027689B">
        <w:trPr>
          <w:trHeight w:val="312"/>
        </w:trPr>
        <w:tc>
          <w:tcPr>
            <w:tcW w:w="1875" w:type="dxa"/>
            <w:hideMark/>
          </w:tcPr>
          <w:p w14:paraId="5D76B7ED" w14:textId="77777777" w:rsidR="00C71DF8" w:rsidRPr="005F5B4E" w:rsidRDefault="00C71DF8" w:rsidP="0027689B">
            <w:pPr>
              <w:spacing w:after="160" w:line="259" w:lineRule="auto"/>
              <w:jc w:val="both"/>
              <w:rPr>
                <w:sz w:val="28"/>
                <w:szCs w:val="28"/>
              </w:rPr>
            </w:pPr>
            <w:r w:rsidRPr="005F5B4E">
              <w:rPr>
                <w:sz w:val="28"/>
                <w:szCs w:val="28"/>
              </w:rPr>
              <w:t>0.1</w:t>
            </w:r>
          </w:p>
        </w:tc>
        <w:tc>
          <w:tcPr>
            <w:tcW w:w="1393" w:type="dxa"/>
            <w:hideMark/>
          </w:tcPr>
          <w:p w14:paraId="2E7AD438" w14:textId="77777777" w:rsidR="00C71DF8" w:rsidRPr="005F5B4E" w:rsidRDefault="00C71DF8" w:rsidP="0027689B">
            <w:pPr>
              <w:spacing w:after="160" w:line="259" w:lineRule="auto"/>
              <w:jc w:val="both"/>
              <w:rPr>
                <w:sz w:val="28"/>
                <w:szCs w:val="28"/>
              </w:rPr>
            </w:pPr>
            <w:r w:rsidRPr="005F5B4E">
              <w:rPr>
                <w:sz w:val="28"/>
                <w:szCs w:val="28"/>
              </w:rPr>
              <w:t>0%</w:t>
            </w:r>
          </w:p>
        </w:tc>
        <w:tc>
          <w:tcPr>
            <w:tcW w:w="559" w:type="dxa"/>
            <w:hideMark/>
          </w:tcPr>
          <w:p w14:paraId="392C2902" w14:textId="77777777" w:rsidR="00C71DF8" w:rsidRPr="005F5B4E" w:rsidRDefault="00C71DF8" w:rsidP="0027689B">
            <w:pPr>
              <w:spacing w:after="160" w:line="259" w:lineRule="auto"/>
              <w:jc w:val="both"/>
              <w:rPr>
                <w:sz w:val="28"/>
                <w:szCs w:val="28"/>
              </w:rPr>
            </w:pPr>
            <w:r w:rsidRPr="005F5B4E">
              <w:rPr>
                <w:sz w:val="28"/>
                <w:szCs w:val="28"/>
              </w:rPr>
              <w:t>0%</w:t>
            </w:r>
          </w:p>
        </w:tc>
        <w:tc>
          <w:tcPr>
            <w:tcW w:w="1330" w:type="dxa"/>
            <w:hideMark/>
          </w:tcPr>
          <w:p w14:paraId="6E2E0232" w14:textId="77777777" w:rsidR="00C71DF8" w:rsidRPr="005F5B4E" w:rsidRDefault="00C71DF8" w:rsidP="0027689B">
            <w:pPr>
              <w:spacing w:after="160" w:line="259" w:lineRule="auto"/>
              <w:jc w:val="both"/>
              <w:rPr>
                <w:sz w:val="28"/>
                <w:szCs w:val="28"/>
              </w:rPr>
            </w:pPr>
            <w:r w:rsidRPr="005F5B4E">
              <w:rPr>
                <w:sz w:val="28"/>
                <w:szCs w:val="28"/>
              </w:rPr>
              <w:t>11%</w:t>
            </w:r>
          </w:p>
        </w:tc>
        <w:tc>
          <w:tcPr>
            <w:tcW w:w="1330" w:type="dxa"/>
            <w:hideMark/>
          </w:tcPr>
          <w:p w14:paraId="76173B83"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7452FA76" w14:textId="77777777" w:rsidR="00C71DF8" w:rsidRPr="005F5B4E" w:rsidRDefault="00C71DF8" w:rsidP="0027689B">
            <w:pPr>
              <w:spacing w:after="160" w:line="259" w:lineRule="auto"/>
              <w:jc w:val="both"/>
              <w:rPr>
                <w:sz w:val="28"/>
                <w:szCs w:val="28"/>
              </w:rPr>
            </w:pPr>
            <w:r w:rsidRPr="005F5B4E">
              <w:rPr>
                <w:sz w:val="28"/>
                <w:szCs w:val="28"/>
              </w:rPr>
              <w:t>33%</w:t>
            </w:r>
          </w:p>
        </w:tc>
        <w:tc>
          <w:tcPr>
            <w:tcW w:w="1332" w:type="dxa"/>
            <w:hideMark/>
          </w:tcPr>
          <w:p w14:paraId="2E5F7409"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1EF337CA"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0.0075</w:t>
            </w:r>
          </w:p>
        </w:tc>
      </w:tr>
      <w:tr w:rsidR="00C71DF8" w:rsidRPr="005F5B4E" w14:paraId="0FFFB16C" w14:textId="77777777" w:rsidTr="0027689B">
        <w:trPr>
          <w:trHeight w:val="312"/>
        </w:trPr>
        <w:tc>
          <w:tcPr>
            <w:tcW w:w="1875" w:type="dxa"/>
            <w:hideMark/>
          </w:tcPr>
          <w:p w14:paraId="451EB790" w14:textId="77777777" w:rsidR="00C71DF8" w:rsidRPr="005F5B4E" w:rsidRDefault="00C71DF8" w:rsidP="0027689B">
            <w:pPr>
              <w:spacing w:after="160" w:line="259" w:lineRule="auto"/>
              <w:jc w:val="both"/>
              <w:rPr>
                <w:sz w:val="28"/>
                <w:szCs w:val="28"/>
              </w:rPr>
            </w:pPr>
            <w:r w:rsidRPr="005F5B4E">
              <w:rPr>
                <w:sz w:val="28"/>
                <w:szCs w:val="28"/>
              </w:rPr>
              <w:t>0.03</w:t>
            </w:r>
          </w:p>
        </w:tc>
        <w:tc>
          <w:tcPr>
            <w:tcW w:w="1393" w:type="dxa"/>
            <w:hideMark/>
          </w:tcPr>
          <w:p w14:paraId="4674DA77" w14:textId="77777777" w:rsidR="00C71DF8" w:rsidRPr="005F5B4E" w:rsidRDefault="00C71DF8" w:rsidP="0027689B">
            <w:pPr>
              <w:spacing w:after="160" w:line="259" w:lineRule="auto"/>
              <w:jc w:val="both"/>
              <w:rPr>
                <w:sz w:val="28"/>
                <w:szCs w:val="28"/>
              </w:rPr>
            </w:pPr>
            <w:r w:rsidRPr="005F5B4E">
              <w:rPr>
                <w:sz w:val="28"/>
                <w:szCs w:val="28"/>
              </w:rPr>
              <w:t>0%</w:t>
            </w:r>
          </w:p>
        </w:tc>
        <w:tc>
          <w:tcPr>
            <w:tcW w:w="559" w:type="dxa"/>
            <w:hideMark/>
          </w:tcPr>
          <w:p w14:paraId="0BEDE831" w14:textId="77777777" w:rsidR="00C71DF8" w:rsidRPr="005F5B4E" w:rsidRDefault="00C71DF8" w:rsidP="0027689B">
            <w:pPr>
              <w:spacing w:after="160" w:line="259" w:lineRule="auto"/>
              <w:jc w:val="both"/>
              <w:rPr>
                <w:sz w:val="28"/>
                <w:szCs w:val="28"/>
              </w:rPr>
            </w:pPr>
            <w:r w:rsidRPr="005F5B4E">
              <w:rPr>
                <w:sz w:val="28"/>
                <w:szCs w:val="28"/>
              </w:rPr>
              <w:t>5%</w:t>
            </w:r>
          </w:p>
        </w:tc>
        <w:tc>
          <w:tcPr>
            <w:tcW w:w="1330" w:type="dxa"/>
            <w:hideMark/>
          </w:tcPr>
          <w:p w14:paraId="40F154ED" w14:textId="77777777" w:rsidR="00C71DF8" w:rsidRPr="005F5B4E" w:rsidRDefault="00C71DF8" w:rsidP="0027689B">
            <w:pPr>
              <w:spacing w:after="160" w:line="259" w:lineRule="auto"/>
              <w:jc w:val="both"/>
              <w:rPr>
                <w:sz w:val="28"/>
                <w:szCs w:val="28"/>
              </w:rPr>
            </w:pPr>
            <w:r w:rsidRPr="005F5B4E">
              <w:rPr>
                <w:sz w:val="28"/>
                <w:szCs w:val="28"/>
              </w:rPr>
              <w:t>11%</w:t>
            </w:r>
          </w:p>
        </w:tc>
        <w:tc>
          <w:tcPr>
            <w:tcW w:w="1330" w:type="dxa"/>
            <w:hideMark/>
          </w:tcPr>
          <w:p w14:paraId="0553D9A0" w14:textId="77777777" w:rsidR="00C71DF8" w:rsidRPr="005F5B4E" w:rsidRDefault="00C71DF8" w:rsidP="0027689B">
            <w:pPr>
              <w:spacing w:after="160" w:line="259" w:lineRule="auto"/>
              <w:jc w:val="both"/>
              <w:rPr>
                <w:sz w:val="28"/>
                <w:szCs w:val="28"/>
              </w:rPr>
            </w:pPr>
            <w:r w:rsidRPr="005F5B4E">
              <w:rPr>
                <w:sz w:val="28"/>
                <w:szCs w:val="28"/>
              </w:rPr>
              <w:t>8%</w:t>
            </w:r>
          </w:p>
        </w:tc>
        <w:tc>
          <w:tcPr>
            <w:tcW w:w="1332" w:type="dxa"/>
            <w:hideMark/>
          </w:tcPr>
          <w:p w14:paraId="7CD07436" w14:textId="77777777" w:rsidR="00C71DF8" w:rsidRPr="005F5B4E" w:rsidRDefault="00C71DF8" w:rsidP="0027689B">
            <w:pPr>
              <w:spacing w:after="160" w:line="259" w:lineRule="auto"/>
              <w:jc w:val="both"/>
              <w:rPr>
                <w:sz w:val="28"/>
                <w:szCs w:val="28"/>
              </w:rPr>
            </w:pPr>
            <w:r w:rsidRPr="005F5B4E">
              <w:rPr>
                <w:sz w:val="28"/>
                <w:szCs w:val="28"/>
              </w:rPr>
              <w:t>33%</w:t>
            </w:r>
          </w:p>
        </w:tc>
        <w:tc>
          <w:tcPr>
            <w:tcW w:w="1332" w:type="dxa"/>
            <w:hideMark/>
          </w:tcPr>
          <w:p w14:paraId="64073872"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040D5EEF"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0.0231</w:t>
            </w:r>
          </w:p>
        </w:tc>
      </w:tr>
    </w:tbl>
    <w:p w14:paraId="5F46315B" w14:textId="77777777" w:rsidR="00C71DF8" w:rsidRPr="005F5B4E" w:rsidRDefault="00C71DF8" w:rsidP="00C71DF8">
      <w:pPr>
        <w:jc w:val="both"/>
        <w:rPr>
          <w:sz w:val="24"/>
          <w:szCs w:val="24"/>
        </w:rPr>
      </w:pPr>
    </w:p>
    <w:p w14:paraId="22E067F2" w14:textId="77777777" w:rsidR="00C71DF8" w:rsidRDefault="00C71DF8" w:rsidP="00C71DF8"/>
    <w:p w14:paraId="16007A5F" w14:textId="77777777" w:rsidR="00C71DF8" w:rsidRDefault="00C71DF8" w:rsidP="00C71DF8"/>
    <w:p w14:paraId="2B633E9E" w14:textId="77777777" w:rsidR="00C71DF8" w:rsidRDefault="00C71DF8" w:rsidP="00C71DF8"/>
    <w:p w14:paraId="1965FE68" w14:textId="77777777" w:rsidR="00C71DF8" w:rsidRDefault="00C71DF8" w:rsidP="00C71DF8"/>
    <w:p w14:paraId="78DD886F" w14:textId="77777777" w:rsidR="00C71DF8" w:rsidRDefault="00C71DF8" w:rsidP="00C71DF8"/>
    <w:p w14:paraId="65C8146A" w14:textId="77777777" w:rsidR="00C71DF8" w:rsidRDefault="00C71DF8" w:rsidP="00C71DF8"/>
    <w:p w14:paraId="47C41DB8" w14:textId="77777777" w:rsidR="00C71DF8" w:rsidRDefault="00C71DF8" w:rsidP="00C71DF8"/>
    <w:p w14:paraId="49B4F54F" w14:textId="77777777" w:rsidR="00C71DF8" w:rsidRDefault="00C71DF8" w:rsidP="00C71DF8"/>
    <w:p w14:paraId="3E33ACE5" w14:textId="77777777" w:rsidR="00C71DF8" w:rsidRDefault="00C71DF8" w:rsidP="00C71DF8"/>
    <w:p w14:paraId="5F7C94D2" w14:textId="77777777" w:rsidR="00C71DF8" w:rsidRDefault="00C71DF8" w:rsidP="00C71DF8"/>
    <w:p w14:paraId="49662F01" w14:textId="77777777" w:rsidR="00C71DF8" w:rsidRDefault="00C71DF8" w:rsidP="00C71DF8"/>
    <w:p w14:paraId="702616B9" w14:textId="77777777" w:rsidR="00C71DF8" w:rsidRDefault="00C71DF8" w:rsidP="00C71DF8"/>
    <w:p w14:paraId="00429D7D" w14:textId="77777777" w:rsidR="00C71DF8" w:rsidRPr="005F5B4E" w:rsidRDefault="00C71DF8" w:rsidP="00C71DF8">
      <w:pPr>
        <w:jc w:val="both"/>
        <w:rPr>
          <w:b/>
          <w:bCs/>
        </w:rPr>
      </w:pPr>
      <w:r w:rsidRPr="005F5B4E">
        <w:rPr>
          <w:b/>
          <w:bCs/>
        </w:rPr>
        <w:lastRenderedPageBreak/>
        <w:t xml:space="preserve">Table 2: Statistical comparison using Student’s t-test between predicted and observed effects when combining tamoxifen with 0.3 </w:t>
      </w:r>
      <w:r w:rsidRPr="005F5B4E">
        <w:rPr>
          <w:rFonts w:cstheme="minorHAnsi"/>
          <w:b/>
          <w:bCs/>
        </w:rPr>
        <w:t>µ</w:t>
      </w:r>
      <w:r w:rsidRPr="005F5B4E">
        <w:rPr>
          <w:b/>
          <w:bCs/>
        </w:rPr>
        <w:t>M simvastatin.</w:t>
      </w:r>
      <w:r w:rsidRPr="005F5B4E">
        <w:t xml:space="preserve"> P&lt;0.05 in red. Predictive effect is the arithmetic sum of percentage inhibition by vardenafil and 11% inhibition by 0.3 </w:t>
      </w:r>
      <w:r w:rsidRPr="005F5B4E">
        <w:rPr>
          <w:rFonts w:cstheme="minorHAnsi"/>
        </w:rPr>
        <w:t>µ</w:t>
      </w:r>
      <w:r w:rsidRPr="005F5B4E">
        <w:t>M simvastatin.</w:t>
      </w:r>
      <w:r w:rsidRPr="005F5B4E">
        <w:rPr>
          <w:b/>
          <w:bCs/>
        </w:rPr>
        <w:t xml:space="preserve"> </w:t>
      </w:r>
    </w:p>
    <w:tbl>
      <w:tblPr>
        <w:tblStyle w:val="TableGrid"/>
        <w:tblpPr w:leftFromText="180" w:rightFromText="180" w:vertAnchor="text" w:horzAnchor="margin" w:tblpXSpec="center" w:tblpY="3"/>
        <w:tblW w:w="10497" w:type="dxa"/>
        <w:tblLook w:val="0600" w:firstRow="0" w:lastRow="0" w:firstColumn="0" w:lastColumn="0" w:noHBand="1" w:noVBand="1"/>
      </w:tblPr>
      <w:tblGrid>
        <w:gridCol w:w="1875"/>
        <w:gridCol w:w="1407"/>
        <w:gridCol w:w="559"/>
        <w:gridCol w:w="1330"/>
        <w:gridCol w:w="1330"/>
        <w:gridCol w:w="1332"/>
        <w:gridCol w:w="1332"/>
        <w:gridCol w:w="1332"/>
      </w:tblGrid>
      <w:tr w:rsidR="00C71DF8" w:rsidRPr="005F5B4E" w14:paraId="61A9A672" w14:textId="77777777" w:rsidTr="0027689B">
        <w:trPr>
          <w:trHeight w:val="326"/>
        </w:trPr>
        <w:tc>
          <w:tcPr>
            <w:tcW w:w="1875" w:type="dxa"/>
            <w:hideMark/>
          </w:tcPr>
          <w:p w14:paraId="16A075A4" w14:textId="77777777" w:rsidR="00C71DF8" w:rsidRPr="005F5B4E" w:rsidRDefault="00C71DF8" w:rsidP="0027689B">
            <w:pPr>
              <w:spacing w:after="160" w:line="259" w:lineRule="auto"/>
              <w:jc w:val="center"/>
              <w:rPr>
                <w:sz w:val="28"/>
                <w:szCs w:val="28"/>
              </w:rPr>
            </w:pPr>
            <w:r w:rsidRPr="005F5B4E">
              <w:rPr>
                <w:b/>
                <w:bCs/>
                <w:sz w:val="28"/>
                <w:szCs w:val="28"/>
              </w:rPr>
              <w:t>Concentration of tamoxifen (µM)</w:t>
            </w:r>
          </w:p>
        </w:tc>
        <w:tc>
          <w:tcPr>
            <w:tcW w:w="1407" w:type="dxa"/>
            <w:hideMark/>
          </w:tcPr>
          <w:p w14:paraId="24CDD505" w14:textId="77777777" w:rsidR="00C71DF8" w:rsidRPr="005F5B4E" w:rsidRDefault="00C71DF8" w:rsidP="0027689B">
            <w:pPr>
              <w:spacing w:after="160" w:line="259" w:lineRule="auto"/>
              <w:jc w:val="center"/>
              <w:rPr>
                <w:sz w:val="28"/>
                <w:szCs w:val="28"/>
              </w:rPr>
            </w:pPr>
            <w:r w:rsidRPr="005F5B4E">
              <w:rPr>
                <w:b/>
                <w:bCs/>
                <w:sz w:val="28"/>
                <w:szCs w:val="28"/>
              </w:rPr>
              <w:t>Inhibition by</w:t>
            </w:r>
          </w:p>
          <w:p w14:paraId="0771EAC1" w14:textId="77777777" w:rsidR="00C71DF8" w:rsidRPr="005F5B4E" w:rsidRDefault="00C71DF8" w:rsidP="0027689B">
            <w:pPr>
              <w:spacing w:after="160" w:line="259" w:lineRule="auto"/>
              <w:jc w:val="center"/>
              <w:rPr>
                <w:sz w:val="28"/>
                <w:szCs w:val="28"/>
              </w:rPr>
            </w:pPr>
            <w:r w:rsidRPr="005F5B4E">
              <w:rPr>
                <w:b/>
                <w:bCs/>
                <w:sz w:val="28"/>
                <w:szCs w:val="28"/>
              </w:rPr>
              <w:t>tamoxifen only</w:t>
            </w:r>
          </w:p>
        </w:tc>
        <w:tc>
          <w:tcPr>
            <w:tcW w:w="559" w:type="dxa"/>
            <w:hideMark/>
          </w:tcPr>
          <w:p w14:paraId="3847B42C" w14:textId="77777777" w:rsidR="00C71DF8" w:rsidRPr="005F5B4E" w:rsidRDefault="00C71DF8" w:rsidP="0027689B">
            <w:pPr>
              <w:spacing w:after="160" w:line="259" w:lineRule="auto"/>
              <w:jc w:val="center"/>
              <w:rPr>
                <w:sz w:val="28"/>
                <w:szCs w:val="28"/>
              </w:rPr>
            </w:pPr>
            <w:r w:rsidRPr="005F5B4E">
              <w:rPr>
                <w:b/>
                <w:bCs/>
                <w:sz w:val="28"/>
                <w:szCs w:val="28"/>
              </w:rPr>
              <w:t>SD</w:t>
            </w:r>
          </w:p>
        </w:tc>
        <w:tc>
          <w:tcPr>
            <w:tcW w:w="1330" w:type="dxa"/>
            <w:hideMark/>
          </w:tcPr>
          <w:p w14:paraId="31D7CF75" w14:textId="77777777" w:rsidR="00C71DF8" w:rsidRPr="005F5B4E" w:rsidRDefault="00C71DF8" w:rsidP="0027689B">
            <w:pPr>
              <w:spacing w:after="160" w:line="259" w:lineRule="auto"/>
              <w:jc w:val="center"/>
              <w:rPr>
                <w:sz w:val="28"/>
                <w:szCs w:val="28"/>
              </w:rPr>
            </w:pPr>
            <w:r w:rsidRPr="005F5B4E">
              <w:rPr>
                <w:b/>
                <w:bCs/>
                <w:sz w:val="28"/>
                <w:szCs w:val="28"/>
              </w:rPr>
              <w:t>Predicted additive effect</w:t>
            </w:r>
          </w:p>
        </w:tc>
        <w:tc>
          <w:tcPr>
            <w:tcW w:w="1330" w:type="dxa"/>
            <w:hideMark/>
          </w:tcPr>
          <w:p w14:paraId="3F3E7C51" w14:textId="77777777" w:rsidR="00C71DF8" w:rsidRPr="005F5B4E" w:rsidRDefault="00C71DF8" w:rsidP="0027689B">
            <w:pPr>
              <w:spacing w:after="160" w:line="259" w:lineRule="auto"/>
              <w:jc w:val="center"/>
              <w:rPr>
                <w:sz w:val="28"/>
                <w:szCs w:val="28"/>
              </w:rPr>
            </w:pPr>
            <w:r w:rsidRPr="005F5B4E">
              <w:rPr>
                <w:b/>
                <w:bCs/>
                <w:sz w:val="28"/>
                <w:szCs w:val="28"/>
              </w:rPr>
              <w:t>Predicted SD</w:t>
            </w:r>
          </w:p>
        </w:tc>
        <w:tc>
          <w:tcPr>
            <w:tcW w:w="1332" w:type="dxa"/>
            <w:hideMark/>
          </w:tcPr>
          <w:p w14:paraId="5B340DD6" w14:textId="77777777" w:rsidR="00C71DF8" w:rsidRPr="005F5B4E" w:rsidRDefault="00C71DF8" w:rsidP="0027689B">
            <w:pPr>
              <w:spacing w:after="160" w:line="259" w:lineRule="auto"/>
              <w:jc w:val="center"/>
              <w:rPr>
                <w:sz w:val="28"/>
                <w:szCs w:val="28"/>
              </w:rPr>
            </w:pPr>
            <w:r w:rsidRPr="005F5B4E">
              <w:rPr>
                <w:b/>
                <w:bCs/>
                <w:sz w:val="28"/>
                <w:szCs w:val="28"/>
              </w:rPr>
              <w:t>Observed effect</w:t>
            </w:r>
          </w:p>
        </w:tc>
        <w:tc>
          <w:tcPr>
            <w:tcW w:w="1332" w:type="dxa"/>
            <w:hideMark/>
          </w:tcPr>
          <w:p w14:paraId="77039F7C" w14:textId="77777777" w:rsidR="00C71DF8" w:rsidRPr="005F5B4E" w:rsidRDefault="00C71DF8" w:rsidP="0027689B">
            <w:pPr>
              <w:spacing w:after="160" w:line="259" w:lineRule="auto"/>
              <w:jc w:val="center"/>
              <w:rPr>
                <w:sz w:val="28"/>
                <w:szCs w:val="28"/>
              </w:rPr>
            </w:pPr>
            <w:r w:rsidRPr="005F5B4E">
              <w:rPr>
                <w:b/>
                <w:bCs/>
                <w:sz w:val="28"/>
                <w:szCs w:val="28"/>
              </w:rPr>
              <w:t>Observed SD</w:t>
            </w:r>
          </w:p>
        </w:tc>
        <w:tc>
          <w:tcPr>
            <w:tcW w:w="1332" w:type="dxa"/>
            <w:hideMark/>
          </w:tcPr>
          <w:p w14:paraId="610A4298" w14:textId="77777777" w:rsidR="00C71DF8" w:rsidRPr="005F5B4E" w:rsidRDefault="00C71DF8" w:rsidP="0027689B">
            <w:pPr>
              <w:spacing w:after="160" w:line="259" w:lineRule="auto"/>
              <w:jc w:val="center"/>
              <w:rPr>
                <w:sz w:val="28"/>
                <w:szCs w:val="28"/>
              </w:rPr>
            </w:pPr>
            <w:r w:rsidRPr="005F5B4E">
              <w:rPr>
                <w:b/>
                <w:bCs/>
                <w:sz w:val="28"/>
                <w:szCs w:val="28"/>
              </w:rPr>
              <w:t>t-test predicted vs observed</w:t>
            </w:r>
          </w:p>
        </w:tc>
      </w:tr>
      <w:tr w:rsidR="00C71DF8" w:rsidRPr="005F5B4E" w14:paraId="28665B44" w14:textId="77777777" w:rsidTr="0027689B">
        <w:trPr>
          <w:trHeight w:val="353"/>
        </w:trPr>
        <w:tc>
          <w:tcPr>
            <w:tcW w:w="1875" w:type="dxa"/>
            <w:hideMark/>
          </w:tcPr>
          <w:p w14:paraId="44634C77" w14:textId="77777777" w:rsidR="00C71DF8" w:rsidRPr="005F5B4E" w:rsidRDefault="00C71DF8" w:rsidP="0027689B">
            <w:pPr>
              <w:spacing w:after="160" w:line="259" w:lineRule="auto"/>
              <w:jc w:val="both"/>
              <w:rPr>
                <w:sz w:val="28"/>
                <w:szCs w:val="28"/>
              </w:rPr>
            </w:pPr>
            <w:r w:rsidRPr="005F5B4E">
              <w:rPr>
                <w:sz w:val="28"/>
                <w:szCs w:val="28"/>
              </w:rPr>
              <w:t>54</w:t>
            </w:r>
          </w:p>
        </w:tc>
        <w:tc>
          <w:tcPr>
            <w:tcW w:w="1407" w:type="dxa"/>
            <w:hideMark/>
          </w:tcPr>
          <w:p w14:paraId="30793E09" w14:textId="77777777" w:rsidR="00C71DF8" w:rsidRPr="005F5B4E" w:rsidRDefault="00C71DF8" w:rsidP="0027689B">
            <w:pPr>
              <w:spacing w:after="160" w:line="259" w:lineRule="auto"/>
              <w:jc w:val="both"/>
              <w:rPr>
                <w:sz w:val="28"/>
                <w:szCs w:val="28"/>
              </w:rPr>
            </w:pPr>
            <w:r w:rsidRPr="005F5B4E">
              <w:rPr>
                <w:sz w:val="28"/>
                <w:szCs w:val="28"/>
              </w:rPr>
              <w:t>100%</w:t>
            </w:r>
          </w:p>
        </w:tc>
        <w:tc>
          <w:tcPr>
            <w:tcW w:w="559" w:type="dxa"/>
            <w:hideMark/>
          </w:tcPr>
          <w:p w14:paraId="364D99B7" w14:textId="77777777" w:rsidR="00C71DF8" w:rsidRPr="005F5B4E" w:rsidRDefault="00C71DF8" w:rsidP="0027689B">
            <w:pPr>
              <w:spacing w:after="160" w:line="259" w:lineRule="auto"/>
              <w:jc w:val="both"/>
              <w:rPr>
                <w:sz w:val="28"/>
                <w:szCs w:val="28"/>
              </w:rPr>
            </w:pPr>
            <w:r w:rsidRPr="005F5B4E">
              <w:rPr>
                <w:sz w:val="28"/>
                <w:szCs w:val="28"/>
              </w:rPr>
              <w:t>0%</w:t>
            </w:r>
          </w:p>
        </w:tc>
        <w:tc>
          <w:tcPr>
            <w:tcW w:w="1330" w:type="dxa"/>
            <w:hideMark/>
          </w:tcPr>
          <w:p w14:paraId="5A0ECF08" w14:textId="77777777" w:rsidR="00C71DF8" w:rsidRPr="005F5B4E" w:rsidRDefault="00C71DF8" w:rsidP="0027689B">
            <w:pPr>
              <w:spacing w:after="160" w:line="259" w:lineRule="auto"/>
              <w:jc w:val="both"/>
              <w:rPr>
                <w:sz w:val="28"/>
                <w:szCs w:val="28"/>
              </w:rPr>
            </w:pPr>
            <w:r w:rsidRPr="005F5B4E">
              <w:rPr>
                <w:sz w:val="28"/>
                <w:szCs w:val="28"/>
              </w:rPr>
              <w:t>111%</w:t>
            </w:r>
          </w:p>
        </w:tc>
        <w:tc>
          <w:tcPr>
            <w:tcW w:w="1330" w:type="dxa"/>
            <w:hideMark/>
          </w:tcPr>
          <w:p w14:paraId="05293FAD"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1A7C7431" w14:textId="77777777" w:rsidR="00C71DF8" w:rsidRPr="005F5B4E" w:rsidRDefault="00C71DF8" w:rsidP="0027689B">
            <w:pPr>
              <w:spacing w:after="160" w:line="259" w:lineRule="auto"/>
              <w:jc w:val="both"/>
              <w:rPr>
                <w:sz w:val="28"/>
                <w:szCs w:val="28"/>
              </w:rPr>
            </w:pPr>
            <w:r w:rsidRPr="005F5B4E">
              <w:rPr>
                <w:sz w:val="28"/>
                <w:szCs w:val="28"/>
              </w:rPr>
              <w:t>101%</w:t>
            </w:r>
          </w:p>
        </w:tc>
        <w:tc>
          <w:tcPr>
            <w:tcW w:w="1332" w:type="dxa"/>
            <w:hideMark/>
          </w:tcPr>
          <w:p w14:paraId="338232F3" w14:textId="77777777" w:rsidR="00C71DF8" w:rsidRPr="005F5B4E" w:rsidRDefault="00C71DF8" w:rsidP="0027689B">
            <w:pPr>
              <w:spacing w:after="160" w:line="259" w:lineRule="auto"/>
              <w:jc w:val="both"/>
              <w:rPr>
                <w:sz w:val="28"/>
                <w:szCs w:val="28"/>
              </w:rPr>
            </w:pPr>
            <w:r w:rsidRPr="005F5B4E">
              <w:rPr>
                <w:sz w:val="28"/>
                <w:szCs w:val="28"/>
              </w:rPr>
              <w:t>2%</w:t>
            </w:r>
          </w:p>
        </w:tc>
        <w:tc>
          <w:tcPr>
            <w:tcW w:w="1332" w:type="dxa"/>
            <w:hideMark/>
          </w:tcPr>
          <w:p w14:paraId="24E96221"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67A04E28" w14:textId="77777777" w:rsidTr="0027689B">
        <w:trPr>
          <w:trHeight w:val="353"/>
        </w:trPr>
        <w:tc>
          <w:tcPr>
            <w:tcW w:w="1875" w:type="dxa"/>
            <w:hideMark/>
          </w:tcPr>
          <w:p w14:paraId="79C7F9EB" w14:textId="77777777" w:rsidR="00C71DF8" w:rsidRPr="005F5B4E" w:rsidRDefault="00C71DF8" w:rsidP="0027689B">
            <w:pPr>
              <w:spacing w:after="160" w:line="259" w:lineRule="auto"/>
              <w:jc w:val="both"/>
              <w:rPr>
                <w:sz w:val="28"/>
                <w:szCs w:val="28"/>
              </w:rPr>
            </w:pPr>
            <w:r w:rsidRPr="005F5B4E">
              <w:rPr>
                <w:sz w:val="28"/>
                <w:szCs w:val="28"/>
              </w:rPr>
              <w:t>18</w:t>
            </w:r>
          </w:p>
        </w:tc>
        <w:tc>
          <w:tcPr>
            <w:tcW w:w="1407" w:type="dxa"/>
            <w:hideMark/>
          </w:tcPr>
          <w:p w14:paraId="07CBB1BF" w14:textId="77777777" w:rsidR="00C71DF8" w:rsidRPr="005F5B4E" w:rsidRDefault="00C71DF8" w:rsidP="0027689B">
            <w:pPr>
              <w:spacing w:after="160" w:line="259" w:lineRule="auto"/>
              <w:jc w:val="both"/>
              <w:rPr>
                <w:sz w:val="28"/>
                <w:szCs w:val="28"/>
              </w:rPr>
            </w:pPr>
            <w:r w:rsidRPr="005F5B4E">
              <w:rPr>
                <w:sz w:val="28"/>
                <w:szCs w:val="28"/>
              </w:rPr>
              <w:t>78%</w:t>
            </w:r>
          </w:p>
        </w:tc>
        <w:tc>
          <w:tcPr>
            <w:tcW w:w="559" w:type="dxa"/>
            <w:hideMark/>
          </w:tcPr>
          <w:p w14:paraId="2C6EAC27" w14:textId="77777777" w:rsidR="00C71DF8" w:rsidRPr="005F5B4E" w:rsidRDefault="00C71DF8" w:rsidP="0027689B">
            <w:pPr>
              <w:spacing w:after="160" w:line="259" w:lineRule="auto"/>
              <w:jc w:val="both"/>
              <w:rPr>
                <w:sz w:val="28"/>
                <w:szCs w:val="28"/>
              </w:rPr>
            </w:pPr>
            <w:r w:rsidRPr="005F5B4E">
              <w:rPr>
                <w:sz w:val="28"/>
                <w:szCs w:val="28"/>
              </w:rPr>
              <w:t>1%</w:t>
            </w:r>
          </w:p>
        </w:tc>
        <w:tc>
          <w:tcPr>
            <w:tcW w:w="1330" w:type="dxa"/>
            <w:hideMark/>
          </w:tcPr>
          <w:p w14:paraId="2CCF1DC0" w14:textId="77777777" w:rsidR="00C71DF8" w:rsidRPr="005F5B4E" w:rsidRDefault="00C71DF8" w:rsidP="0027689B">
            <w:pPr>
              <w:spacing w:after="160" w:line="259" w:lineRule="auto"/>
              <w:jc w:val="both"/>
              <w:rPr>
                <w:sz w:val="28"/>
                <w:szCs w:val="28"/>
              </w:rPr>
            </w:pPr>
            <w:r w:rsidRPr="005F5B4E">
              <w:rPr>
                <w:sz w:val="28"/>
                <w:szCs w:val="28"/>
              </w:rPr>
              <w:t>89%</w:t>
            </w:r>
          </w:p>
        </w:tc>
        <w:tc>
          <w:tcPr>
            <w:tcW w:w="1330" w:type="dxa"/>
            <w:hideMark/>
          </w:tcPr>
          <w:p w14:paraId="20B51077" w14:textId="77777777" w:rsidR="00C71DF8" w:rsidRPr="005F5B4E" w:rsidRDefault="00C71DF8" w:rsidP="0027689B">
            <w:pPr>
              <w:spacing w:after="160" w:line="259" w:lineRule="auto"/>
              <w:jc w:val="both"/>
              <w:rPr>
                <w:sz w:val="28"/>
                <w:szCs w:val="28"/>
              </w:rPr>
            </w:pPr>
            <w:r w:rsidRPr="005F5B4E">
              <w:rPr>
                <w:sz w:val="28"/>
                <w:szCs w:val="28"/>
              </w:rPr>
              <w:t>4%</w:t>
            </w:r>
          </w:p>
        </w:tc>
        <w:tc>
          <w:tcPr>
            <w:tcW w:w="1332" w:type="dxa"/>
            <w:hideMark/>
          </w:tcPr>
          <w:p w14:paraId="5D45642B" w14:textId="77777777" w:rsidR="00C71DF8" w:rsidRPr="005F5B4E" w:rsidRDefault="00C71DF8" w:rsidP="0027689B">
            <w:pPr>
              <w:spacing w:after="160" w:line="259" w:lineRule="auto"/>
              <w:jc w:val="both"/>
              <w:rPr>
                <w:sz w:val="28"/>
                <w:szCs w:val="28"/>
              </w:rPr>
            </w:pPr>
            <w:r w:rsidRPr="005F5B4E">
              <w:rPr>
                <w:sz w:val="28"/>
                <w:szCs w:val="28"/>
              </w:rPr>
              <w:t>83%</w:t>
            </w:r>
          </w:p>
        </w:tc>
        <w:tc>
          <w:tcPr>
            <w:tcW w:w="1332" w:type="dxa"/>
            <w:hideMark/>
          </w:tcPr>
          <w:p w14:paraId="4A20B5A3"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63E51D42"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3BFADD39" w14:textId="77777777" w:rsidTr="0027689B">
        <w:trPr>
          <w:trHeight w:val="353"/>
        </w:trPr>
        <w:tc>
          <w:tcPr>
            <w:tcW w:w="1875" w:type="dxa"/>
            <w:hideMark/>
          </w:tcPr>
          <w:p w14:paraId="0BE344ED" w14:textId="77777777" w:rsidR="00C71DF8" w:rsidRPr="005F5B4E" w:rsidRDefault="00C71DF8" w:rsidP="0027689B">
            <w:pPr>
              <w:spacing w:after="160" w:line="259" w:lineRule="auto"/>
              <w:jc w:val="both"/>
              <w:rPr>
                <w:sz w:val="28"/>
                <w:szCs w:val="28"/>
              </w:rPr>
            </w:pPr>
            <w:r w:rsidRPr="005F5B4E">
              <w:rPr>
                <w:sz w:val="28"/>
                <w:szCs w:val="28"/>
              </w:rPr>
              <w:t>5.4</w:t>
            </w:r>
          </w:p>
        </w:tc>
        <w:tc>
          <w:tcPr>
            <w:tcW w:w="1407" w:type="dxa"/>
            <w:hideMark/>
          </w:tcPr>
          <w:p w14:paraId="28D7FD42" w14:textId="77777777" w:rsidR="00C71DF8" w:rsidRPr="005F5B4E" w:rsidRDefault="00C71DF8" w:rsidP="0027689B">
            <w:pPr>
              <w:spacing w:after="160" w:line="259" w:lineRule="auto"/>
              <w:jc w:val="both"/>
              <w:rPr>
                <w:sz w:val="28"/>
                <w:szCs w:val="28"/>
              </w:rPr>
            </w:pPr>
            <w:r w:rsidRPr="005F5B4E">
              <w:rPr>
                <w:sz w:val="28"/>
                <w:szCs w:val="28"/>
              </w:rPr>
              <w:t>11%</w:t>
            </w:r>
          </w:p>
        </w:tc>
        <w:tc>
          <w:tcPr>
            <w:tcW w:w="559" w:type="dxa"/>
            <w:hideMark/>
          </w:tcPr>
          <w:p w14:paraId="011B998F" w14:textId="77777777" w:rsidR="00C71DF8" w:rsidRPr="005F5B4E" w:rsidRDefault="00C71DF8" w:rsidP="0027689B">
            <w:pPr>
              <w:spacing w:after="160" w:line="259" w:lineRule="auto"/>
              <w:jc w:val="both"/>
              <w:rPr>
                <w:sz w:val="28"/>
                <w:szCs w:val="28"/>
              </w:rPr>
            </w:pPr>
            <w:r w:rsidRPr="005F5B4E">
              <w:rPr>
                <w:sz w:val="28"/>
                <w:szCs w:val="28"/>
              </w:rPr>
              <w:t>0%</w:t>
            </w:r>
          </w:p>
        </w:tc>
        <w:tc>
          <w:tcPr>
            <w:tcW w:w="1330" w:type="dxa"/>
            <w:hideMark/>
          </w:tcPr>
          <w:p w14:paraId="1ADEA87E" w14:textId="77777777" w:rsidR="00C71DF8" w:rsidRPr="005F5B4E" w:rsidRDefault="00C71DF8" w:rsidP="0027689B">
            <w:pPr>
              <w:spacing w:after="160" w:line="259" w:lineRule="auto"/>
              <w:jc w:val="both"/>
              <w:rPr>
                <w:sz w:val="28"/>
                <w:szCs w:val="28"/>
              </w:rPr>
            </w:pPr>
            <w:r w:rsidRPr="005F5B4E">
              <w:rPr>
                <w:sz w:val="28"/>
                <w:szCs w:val="28"/>
              </w:rPr>
              <w:t>22%</w:t>
            </w:r>
          </w:p>
        </w:tc>
        <w:tc>
          <w:tcPr>
            <w:tcW w:w="1330" w:type="dxa"/>
            <w:hideMark/>
          </w:tcPr>
          <w:p w14:paraId="6AF29D53"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788A5D4A" w14:textId="77777777" w:rsidR="00C71DF8" w:rsidRPr="005F5B4E" w:rsidRDefault="00C71DF8" w:rsidP="0027689B">
            <w:pPr>
              <w:spacing w:after="160" w:line="259" w:lineRule="auto"/>
              <w:jc w:val="both"/>
              <w:rPr>
                <w:sz w:val="28"/>
                <w:szCs w:val="28"/>
              </w:rPr>
            </w:pPr>
            <w:r w:rsidRPr="005F5B4E">
              <w:rPr>
                <w:sz w:val="28"/>
                <w:szCs w:val="28"/>
              </w:rPr>
              <w:t>21%</w:t>
            </w:r>
          </w:p>
        </w:tc>
        <w:tc>
          <w:tcPr>
            <w:tcW w:w="1332" w:type="dxa"/>
            <w:hideMark/>
          </w:tcPr>
          <w:p w14:paraId="6F29EA46" w14:textId="77777777" w:rsidR="00C71DF8" w:rsidRPr="005F5B4E" w:rsidRDefault="00C71DF8" w:rsidP="0027689B">
            <w:pPr>
              <w:spacing w:after="160" w:line="259" w:lineRule="auto"/>
              <w:jc w:val="both"/>
              <w:rPr>
                <w:sz w:val="28"/>
                <w:szCs w:val="28"/>
              </w:rPr>
            </w:pPr>
            <w:r w:rsidRPr="005F5B4E">
              <w:rPr>
                <w:sz w:val="28"/>
                <w:szCs w:val="28"/>
              </w:rPr>
              <w:t>8%</w:t>
            </w:r>
          </w:p>
        </w:tc>
        <w:tc>
          <w:tcPr>
            <w:tcW w:w="1332" w:type="dxa"/>
            <w:hideMark/>
          </w:tcPr>
          <w:p w14:paraId="360D6C27"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48DC8866" w14:textId="77777777" w:rsidTr="0027689B">
        <w:trPr>
          <w:trHeight w:val="353"/>
        </w:trPr>
        <w:tc>
          <w:tcPr>
            <w:tcW w:w="1875" w:type="dxa"/>
            <w:hideMark/>
          </w:tcPr>
          <w:p w14:paraId="2205B15F" w14:textId="77777777" w:rsidR="00C71DF8" w:rsidRPr="005F5B4E" w:rsidRDefault="00C71DF8" w:rsidP="0027689B">
            <w:pPr>
              <w:spacing w:after="160" w:line="259" w:lineRule="auto"/>
              <w:jc w:val="both"/>
              <w:rPr>
                <w:sz w:val="28"/>
                <w:szCs w:val="28"/>
              </w:rPr>
            </w:pPr>
            <w:r w:rsidRPr="005F5B4E">
              <w:rPr>
                <w:sz w:val="28"/>
                <w:szCs w:val="28"/>
              </w:rPr>
              <w:t>1.8</w:t>
            </w:r>
          </w:p>
        </w:tc>
        <w:tc>
          <w:tcPr>
            <w:tcW w:w="1407" w:type="dxa"/>
            <w:hideMark/>
          </w:tcPr>
          <w:p w14:paraId="4F723EEF" w14:textId="77777777" w:rsidR="00C71DF8" w:rsidRPr="005F5B4E" w:rsidRDefault="00C71DF8" w:rsidP="0027689B">
            <w:pPr>
              <w:spacing w:after="160" w:line="259" w:lineRule="auto"/>
              <w:jc w:val="both"/>
              <w:rPr>
                <w:sz w:val="28"/>
                <w:szCs w:val="28"/>
              </w:rPr>
            </w:pPr>
            <w:r w:rsidRPr="005F5B4E">
              <w:rPr>
                <w:sz w:val="28"/>
                <w:szCs w:val="28"/>
              </w:rPr>
              <w:t>3%</w:t>
            </w:r>
          </w:p>
        </w:tc>
        <w:tc>
          <w:tcPr>
            <w:tcW w:w="559" w:type="dxa"/>
            <w:hideMark/>
          </w:tcPr>
          <w:p w14:paraId="6CE54438" w14:textId="77777777" w:rsidR="00C71DF8" w:rsidRPr="005F5B4E" w:rsidRDefault="00C71DF8" w:rsidP="0027689B">
            <w:pPr>
              <w:spacing w:after="160" w:line="259" w:lineRule="auto"/>
              <w:jc w:val="both"/>
              <w:rPr>
                <w:sz w:val="28"/>
                <w:szCs w:val="28"/>
              </w:rPr>
            </w:pPr>
            <w:r w:rsidRPr="005F5B4E">
              <w:rPr>
                <w:sz w:val="28"/>
                <w:szCs w:val="28"/>
              </w:rPr>
              <w:t>3%</w:t>
            </w:r>
          </w:p>
        </w:tc>
        <w:tc>
          <w:tcPr>
            <w:tcW w:w="1330" w:type="dxa"/>
            <w:hideMark/>
          </w:tcPr>
          <w:p w14:paraId="3276F9AD" w14:textId="77777777" w:rsidR="00C71DF8" w:rsidRPr="005F5B4E" w:rsidRDefault="00C71DF8" w:rsidP="0027689B">
            <w:pPr>
              <w:spacing w:after="160" w:line="259" w:lineRule="auto"/>
              <w:jc w:val="both"/>
              <w:rPr>
                <w:sz w:val="28"/>
                <w:szCs w:val="28"/>
              </w:rPr>
            </w:pPr>
            <w:r w:rsidRPr="005F5B4E">
              <w:rPr>
                <w:sz w:val="28"/>
                <w:szCs w:val="28"/>
              </w:rPr>
              <w:t>14%</w:t>
            </w:r>
          </w:p>
        </w:tc>
        <w:tc>
          <w:tcPr>
            <w:tcW w:w="1330" w:type="dxa"/>
            <w:hideMark/>
          </w:tcPr>
          <w:p w14:paraId="195539E4" w14:textId="77777777" w:rsidR="00C71DF8" w:rsidRPr="005F5B4E" w:rsidRDefault="00C71DF8" w:rsidP="0027689B">
            <w:pPr>
              <w:spacing w:after="160" w:line="259" w:lineRule="auto"/>
              <w:jc w:val="both"/>
              <w:rPr>
                <w:sz w:val="28"/>
                <w:szCs w:val="28"/>
              </w:rPr>
            </w:pPr>
            <w:r w:rsidRPr="005F5B4E">
              <w:rPr>
                <w:sz w:val="28"/>
                <w:szCs w:val="28"/>
              </w:rPr>
              <w:t>6%</w:t>
            </w:r>
          </w:p>
        </w:tc>
        <w:tc>
          <w:tcPr>
            <w:tcW w:w="1332" w:type="dxa"/>
            <w:hideMark/>
          </w:tcPr>
          <w:p w14:paraId="759AA3B6" w14:textId="77777777" w:rsidR="00C71DF8" w:rsidRPr="005F5B4E" w:rsidRDefault="00C71DF8" w:rsidP="0027689B">
            <w:pPr>
              <w:spacing w:after="160" w:line="259" w:lineRule="auto"/>
              <w:jc w:val="both"/>
              <w:rPr>
                <w:sz w:val="28"/>
                <w:szCs w:val="28"/>
              </w:rPr>
            </w:pPr>
            <w:r w:rsidRPr="005F5B4E">
              <w:rPr>
                <w:sz w:val="28"/>
                <w:szCs w:val="28"/>
              </w:rPr>
              <w:t>13%</w:t>
            </w:r>
          </w:p>
        </w:tc>
        <w:tc>
          <w:tcPr>
            <w:tcW w:w="1332" w:type="dxa"/>
            <w:hideMark/>
          </w:tcPr>
          <w:p w14:paraId="48876CAF"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0E616140"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7F9B3AC5" w14:textId="77777777" w:rsidTr="0027689B">
        <w:trPr>
          <w:trHeight w:val="353"/>
        </w:trPr>
        <w:tc>
          <w:tcPr>
            <w:tcW w:w="1875" w:type="dxa"/>
            <w:hideMark/>
          </w:tcPr>
          <w:p w14:paraId="4F699B14" w14:textId="77777777" w:rsidR="00C71DF8" w:rsidRPr="005F5B4E" w:rsidRDefault="00C71DF8" w:rsidP="0027689B">
            <w:pPr>
              <w:spacing w:after="160" w:line="259" w:lineRule="auto"/>
              <w:jc w:val="both"/>
              <w:rPr>
                <w:sz w:val="28"/>
                <w:szCs w:val="28"/>
              </w:rPr>
            </w:pPr>
            <w:r w:rsidRPr="005F5B4E">
              <w:rPr>
                <w:sz w:val="28"/>
                <w:szCs w:val="28"/>
              </w:rPr>
              <w:t>0.54</w:t>
            </w:r>
          </w:p>
        </w:tc>
        <w:tc>
          <w:tcPr>
            <w:tcW w:w="1407" w:type="dxa"/>
            <w:hideMark/>
          </w:tcPr>
          <w:p w14:paraId="216F28EE" w14:textId="77777777" w:rsidR="00C71DF8" w:rsidRPr="005F5B4E" w:rsidRDefault="00C71DF8" w:rsidP="0027689B">
            <w:pPr>
              <w:spacing w:after="160" w:line="259" w:lineRule="auto"/>
              <w:jc w:val="both"/>
              <w:rPr>
                <w:sz w:val="28"/>
                <w:szCs w:val="28"/>
              </w:rPr>
            </w:pPr>
            <w:r w:rsidRPr="005F5B4E">
              <w:rPr>
                <w:sz w:val="28"/>
                <w:szCs w:val="28"/>
              </w:rPr>
              <w:t>2%</w:t>
            </w:r>
          </w:p>
        </w:tc>
        <w:tc>
          <w:tcPr>
            <w:tcW w:w="559" w:type="dxa"/>
            <w:hideMark/>
          </w:tcPr>
          <w:p w14:paraId="4082040F" w14:textId="77777777" w:rsidR="00C71DF8" w:rsidRPr="005F5B4E" w:rsidRDefault="00C71DF8" w:rsidP="0027689B">
            <w:pPr>
              <w:spacing w:after="160" w:line="259" w:lineRule="auto"/>
              <w:jc w:val="both"/>
              <w:rPr>
                <w:sz w:val="28"/>
                <w:szCs w:val="28"/>
              </w:rPr>
            </w:pPr>
            <w:r w:rsidRPr="005F5B4E">
              <w:rPr>
                <w:sz w:val="28"/>
                <w:szCs w:val="28"/>
              </w:rPr>
              <w:t>4%</w:t>
            </w:r>
          </w:p>
        </w:tc>
        <w:tc>
          <w:tcPr>
            <w:tcW w:w="1330" w:type="dxa"/>
            <w:hideMark/>
          </w:tcPr>
          <w:p w14:paraId="56E285DF" w14:textId="77777777" w:rsidR="00C71DF8" w:rsidRPr="005F5B4E" w:rsidRDefault="00C71DF8" w:rsidP="0027689B">
            <w:pPr>
              <w:spacing w:after="160" w:line="259" w:lineRule="auto"/>
              <w:jc w:val="both"/>
              <w:rPr>
                <w:sz w:val="28"/>
                <w:szCs w:val="28"/>
              </w:rPr>
            </w:pPr>
            <w:r w:rsidRPr="005F5B4E">
              <w:rPr>
                <w:sz w:val="28"/>
                <w:szCs w:val="28"/>
              </w:rPr>
              <w:t>13%</w:t>
            </w:r>
          </w:p>
        </w:tc>
        <w:tc>
          <w:tcPr>
            <w:tcW w:w="1330" w:type="dxa"/>
            <w:hideMark/>
          </w:tcPr>
          <w:p w14:paraId="4B368E5C"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07002ACE" w14:textId="77777777" w:rsidR="00C71DF8" w:rsidRPr="005F5B4E" w:rsidRDefault="00C71DF8" w:rsidP="0027689B">
            <w:pPr>
              <w:spacing w:after="160" w:line="259" w:lineRule="auto"/>
              <w:jc w:val="both"/>
              <w:rPr>
                <w:sz w:val="28"/>
                <w:szCs w:val="28"/>
              </w:rPr>
            </w:pPr>
            <w:r w:rsidRPr="005F5B4E">
              <w:rPr>
                <w:sz w:val="28"/>
                <w:szCs w:val="28"/>
              </w:rPr>
              <w:t>24%</w:t>
            </w:r>
          </w:p>
        </w:tc>
        <w:tc>
          <w:tcPr>
            <w:tcW w:w="1332" w:type="dxa"/>
            <w:hideMark/>
          </w:tcPr>
          <w:p w14:paraId="2C76C9F9"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642F2494"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1C945389" w14:textId="77777777" w:rsidTr="0027689B">
        <w:trPr>
          <w:trHeight w:val="353"/>
        </w:trPr>
        <w:tc>
          <w:tcPr>
            <w:tcW w:w="1875" w:type="dxa"/>
            <w:hideMark/>
          </w:tcPr>
          <w:p w14:paraId="012AA52F" w14:textId="77777777" w:rsidR="00C71DF8" w:rsidRPr="005F5B4E" w:rsidRDefault="00C71DF8" w:rsidP="0027689B">
            <w:pPr>
              <w:spacing w:after="160" w:line="259" w:lineRule="auto"/>
              <w:jc w:val="both"/>
              <w:rPr>
                <w:sz w:val="28"/>
                <w:szCs w:val="28"/>
              </w:rPr>
            </w:pPr>
            <w:r w:rsidRPr="005F5B4E">
              <w:rPr>
                <w:sz w:val="28"/>
                <w:szCs w:val="28"/>
              </w:rPr>
              <w:t>0.18</w:t>
            </w:r>
          </w:p>
        </w:tc>
        <w:tc>
          <w:tcPr>
            <w:tcW w:w="1407" w:type="dxa"/>
            <w:hideMark/>
          </w:tcPr>
          <w:p w14:paraId="5C0FBB3D" w14:textId="77777777" w:rsidR="00C71DF8" w:rsidRPr="005F5B4E" w:rsidRDefault="00C71DF8" w:rsidP="0027689B">
            <w:pPr>
              <w:spacing w:after="160" w:line="259" w:lineRule="auto"/>
              <w:jc w:val="both"/>
              <w:rPr>
                <w:sz w:val="28"/>
                <w:szCs w:val="28"/>
              </w:rPr>
            </w:pPr>
            <w:r w:rsidRPr="005F5B4E">
              <w:rPr>
                <w:sz w:val="28"/>
                <w:szCs w:val="28"/>
              </w:rPr>
              <w:t>2%</w:t>
            </w:r>
          </w:p>
        </w:tc>
        <w:tc>
          <w:tcPr>
            <w:tcW w:w="559" w:type="dxa"/>
            <w:hideMark/>
          </w:tcPr>
          <w:p w14:paraId="628EF1B8" w14:textId="77777777" w:rsidR="00C71DF8" w:rsidRPr="005F5B4E" w:rsidRDefault="00C71DF8" w:rsidP="0027689B">
            <w:pPr>
              <w:spacing w:after="160" w:line="259" w:lineRule="auto"/>
              <w:jc w:val="both"/>
              <w:rPr>
                <w:sz w:val="28"/>
                <w:szCs w:val="28"/>
              </w:rPr>
            </w:pPr>
            <w:r w:rsidRPr="005F5B4E">
              <w:rPr>
                <w:sz w:val="28"/>
                <w:szCs w:val="28"/>
              </w:rPr>
              <w:t>2%</w:t>
            </w:r>
          </w:p>
        </w:tc>
        <w:tc>
          <w:tcPr>
            <w:tcW w:w="1330" w:type="dxa"/>
            <w:hideMark/>
          </w:tcPr>
          <w:p w14:paraId="20DC0DFE" w14:textId="77777777" w:rsidR="00C71DF8" w:rsidRPr="005F5B4E" w:rsidRDefault="00C71DF8" w:rsidP="0027689B">
            <w:pPr>
              <w:spacing w:after="160" w:line="259" w:lineRule="auto"/>
              <w:jc w:val="both"/>
              <w:rPr>
                <w:sz w:val="28"/>
                <w:szCs w:val="28"/>
              </w:rPr>
            </w:pPr>
            <w:r w:rsidRPr="005F5B4E">
              <w:rPr>
                <w:sz w:val="28"/>
                <w:szCs w:val="28"/>
              </w:rPr>
              <w:t>13%</w:t>
            </w:r>
          </w:p>
        </w:tc>
        <w:tc>
          <w:tcPr>
            <w:tcW w:w="1330" w:type="dxa"/>
            <w:hideMark/>
          </w:tcPr>
          <w:p w14:paraId="35117D33" w14:textId="77777777" w:rsidR="00C71DF8" w:rsidRPr="005F5B4E" w:rsidRDefault="00C71DF8" w:rsidP="0027689B">
            <w:pPr>
              <w:spacing w:after="160" w:line="259" w:lineRule="auto"/>
              <w:jc w:val="both"/>
              <w:rPr>
                <w:sz w:val="28"/>
                <w:szCs w:val="28"/>
              </w:rPr>
            </w:pPr>
            <w:r w:rsidRPr="005F5B4E">
              <w:rPr>
                <w:sz w:val="28"/>
                <w:szCs w:val="28"/>
              </w:rPr>
              <w:t>5%</w:t>
            </w:r>
          </w:p>
        </w:tc>
        <w:tc>
          <w:tcPr>
            <w:tcW w:w="1332" w:type="dxa"/>
            <w:hideMark/>
          </w:tcPr>
          <w:p w14:paraId="7AFCE2A5" w14:textId="77777777" w:rsidR="00C71DF8" w:rsidRPr="005F5B4E" w:rsidRDefault="00C71DF8" w:rsidP="0027689B">
            <w:pPr>
              <w:spacing w:after="160" w:line="259" w:lineRule="auto"/>
              <w:jc w:val="both"/>
              <w:rPr>
                <w:sz w:val="28"/>
                <w:szCs w:val="28"/>
              </w:rPr>
            </w:pPr>
            <w:r w:rsidRPr="005F5B4E">
              <w:rPr>
                <w:sz w:val="28"/>
                <w:szCs w:val="28"/>
              </w:rPr>
              <w:t>23%</w:t>
            </w:r>
          </w:p>
        </w:tc>
        <w:tc>
          <w:tcPr>
            <w:tcW w:w="1332" w:type="dxa"/>
            <w:hideMark/>
          </w:tcPr>
          <w:p w14:paraId="528FBAF8" w14:textId="77777777" w:rsidR="00C71DF8" w:rsidRPr="005F5B4E" w:rsidRDefault="00C71DF8" w:rsidP="0027689B">
            <w:pPr>
              <w:spacing w:after="160" w:line="259" w:lineRule="auto"/>
              <w:jc w:val="both"/>
              <w:rPr>
                <w:sz w:val="28"/>
                <w:szCs w:val="28"/>
              </w:rPr>
            </w:pPr>
            <w:r w:rsidRPr="005F5B4E">
              <w:rPr>
                <w:sz w:val="28"/>
                <w:szCs w:val="28"/>
              </w:rPr>
              <w:t>2%</w:t>
            </w:r>
          </w:p>
        </w:tc>
        <w:tc>
          <w:tcPr>
            <w:tcW w:w="1332" w:type="dxa"/>
            <w:hideMark/>
          </w:tcPr>
          <w:p w14:paraId="6F048CA4" w14:textId="77777777" w:rsidR="00C71DF8" w:rsidRPr="005F5B4E" w:rsidRDefault="00C71DF8" w:rsidP="0027689B">
            <w:pPr>
              <w:spacing w:after="160" w:line="259" w:lineRule="auto"/>
              <w:jc w:val="both"/>
              <w:rPr>
                <w:sz w:val="28"/>
                <w:szCs w:val="28"/>
              </w:rPr>
            </w:pPr>
            <w:r w:rsidRPr="005F5B4E">
              <w:rPr>
                <w:color w:val="FF0000"/>
                <w:sz w:val="28"/>
                <w:szCs w:val="28"/>
              </w:rPr>
              <w:t>0.0324</w:t>
            </w:r>
          </w:p>
        </w:tc>
      </w:tr>
      <w:tr w:rsidR="00C71DF8" w:rsidRPr="005F5B4E" w14:paraId="17B75263" w14:textId="77777777" w:rsidTr="0027689B">
        <w:trPr>
          <w:trHeight w:val="353"/>
        </w:trPr>
        <w:tc>
          <w:tcPr>
            <w:tcW w:w="1875" w:type="dxa"/>
            <w:hideMark/>
          </w:tcPr>
          <w:p w14:paraId="01556E3D" w14:textId="77777777" w:rsidR="00C71DF8" w:rsidRPr="005F5B4E" w:rsidRDefault="00C71DF8" w:rsidP="0027689B">
            <w:pPr>
              <w:spacing w:after="160" w:line="259" w:lineRule="auto"/>
              <w:jc w:val="both"/>
              <w:rPr>
                <w:sz w:val="28"/>
                <w:szCs w:val="28"/>
              </w:rPr>
            </w:pPr>
            <w:r w:rsidRPr="005F5B4E">
              <w:rPr>
                <w:sz w:val="28"/>
                <w:szCs w:val="28"/>
              </w:rPr>
              <w:t>0.054</w:t>
            </w:r>
          </w:p>
        </w:tc>
        <w:tc>
          <w:tcPr>
            <w:tcW w:w="1407" w:type="dxa"/>
            <w:hideMark/>
          </w:tcPr>
          <w:p w14:paraId="4572C7DE" w14:textId="77777777" w:rsidR="00C71DF8" w:rsidRPr="005F5B4E" w:rsidRDefault="00C71DF8" w:rsidP="0027689B">
            <w:pPr>
              <w:spacing w:after="160" w:line="259" w:lineRule="auto"/>
              <w:jc w:val="both"/>
              <w:rPr>
                <w:sz w:val="28"/>
                <w:szCs w:val="28"/>
              </w:rPr>
            </w:pPr>
            <w:r w:rsidRPr="005F5B4E">
              <w:rPr>
                <w:sz w:val="28"/>
                <w:szCs w:val="28"/>
              </w:rPr>
              <w:t>3%</w:t>
            </w:r>
          </w:p>
        </w:tc>
        <w:tc>
          <w:tcPr>
            <w:tcW w:w="559" w:type="dxa"/>
            <w:hideMark/>
          </w:tcPr>
          <w:p w14:paraId="5F6A61D8" w14:textId="77777777" w:rsidR="00C71DF8" w:rsidRPr="005F5B4E" w:rsidRDefault="00C71DF8" w:rsidP="0027689B">
            <w:pPr>
              <w:spacing w:after="160" w:line="259" w:lineRule="auto"/>
              <w:jc w:val="both"/>
              <w:rPr>
                <w:sz w:val="28"/>
                <w:szCs w:val="28"/>
              </w:rPr>
            </w:pPr>
            <w:r w:rsidRPr="005F5B4E">
              <w:rPr>
                <w:sz w:val="28"/>
                <w:szCs w:val="28"/>
              </w:rPr>
              <w:t>3%</w:t>
            </w:r>
          </w:p>
        </w:tc>
        <w:tc>
          <w:tcPr>
            <w:tcW w:w="1330" w:type="dxa"/>
            <w:hideMark/>
          </w:tcPr>
          <w:p w14:paraId="0F388ABE" w14:textId="77777777" w:rsidR="00C71DF8" w:rsidRPr="005F5B4E" w:rsidRDefault="00C71DF8" w:rsidP="0027689B">
            <w:pPr>
              <w:spacing w:after="160" w:line="259" w:lineRule="auto"/>
              <w:jc w:val="both"/>
              <w:rPr>
                <w:sz w:val="28"/>
                <w:szCs w:val="28"/>
              </w:rPr>
            </w:pPr>
            <w:r w:rsidRPr="005F5B4E">
              <w:rPr>
                <w:sz w:val="28"/>
                <w:szCs w:val="28"/>
              </w:rPr>
              <w:t>14%</w:t>
            </w:r>
          </w:p>
        </w:tc>
        <w:tc>
          <w:tcPr>
            <w:tcW w:w="1330" w:type="dxa"/>
            <w:hideMark/>
          </w:tcPr>
          <w:p w14:paraId="072F4463" w14:textId="77777777" w:rsidR="00C71DF8" w:rsidRPr="005F5B4E" w:rsidRDefault="00C71DF8" w:rsidP="0027689B">
            <w:pPr>
              <w:spacing w:after="160" w:line="259" w:lineRule="auto"/>
              <w:jc w:val="both"/>
              <w:rPr>
                <w:sz w:val="28"/>
                <w:szCs w:val="28"/>
              </w:rPr>
            </w:pPr>
            <w:r w:rsidRPr="005F5B4E">
              <w:rPr>
                <w:sz w:val="28"/>
                <w:szCs w:val="28"/>
              </w:rPr>
              <w:t>6%</w:t>
            </w:r>
          </w:p>
        </w:tc>
        <w:tc>
          <w:tcPr>
            <w:tcW w:w="1332" w:type="dxa"/>
            <w:hideMark/>
          </w:tcPr>
          <w:p w14:paraId="3B5F47A2" w14:textId="77777777" w:rsidR="00C71DF8" w:rsidRPr="005F5B4E" w:rsidRDefault="00C71DF8" w:rsidP="0027689B">
            <w:pPr>
              <w:spacing w:after="160" w:line="259" w:lineRule="auto"/>
              <w:jc w:val="both"/>
              <w:rPr>
                <w:sz w:val="28"/>
                <w:szCs w:val="28"/>
              </w:rPr>
            </w:pPr>
            <w:r w:rsidRPr="005F5B4E">
              <w:rPr>
                <w:sz w:val="28"/>
                <w:szCs w:val="28"/>
              </w:rPr>
              <w:t>22%</w:t>
            </w:r>
          </w:p>
        </w:tc>
        <w:tc>
          <w:tcPr>
            <w:tcW w:w="1332" w:type="dxa"/>
            <w:hideMark/>
          </w:tcPr>
          <w:p w14:paraId="514BD822"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65AF78BA"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528D4F6F" w14:textId="77777777" w:rsidTr="0027689B">
        <w:trPr>
          <w:trHeight w:val="353"/>
        </w:trPr>
        <w:tc>
          <w:tcPr>
            <w:tcW w:w="1875" w:type="dxa"/>
            <w:hideMark/>
          </w:tcPr>
          <w:p w14:paraId="6EE05922" w14:textId="77777777" w:rsidR="00C71DF8" w:rsidRPr="005F5B4E" w:rsidRDefault="00C71DF8" w:rsidP="0027689B">
            <w:pPr>
              <w:spacing w:after="160" w:line="259" w:lineRule="auto"/>
              <w:jc w:val="both"/>
              <w:rPr>
                <w:sz w:val="28"/>
                <w:szCs w:val="28"/>
              </w:rPr>
            </w:pPr>
            <w:r w:rsidRPr="005F5B4E">
              <w:rPr>
                <w:sz w:val="28"/>
                <w:szCs w:val="28"/>
              </w:rPr>
              <w:t>0.018</w:t>
            </w:r>
          </w:p>
        </w:tc>
        <w:tc>
          <w:tcPr>
            <w:tcW w:w="1407" w:type="dxa"/>
            <w:hideMark/>
          </w:tcPr>
          <w:p w14:paraId="2FC85DE5" w14:textId="77777777" w:rsidR="00C71DF8" w:rsidRPr="005F5B4E" w:rsidRDefault="00C71DF8" w:rsidP="0027689B">
            <w:pPr>
              <w:spacing w:after="160" w:line="259" w:lineRule="auto"/>
              <w:jc w:val="both"/>
              <w:rPr>
                <w:sz w:val="28"/>
                <w:szCs w:val="28"/>
              </w:rPr>
            </w:pPr>
            <w:r w:rsidRPr="005F5B4E">
              <w:rPr>
                <w:sz w:val="28"/>
                <w:szCs w:val="28"/>
              </w:rPr>
              <w:t>2%</w:t>
            </w:r>
          </w:p>
        </w:tc>
        <w:tc>
          <w:tcPr>
            <w:tcW w:w="559" w:type="dxa"/>
            <w:hideMark/>
          </w:tcPr>
          <w:p w14:paraId="34C6ED70" w14:textId="77777777" w:rsidR="00C71DF8" w:rsidRPr="005F5B4E" w:rsidRDefault="00C71DF8" w:rsidP="0027689B">
            <w:pPr>
              <w:spacing w:after="160" w:line="259" w:lineRule="auto"/>
              <w:jc w:val="both"/>
              <w:rPr>
                <w:sz w:val="28"/>
                <w:szCs w:val="28"/>
              </w:rPr>
            </w:pPr>
            <w:r w:rsidRPr="005F5B4E">
              <w:rPr>
                <w:sz w:val="28"/>
                <w:szCs w:val="28"/>
              </w:rPr>
              <w:t>3%</w:t>
            </w:r>
          </w:p>
        </w:tc>
        <w:tc>
          <w:tcPr>
            <w:tcW w:w="1330" w:type="dxa"/>
            <w:hideMark/>
          </w:tcPr>
          <w:p w14:paraId="4E8FB3F5" w14:textId="77777777" w:rsidR="00C71DF8" w:rsidRPr="005F5B4E" w:rsidRDefault="00C71DF8" w:rsidP="0027689B">
            <w:pPr>
              <w:spacing w:after="160" w:line="259" w:lineRule="auto"/>
              <w:jc w:val="both"/>
              <w:rPr>
                <w:sz w:val="28"/>
                <w:szCs w:val="28"/>
              </w:rPr>
            </w:pPr>
            <w:r w:rsidRPr="005F5B4E">
              <w:rPr>
                <w:sz w:val="28"/>
                <w:szCs w:val="28"/>
              </w:rPr>
              <w:t>13%</w:t>
            </w:r>
          </w:p>
        </w:tc>
        <w:tc>
          <w:tcPr>
            <w:tcW w:w="1330" w:type="dxa"/>
            <w:hideMark/>
          </w:tcPr>
          <w:p w14:paraId="79F7A8C6" w14:textId="77777777" w:rsidR="00C71DF8" w:rsidRPr="005F5B4E" w:rsidRDefault="00C71DF8" w:rsidP="0027689B">
            <w:pPr>
              <w:spacing w:after="160" w:line="259" w:lineRule="auto"/>
              <w:jc w:val="both"/>
              <w:rPr>
                <w:sz w:val="28"/>
                <w:szCs w:val="28"/>
              </w:rPr>
            </w:pPr>
            <w:r w:rsidRPr="005F5B4E">
              <w:rPr>
                <w:sz w:val="28"/>
                <w:szCs w:val="28"/>
              </w:rPr>
              <w:t>6%</w:t>
            </w:r>
          </w:p>
        </w:tc>
        <w:tc>
          <w:tcPr>
            <w:tcW w:w="1332" w:type="dxa"/>
            <w:hideMark/>
          </w:tcPr>
          <w:p w14:paraId="2D12ADEA" w14:textId="77777777" w:rsidR="00C71DF8" w:rsidRPr="005F5B4E" w:rsidRDefault="00C71DF8" w:rsidP="0027689B">
            <w:pPr>
              <w:spacing w:after="160" w:line="259" w:lineRule="auto"/>
              <w:jc w:val="both"/>
              <w:rPr>
                <w:sz w:val="28"/>
                <w:szCs w:val="28"/>
              </w:rPr>
            </w:pPr>
            <w:r w:rsidRPr="005F5B4E">
              <w:rPr>
                <w:sz w:val="28"/>
                <w:szCs w:val="28"/>
              </w:rPr>
              <w:t>24%</w:t>
            </w:r>
          </w:p>
        </w:tc>
        <w:tc>
          <w:tcPr>
            <w:tcW w:w="1332" w:type="dxa"/>
            <w:hideMark/>
          </w:tcPr>
          <w:p w14:paraId="40A6B8C2" w14:textId="77777777" w:rsidR="00C71DF8" w:rsidRPr="005F5B4E" w:rsidRDefault="00C71DF8" w:rsidP="0027689B">
            <w:pPr>
              <w:spacing w:after="160" w:line="259" w:lineRule="auto"/>
              <w:jc w:val="both"/>
              <w:rPr>
                <w:sz w:val="28"/>
                <w:szCs w:val="28"/>
              </w:rPr>
            </w:pPr>
            <w:r w:rsidRPr="005F5B4E">
              <w:rPr>
                <w:sz w:val="28"/>
                <w:szCs w:val="28"/>
              </w:rPr>
              <w:t>2%</w:t>
            </w:r>
          </w:p>
        </w:tc>
        <w:tc>
          <w:tcPr>
            <w:tcW w:w="1332" w:type="dxa"/>
            <w:hideMark/>
          </w:tcPr>
          <w:p w14:paraId="570AC0A5" w14:textId="77777777" w:rsidR="00C71DF8" w:rsidRPr="005F5B4E" w:rsidRDefault="00C71DF8" w:rsidP="0027689B">
            <w:pPr>
              <w:spacing w:after="160" w:line="259" w:lineRule="auto"/>
              <w:jc w:val="both"/>
              <w:rPr>
                <w:sz w:val="28"/>
                <w:szCs w:val="28"/>
              </w:rPr>
            </w:pPr>
            <w:r w:rsidRPr="005F5B4E">
              <w:rPr>
                <w:color w:val="FF0000"/>
                <w:sz w:val="28"/>
                <w:szCs w:val="28"/>
              </w:rPr>
              <w:t>0.0395</w:t>
            </w:r>
          </w:p>
        </w:tc>
      </w:tr>
    </w:tbl>
    <w:p w14:paraId="122D38D5" w14:textId="77777777" w:rsidR="00C71DF8" w:rsidRDefault="00C71DF8" w:rsidP="00C71DF8"/>
    <w:p w14:paraId="6BE9FF3F" w14:textId="77777777" w:rsidR="00C71DF8" w:rsidRDefault="00C71DF8" w:rsidP="00C71DF8"/>
    <w:p w14:paraId="0AF1F2C0" w14:textId="77777777" w:rsidR="00C71DF8" w:rsidRDefault="00C71DF8" w:rsidP="00C71DF8"/>
    <w:p w14:paraId="7EFA61B9" w14:textId="77777777" w:rsidR="00C71DF8" w:rsidRDefault="00C71DF8" w:rsidP="00C71DF8"/>
    <w:p w14:paraId="6683FC54" w14:textId="77777777" w:rsidR="00C71DF8" w:rsidRDefault="00C71DF8" w:rsidP="00C71DF8"/>
    <w:p w14:paraId="707401BF" w14:textId="77777777" w:rsidR="00C71DF8" w:rsidRDefault="00C71DF8" w:rsidP="00C71DF8"/>
    <w:p w14:paraId="2D73F76C" w14:textId="77777777" w:rsidR="00C71DF8" w:rsidRDefault="00C71DF8" w:rsidP="00C71DF8"/>
    <w:p w14:paraId="54E7A79A" w14:textId="77777777" w:rsidR="00C71DF8" w:rsidRDefault="00C71DF8" w:rsidP="00C71DF8"/>
    <w:p w14:paraId="56158FB8" w14:textId="77777777" w:rsidR="00C71DF8" w:rsidRDefault="00C71DF8" w:rsidP="00C71DF8"/>
    <w:p w14:paraId="14375858" w14:textId="77777777" w:rsidR="00C71DF8" w:rsidRDefault="00C71DF8" w:rsidP="00C71DF8"/>
    <w:p w14:paraId="2A44DAEC" w14:textId="77777777" w:rsidR="00C71DF8" w:rsidRDefault="00C71DF8" w:rsidP="00C71DF8"/>
    <w:p w14:paraId="2E8F56FE" w14:textId="77777777" w:rsidR="00C71DF8" w:rsidRDefault="00C71DF8" w:rsidP="00C71DF8"/>
    <w:p w14:paraId="4C091E26" w14:textId="77777777" w:rsidR="00C71DF8" w:rsidRDefault="00C71DF8" w:rsidP="00C71DF8"/>
    <w:p w14:paraId="14D66369" w14:textId="77777777" w:rsidR="00C71DF8" w:rsidRDefault="00C71DF8" w:rsidP="00C71DF8"/>
    <w:p w14:paraId="7FB0712E" w14:textId="77777777" w:rsidR="00C71DF8" w:rsidRPr="005F5B4E" w:rsidRDefault="00C71DF8" w:rsidP="00C71DF8">
      <w:pPr>
        <w:jc w:val="both"/>
        <w:rPr>
          <w:b/>
          <w:bCs/>
        </w:rPr>
      </w:pPr>
      <w:r w:rsidRPr="005F5B4E">
        <w:rPr>
          <w:b/>
          <w:bCs/>
        </w:rPr>
        <w:lastRenderedPageBreak/>
        <w:t xml:space="preserve">Table 3: Statistical comparison using Student’s t-test between predicted and observed effects when combining vardenafil with 1 µM tamoxifen. P&lt;0.05 in red. </w:t>
      </w:r>
      <w:r w:rsidRPr="005F5B4E">
        <w:t>Predictive effect is the arithmetic sum of percentage inhibition by vardenafil and 2% inhibition by 1 µM tamoxifen.</w:t>
      </w:r>
      <w:r w:rsidRPr="005F5B4E">
        <w:rPr>
          <w:b/>
          <w:bCs/>
        </w:rPr>
        <w:t xml:space="preserve"> </w:t>
      </w:r>
    </w:p>
    <w:tbl>
      <w:tblPr>
        <w:tblStyle w:val="TableGrid"/>
        <w:tblW w:w="10483" w:type="dxa"/>
        <w:tblInd w:w="-736" w:type="dxa"/>
        <w:tblLook w:val="0600" w:firstRow="0" w:lastRow="0" w:firstColumn="0" w:lastColumn="0" w:noHBand="1" w:noVBand="1"/>
      </w:tblPr>
      <w:tblGrid>
        <w:gridCol w:w="1875"/>
        <w:gridCol w:w="1393"/>
        <w:gridCol w:w="559"/>
        <w:gridCol w:w="1330"/>
        <w:gridCol w:w="1330"/>
        <w:gridCol w:w="1332"/>
        <w:gridCol w:w="1332"/>
        <w:gridCol w:w="1332"/>
      </w:tblGrid>
      <w:tr w:rsidR="00C71DF8" w:rsidRPr="005F5B4E" w14:paraId="471B5E9A" w14:textId="77777777" w:rsidTr="0027689B">
        <w:trPr>
          <w:trHeight w:val="1254"/>
        </w:trPr>
        <w:tc>
          <w:tcPr>
            <w:tcW w:w="1875" w:type="dxa"/>
            <w:hideMark/>
          </w:tcPr>
          <w:p w14:paraId="2EF30133" w14:textId="77777777" w:rsidR="00C71DF8" w:rsidRPr="005F5B4E" w:rsidRDefault="00C71DF8" w:rsidP="0027689B">
            <w:pPr>
              <w:spacing w:after="160" w:line="259" w:lineRule="auto"/>
              <w:jc w:val="center"/>
              <w:rPr>
                <w:sz w:val="28"/>
                <w:szCs w:val="28"/>
              </w:rPr>
            </w:pPr>
            <w:r w:rsidRPr="005F5B4E">
              <w:rPr>
                <w:b/>
                <w:bCs/>
                <w:sz w:val="28"/>
                <w:szCs w:val="28"/>
              </w:rPr>
              <w:t>Concentration of vardenafil (µM)</w:t>
            </w:r>
          </w:p>
        </w:tc>
        <w:tc>
          <w:tcPr>
            <w:tcW w:w="1393" w:type="dxa"/>
            <w:hideMark/>
          </w:tcPr>
          <w:p w14:paraId="3B81D55F" w14:textId="77777777" w:rsidR="00C71DF8" w:rsidRPr="005F5B4E" w:rsidRDefault="00C71DF8" w:rsidP="0027689B">
            <w:pPr>
              <w:spacing w:after="160" w:line="259" w:lineRule="auto"/>
              <w:jc w:val="center"/>
              <w:rPr>
                <w:sz w:val="28"/>
                <w:szCs w:val="28"/>
              </w:rPr>
            </w:pPr>
            <w:r w:rsidRPr="005F5B4E">
              <w:rPr>
                <w:b/>
                <w:bCs/>
                <w:sz w:val="28"/>
                <w:szCs w:val="28"/>
              </w:rPr>
              <w:t>Inhibition by</w:t>
            </w:r>
          </w:p>
          <w:p w14:paraId="7EE3812A" w14:textId="77777777" w:rsidR="00C71DF8" w:rsidRPr="005F5B4E" w:rsidRDefault="00C71DF8" w:rsidP="0027689B">
            <w:pPr>
              <w:spacing w:after="160" w:line="259" w:lineRule="auto"/>
              <w:jc w:val="center"/>
              <w:rPr>
                <w:sz w:val="28"/>
                <w:szCs w:val="28"/>
              </w:rPr>
            </w:pPr>
            <w:r w:rsidRPr="005F5B4E">
              <w:rPr>
                <w:b/>
                <w:bCs/>
                <w:sz w:val="28"/>
                <w:szCs w:val="28"/>
              </w:rPr>
              <w:t>vardenafil only</w:t>
            </w:r>
          </w:p>
        </w:tc>
        <w:tc>
          <w:tcPr>
            <w:tcW w:w="559" w:type="dxa"/>
            <w:hideMark/>
          </w:tcPr>
          <w:p w14:paraId="78DF186C" w14:textId="77777777" w:rsidR="00C71DF8" w:rsidRPr="005F5B4E" w:rsidRDefault="00C71DF8" w:rsidP="0027689B">
            <w:pPr>
              <w:spacing w:after="160" w:line="259" w:lineRule="auto"/>
              <w:jc w:val="center"/>
              <w:rPr>
                <w:sz w:val="28"/>
                <w:szCs w:val="28"/>
              </w:rPr>
            </w:pPr>
            <w:r w:rsidRPr="005F5B4E">
              <w:rPr>
                <w:b/>
                <w:bCs/>
                <w:sz w:val="28"/>
                <w:szCs w:val="28"/>
              </w:rPr>
              <w:t>SD</w:t>
            </w:r>
          </w:p>
          <w:p w14:paraId="21B8E44B" w14:textId="77777777" w:rsidR="00C71DF8" w:rsidRPr="005F5B4E" w:rsidRDefault="00C71DF8" w:rsidP="0027689B">
            <w:pPr>
              <w:spacing w:after="160" w:line="259" w:lineRule="auto"/>
              <w:jc w:val="center"/>
              <w:rPr>
                <w:sz w:val="28"/>
                <w:szCs w:val="28"/>
              </w:rPr>
            </w:pPr>
          </w:p>
        </w:tc>
        <w:tc>
          <w:tcPr>
            <w:tcW w:w="1330" w:type="dxa"/>
            <w:hideMark/>
          </w:tcPr>
          <w:p w14:paraId="4D1ACADE" w14:textId="77777777" w:rsidR="00C71DF8" w:rsidRPr="005F5B4E" w:rsidRDefault="00C71DF8" w:rsidP="0027689B">
            <w:pPr>
              <w:spacing w:after="160" w:line="259" w:lineRule="auto"/>
              <w:jc w:val="center"/>
              <w:rPr>
                <w:sz w:val="28"/>
                <w:szCs w:val="28"/>
              </w:rPr>
            </w:pPr>
            <w:r w:rsidRPr="005F5B4E">
              <w:rPr>
                <w:b/>
                <w:bCs/>
                <w:sz w:val="28"/>
                <w:szCs w:val="28"/>
              </w:rPr>
              <w:t>Predicted additive effect</w:t>
            </w:r>
          </w:p>
        </w:tc>
        <w:tc>
          <w:tcPr>
            <w:tcW w:w="1330" w:type="dxa"/>
            <w:hideMark/>
          </w:tcPr>
          <w:p w14:paraId="17E57447" w14:textId="77777777" w:rsidR="00C71DF8" w:rsidRPr="005F5B4E" w:rsidRDefault="00C71DF8" w:rsidP="0027689B">
            <w:pPr>
              <w:spacing w:after="160" w:line="259" w:lineRule="auto"/>
              <w:jc w:val="center"/>
              <w:rPr>
                <w:sz w:val="28"/>
                <w:szCs w:val="28"/>
              </w:rPr>
            </w:pPr>
            <w:r w:rsidRPr="005F5B4E">
              <w:rPr>
                <w:b/>
                <w:bCs/>
                <w:sz w:val="28"/>
                <w:szCs w:val="28"/>
              </w:rPr>
              <w:t>Predicted SD</w:t>
            </w:r>
          </w:p>
        </w:tc>
        <w:tc>
          <w:tcPr>
            <w:tcW w:w="1332" w:type="dxa"/>
            <w:hideMark/>
          </w:tcPr>
          <w:p w14:paraId="58AA8229" w14:textId="77777777" w:rsidR="00C71DF8" w:rsidRPr="005F5B4E" w:rsidRDefault="00C71DF8" w:rsidP="0027689B">
            <w:pPr>
              <w:spacing w:after="160" w:line="259" w:lineRule="auto"/>
              <w:jc w:val="center"/>
              <w:rPr>
                <w:sz w:val="28"/>
                <w:szCs w:val="28"/>
              </w:rPr>
            </w:pPr>
            <w:r w:rsidRPr="005F5B4E">
              <w:rPr>
                <w:b/>
                <w:bCs/>
                <w:sz w:val="28"/>
                <w:szCs w:val="28"/>
              </w:rPr>
              <w:t>Observed effect</w:t>
            </w:r>
          </w:p>
        </w:tc>
        <w:tc>
          <w:tcPr>
            <w:tcW w:w="1332" w:type="dxa"/>
            <w:hideMark/>
          </w:tcPr>
          <w:p w14:paraId="20504BD8" w14:textId="77777777" w:rsidR="00C71DF8" w:rsidRPr="005F5B4E" w:rsidRDefault="00C71DF8" w:rsidP="0027689B">
            <w:pPr>
              <w:spacing w:after="160" w:line="259" w:lineRule="auto"/>
              <w:jc w:val="center"/>
              <w:rPr>
                <w:sz w:val="28"/>
                <w:szCs w:val="28"/>
              </w:rPr>
            </w:pPr>
            <w:r w:rsidRPr="005F5B4E">
              <w:rPr>
                <w:b/>
                <w:bCs/>
                <w:sz w:val="28"/>
                <w:szCs w:val="28"/>
              </w:rPr>
              <w:t>Observed SD</w:t>
            </w:r>
          </w:p>
        </w:tc>
        <w:tc>
          <w:tcPr>
            <w:tcW w:w="1332" w:type="dxa"/>
            <w:hideMark/>
          </w:tcPr>
          <w:p w14:paraId="437A54FE" w14:textId="77777777" w:rsidR="00C71DF8" w:rsidRPr="005F5B4E" w:rsidRDefault="00C71DF8" w:rsidP="0027689B">
            <w:pPr>
              <w:spacing w:after="160" w:line="259" w:lineRule="auto"/>
              <w:jc w:val="center"/>
              <w:rPr>
                <w:sz w:val="28"/>
                <w:szCs w:val="28"/>
              </w:rPr>
            </w:pPr>
            <w:r w:rsidRPr="005F5B4E">
              <w:rPr>
                <w:b/>
                <w:bCs/>
                <w:sz w:val="28"/>
                <w:szCs w:val="28"/>
              </w:rPr>
              <w:t>t-test predicted vs observed</w:t>
            </w:r>
          </w:p>
        </w:tc>
      </w:tr>
      <w:tr w:rsidR="00C71DF8" w:rsidRPr="005F5B4E" w14:paraId="3BB4EA9E" w14:textId="77777777" w:rsidTr="0027689B">
        <w:trPr>
          <w:trHeight w:val="314"/>
        </w:trPr>
        <w:tc>
          <w:tcPr>
            <w:tcW w:w="1875" w:type="dxa"/>
            <w:hideMark/>
          </w:tcPr>
          <w:p w14:paraId="00091AFB" w14:textId="77777777" w:rsidR="00C71DF8" w:rsidRPr="005F5B4E" w:rsidRDefault="00C71DF8" w:rsidP="0027689B">
            <w:pPr>
              <w:spacing w:after="160" w:line="259" w:lineRule="auto"/>
              <w:jc w:val="both"/>
              <w:rPr>
                <w:sz w:val="28"/>
                <w:szCs w:val="28"/>
              </w:rPr>
            </w:pPr>
            <w:r w:rsidRPr="005F5B4E">
              <w:rPr>
                <w:sz w:val="28"/>
                <w:szCs w:val="28"/>
              </w:rPr>
              <w:t>300</w:t>
            </w:r>
          </w:p>
        </w:tc>
        <w:tc>
          <w:tcPr>
            <w:tcW w:w="1393" w:type="dxa"/>
            <w:hideMark/>
          </w:tcPr>
          <w:p w14:paraId="785CCB46" w14:textId="77777777" w:rsidR="00C71DF8" w:rsidRPr="005F5B4E" w:rsidRDefault="00C71DF8" w:rsidP="0027689B">
            <w:pPr>
              <w:spacing w:after="160" w:line="259" w:lineRule="auto"/>
              <w:jc w:val="both"/>
              <w:rPr>
                <w:sz w:val="28"/>
                <w:szCs w:val="28"/>
              </w:rPr>
            </w:pPr>
            <w:r w:rsidRPr="005F5B4E">
              <w:rPr>
                <w:sz w:val="28"/>
                <w:szCs w:val="28"/>
              </w:rPr>
              <w:t>100%</w:t>
            </w:r>
          </w:p>
        </w:tc>
        <w:tc>
          <w:tcPr>
            <w:tcW w:w="559" w:type="dxa"/>
            <w:hideMark/>
          </w:tcPr>
          <w:p w14:paraId="1AEF3033" w14:textId="77777777" w:rsidR="00C71DF8" w:rsidRPr="005F5B4E" w:rsidRDefault="00C71DF8" w:rsidP="0027689B">
            <w:pPr>
              <w:spacing w:after="160" w:line="259" w:lineRule="auto"/>
              <w:jc w:val="both"/>
              <w:rPr>
                <w:sz w:val="28"/>
                <w:szCs w:val="28"/>
              </w:rPr>
            </w:pPr>
            <w:r w:rsidRPr="005F5B4E">
              <w:rPr>
                <w:sz w:val="28"/>
                <w:szCs w:val="28"/>
              </w:rPr>
              <w:t>0%</w:t>
            </w:r>
          </w:p>
        </w:tc>
        <w:tc>
          <w:tcPr>
            <w:tcW w:w="1330" w:type="dxa"/>
            <w:hideMark/>
          </w:tcPr>
          <w:p w14:paraId="6518C7B4" w14:textId="77777777" w:rsidR="00C71DF8" w:rsidRPr="005F5B4E" w:rsidRDefault="00C71DF8" w:rsidP="0027689B">
            <w:pPr>
              <w:spacing w:after="160" w:line="259" w:lineRule="auto"/>
              <w:jc w:val="both"/>
              <w:rPr>
                <w:sz w:val="28"/>
                <w:szCs w:val="28"/>
              </w:rPr>
            </w:pPr>
            <w:r w:rsidRPr="005F5B4E">
              <w:rPr>
                <w:sz w:val="28"/>
                <w:szCs w:val="28"/>
              </w:rPr>
              <w:t>102%</w:t>
            </w:r>
          </w:p>
        </w:tc>
        <w:tc>
          <w:tcPr>
            <w:tcW w:w="1330" w:type="dxa"/>
            <w:hideMark/>
          </w:tcPr>
          <w:p w14:paraId="02B2208E" w14:textId="77777777" w:rsidR="00C71DF8" w:rsidRPr="005F5B4E" w:rsidRDefault="00C71DF8" w:rsidP="0027689B">
            <w:pPr>
              <w:spacing w:after="160" w:line="259" w:lineRule="auto"/>
              <w:jc w:val="both"/>
              <w:rPr>
                <w:sz w:val="28"/>
                <w:szCs w:val="28"/>
              </w:rPr>
            </w:pPr>
            <w:r w:rsidRPr="005F5B4E">
              <w:rPr>
                <w:sz w:val="28"/>
                <w:szCs w:val="28"/>
              </w:rPr>
              <w:t>4%</w:t>
            </w:r>
          </w:p>
        </w:tc>
        <w:tc>
          <w:tcPr>
            <w:tcW w:w="1332" w:type="dxa"/>
            <w:hideMark/>
          </w:tcPr>
          <w:p w14:paraId="0697AB1A" w14:textId="77777777" w:rsidR="00C71DF8" w:rsidRPr="005F5B4E" w:rsidRDefault="00C71DF8" w:rsidP="0027689B">
            <w:pPr>
              <w:spacing w:after="160" w:line="259" w:lineRule="auto"/>
              <w:jc w:val="both"/>
              <w:rPr>
                <w:sz w:val="28"/>
                <w:szCs w:val="28"/>
              </w:rPr>
            </w:pPr>
            <w:r w:rsidRPr="005F5B4E">
              <w:rPr>
                <w:sz w:val="28"/>
                <w:szCs w:val="28"/>
              </w:rPr>
              <w:t>103%</w:t>
            </w:r>
          </w:p>
        </w:tc>
        <w:tc>
          <w:tcPr>
            <w:tcW w:w="1332" w:type="dxa"/>
            <w:hideMark/>
          </w:tcPr>
          <w:p w14:paraId="038BAAD1"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2024B809" w14:textId="77777777" w:rsidR="00C71DF8" w:rsidRPr="005F5B4E" w:rsidRDefault="00C71DF8" w:rsidP="0027689B">
            <w:pPr>
              <w:spacing w:after="160" w:line="259" w:lineRule="auto"/>
              <w:jc w:val="both"/>
              <w:rPr>
                <w:sz w:val="28"/>
                <w:szCs w:val="28"/>
              </w:rPr>
            </w:pPr>
            <w:proofErr w:type="spellStart"/>
            <w:r w:rsidRPr="005F5B4E">
              <w:rPr>
                <w:sz w:val="28"/>
                <w:szCs w:val="28"/>
              </w:rPr>
              <w:t>n.s</w:t>
            </w:r>
            <w:proofErr w:type="spellEnd"/>
            <w:r w:rsidRPr="005F5B4E">
              <w:rPr>
                <w:sz w:val="28"/>
                <w:szCs w:val="28"/>
              </w:rPr>
              <w:t>.</w:t>
            </w:r>
          </w:p>
        </w:tc>
      </w:tr>
      <w:tr w:rsidR="00C71DF8" w:rsidRPr="005F5B4E" w14:paraId="5D950754" w14:textId="77777777" w:rsidTr="0027689B">
        <w:trPr>
          <w:trHeight w:val="314"/>
        </w:trPr>
        <w:tc>
          <w:tcPr>
            <w:tcW w:w="1875" w:type="dxa"/>
            <w:hideMark/>
          </w:tcPr>
          <w:p w14:paraId="26998EEF" w14:textId="77777777" w:rsidR="00C71DF8" w:rsidRPr="005F5B4E" w:rsidRDefault="00C71DF8" w:rsidP="0027689B">
            <w:pPr>
              <w:spacing w:after="160" w:line="259" w:lineRule="auto"/>
              <w:jc w:val="both"/>
              <w:rPr>
                <w:sz w:val="28"/>
                <w:szCs w:val="28"/>
              </w:rPr>
            </w:pPr>
            <w:r w:rsidRPr="005F5B4E">
              <w:rPr>
                <w:sz w:val="28"/>
                <w:szCs w:val="28"/>
              </w:rPr>
              <w:t>100</w:t>
            </w:r>
          </w:p>
        </w:tc>
        <w:tc>
          <w:tcPr>
            <w:tcW w:w="1393" w:type="dxa"/>
            <w:hideMark/>
          </w:tcPr>
          <w:p w14:paraId="6C0D3100" w14:textId="77777777" w:rsidR="00C71DF8" w:rsidRPr="005F5B4E" w:rsidRDefault="00C71DF8" w:rsidP="0027689B">
            <w:pPr>
              <w:spacing w:after="160" w:line="259" w:lineRule="auto"/>
              <w:jc w:val="both"/>
              <w:rPr>
                <w:sz w:val="28"/>
                <w:szCs w:val="28"/>
              </w:rPr>
            </w:pPr>
            <w:r w:rsidRPr="005F5B4E">
              <w:rPr>
                <w:sz w:val="28"/>
                <w:szCs w:val="28"/>
              </w:rPr>
              <w:t>99%</w:t>
            </w:r>
          </w:p>
        </w:tc>
        <w:tc>
          <w:tcPr>
            <w:tcW w:w="559" w:type="dxa"/>
            <w:hideMark/>
          </w:tcPr>
          <w:p w14:paraId="511DC675" w14:textId="77777777" w:rsidR="00C71DF8" w:rsidRPr="005F5B4E" w:rsidRDefault="00C71DF8" w:rsidP="0027689B">
            <w:pPr>
              <w:spacing w:after="160" w:line="259" w:lineRule="auto"/>
              <w:jc w:val="both"/>
              <w:rPr>
                <w:sz w:val="28"/>
                <w:szCs w:val="28"/>
              </w:rPr>
            </w:pPr>
            <w:r w:rsidRPr="005F5B4E">
              <w:rPr>
                <w:sz w:val="28"/>
                <w:szCs w:val="28"/>
              </w:rPr>
              <w:t>1%</w:t>
            </w:r>
          </w:p>
        </w:tc>
        <w:tc>
          <w:tcPr>
            <w:tcW w:w="1330" w:type="dxa"/>
            <w:hideMark/>
          </w:tcPr>
          <w:p w14:paraId="7E536146" w14:textId="77777777" w:rsidR="00C71DF8" w:rsidRPr="005F5B4E" w:rsidRDefault="00C71DF8" w:rsidP="0027689B">
            <w:pPr>
              <w:spacing w:after="160" w:line="259" w:lineRule="auto"/>
              <w:jc w:val="both"/>
              <w:rPr>
                <w:sz w:val="28"/>
                <w:szCs w:val="28"/>
              </w:rPr>
            </w:pPr>
            <w:r w:rsidRPr="005F5B4E">
              <w:rPr>
                <w:sz w:val="28"/>
                <w:szCs w:val="28"/>
              </w:rPr>
              <w:t>101%</w:t>
            </w:r>
          </w:p>
        </w:tc>
        <w:tc>
          <w:tcPr>
            <w:tcW w:w="1330" w:type="dxa"/>
            <w:hideMark/>
          </w:tcPr>
          <w:p w14:paraId="5FC7B469" w14:textId="77777777" w:rsidR="00C71DF8" w:rsidRPr="005F5B4E" w:rsidRDefault="00C71DF8" w:rsidP="0027689B">
            <w:pPr>
              <w:spacing w:after="160" w:line="259" w:lineRule="auto"/>
              <w:jc w:val="both"/>
              <w:rPr>
                <w:sz w:val="28"/>
                <w:szCs w:val="28"/>
              </w:rPr>
            </w:pPr>
            <w:r w:rsidRPr="005F5B4E">
              <w:rPr>
                <w:sz w:val="28"/>
                <w:szCs w:val="28"/>
              </w:rPr>
              <w:t>5%</w:t>
            </w:r>
          </w:p>
        </w:tc>
        <w:tc>
          <w:tcPr>
            <w:tcW w:w="1332" w:type="dxa"/>
            <w:hideMark/>
          </w:tcPr>
          <w:p w14:paraId="0B611543" w14:textId="77777777" w:rsidR="00C71DF8" w:rsidRPr="005F5B4E" w:rsidRDefault="00C71DF8" w:rsidP="0027689B">
            <w:pPr>
              <w:spacing w:after="160" w:line="259" w:lineRule="auto"/>
              <w:jc w:val="both"/>
              <w:rPr>
                <w:sz w:val="28"/>
                <w:szCs w:val="28"/>
              </w:rPr>
            </w:pPr>
            <w:r w:rsidRPr="005F5B4E">
              <w:rPr>
                <w:sz w:val="28"/>
                <w:szCs w:val="28"/>
              </w:rPr>
              <w:t>103%</w:t>
            </w:r>
          </w:p>
        </w:tc>
        <w:tc>
          <w:tcPr>
            <w:tcW w:w="1332" w:type="dxa"/>
            <w:hideMark/>
          </w:tcPr>
          <w:p w14:paraId="26795B25"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18AA6FF0" w14:textId="77777777" w:rsidR="00C71DF8" w:rsidRPr="005F5B4E" w:rsidRDefault="00C71DF8" w:rsidP="0027689B">
            <w:pPr>
              <w:spacing w:after="160" w:line="259" w:lineRule="auto"/>
              <w:jc w:val="both"/>
              <w:rPr>
                <w:sz w:val="28"/>
                <w:szCs w:val="28"/>
              </w:rPr>
            </w:pPr>
            <w:proofErr w:type="spellStart"/>
            <w:proofErr w:type="gramStart"/>
            <w:r w:rsidRPr="005F5B4E">
              <w:rPr>
                <w:sz w:val="28"/>
                <w:szCs w:val="28"/>
              </w:rPr>
              <w:t>n.s</w:t>
            </w:r>
            <w:proofErr w:type="spellEnd"/>
            <w:proofErr w:type="gramEnd"/>
          </w:p>
        </w:tc>
      </w:tr>
      <w:tr w:rsidR="00C71DF8" w:rsidRPr="005F5B4E" w14:paraId="1EB7D6D0" w14:textId="77777777" w:rsidTr="0027689B">
        <w:trPr>
          <w:trHeight w:val="314"/>
        </w:trPr>
        <w:tc>
          <w:tcPr>
            <w:tcW w:w="1875" w:type="dxa"/>
            <w:hideMark/>
          </w:tcPr>
          <w:p w14:paraId="394703BF" w14:textId="77777777" w:rsidR="00C71DF8" w:rsidRPr="005F5B4E" w:rsidRDefault="00C71DF8" w:rsidP="0027689B">
            <w:pPr>
              <w:spacing w:after="160" w:line="259" w:lineRule="auto"/>
              <w:jc w:val="both"/>
              <w:rPr>
                <w:sz w:val="28"/>
                <w:szCs w:val="28"/>
              </w:rPr>
            </w:pPr>
            <w:r w:rsidRPr="005F5B4E">
              <w:rPr>
                <w:sz w:val="28"/>
                <w:szCs w:val="28"/>
              </w:rPr>
              <w:t>30</w:t>
            </w:r>
          </w:p>
        </w:tc>
        <w:tc>
          <w:tcPr>
            <w:tcW w:w="1393" w:type="dxa"/>
            <w:hideMark/>
          </w:tcPr>
          <w:p w14:paraId="7467953E" w14:textId="77777777" w:rsidR="00C71DF8" w:rsidRPr="005F5B4E" w:rsidRDefault="00C71DF8" w:rsidP="0027689B">
            <w:pPr>
              <w:spacing w:after="160" w:line="259" w:lineRule="auto"/>
              <w:jc w:val="both"/>
              <w:rPr>
                <w:sz w:val="28"/>
                <w:szCs w:val="28"/>
              </w:rPr>
            </w:pPr>
            <w:r w:rsidRPr="005F5B4E">
              <w:rPr>
                <w:sz w:val="28"/>
                <w:szCs w:val="28"/>
              </w:rPr>
              <w:t>62%</w:t>
            </w:r>
          </w:p>
        </w:tc>
        <w:tc>
          <w:tcPr>
            <w:tcW w:w="559" w:type="dxa"/>
            <w:hideMark/>
          </w:tcPr>
          <w:p w14:paraId="44D56A14" w14:textId="77777777" w:rsidR="00C71DF8" w:rsidRPr="005F5B4E" w:rsidRDefault="00C71DF8" w:rsidP="0027689B">
            <w:pPr>
              <w:spacing w:after="160" w:line="259" w:lineRule="auto"/>
              <w:jc w:val="both"/>
              <w:rPr>
                <w:sz w:val="28"/>
                <w:szCs w:val="28"/>
              </w:rPr>
            </w:pPr>
            <w:r w:rsidRPr="005F5B4E">
              <w:rPr>
                <w:sz w:val="28"/>
                <w:szCs w:val="28"/>
              </w:rPr>
              <w:t>8%</w:t>
            </w:r>
          </w:p>
        </w:tc>
        <w:tc>
          <w:tcPr>
            <w:tcW w:w="1330" w:type="dxa"/>
            <w:hideMark/>
          </w:tcPr>
          <w:p w14:paraId="4A535329" w14:textId="77777777" w:rsidR="00C71DF8" w:rsidRPr="005F5B4E" w:rsidRDefault="00C71DF8" w:rsidP="0027689B">
            <w:pPr>
              <w:spacing w:after="160" w:line="259" w:lineRule="auto"/>
              <w:jc w:val="both"/>
              <w:rPr>
                <w:sz w:val="28"/>
                <w:szCs w:val="28"/>
              </w:rPr>
            </w:pPr>
            <w:r w:rsidRPr="005F5B4E">
              <w:rPr>
                <w:sz w:val="28"/>
                <w:szCs w:val="28"/>
              </w:rPr>
              <w:t>64%</w:t>
            </w:r>
          </w:p>
        </w:tc>
        <w:tc>
          <w:tcPr>
            <w:tcW w:w="1330" w:type="dxa"/>
            <w:hideMark/>
          </w:tcPr>
          <w:p w14:paraId="79AA3A30" w14:textId="77777777" w:rsidR="00C71DF8" w:rsidRPr="005F5B4E" w:rsidRDefault="00C71DF8" w:rsidP="0027689B">
            <w:pPr>
              <w:spacing w:after="160" w:line="259" w:lineRule="auto"/>
              <w:jc w:val="both"/>
              <w:rPr>
                <w:sz w:val="28"/>
                <w:szCs w:val="28"/>
              </w:rPr>
            </w:pPr>
            <w:r w:rsidRPr="005F5B4E">
              <w:rPr>
                <w:sz w:val="28"/>
                <w:szCs w:val="28"/>
              </w:rPr>
              <w:t>12%</w:t>
            </w:r>
          </w:p>
        </w:tc>
        <w:tc>
          <w:tcPr>
            <w:tcW w:w="1332" w:type="dxa"/>
            <w:hideMark/>
          </w:tcPr>
          <w:p w14:paraId="12872BAA" w14:textId="77777777" w:rsidR="00C71DF8" w:rsidRPr="005F5B4E" w:rsidRDefault="00C71DF8" w:rsidP="0027689B">
            <w:pPr>
              <w:spacing w:after="160" w:line="259" w:lineRule="auto"/>
              <w:jc w:val="both"/>
              <w:rPr>
                <w:sz w:val="28"/>
                <w:szCs w:val="28"/>
              </w:rPr>
            </w:pPr>
            <w:r w:rsidRPr="005F5B4E">
              <w:rPr>
                <w:sz w:val="28"/>
                <w:szCs w:val="28"/>
              </w:rPr>
              <w:t>90%</w:t>
            </w:r>
          </w:p>
        </w:tc>
        <w:tc>
          <w:tcPr>
            <w:tcW w:w="1332" w:type="dxa"/>
            <w:hideMark/>
          </w:tcPr>
          <w:p w14:paraId="66A2E5B5"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12533F80"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0.0220</w:t>
            </w:r>
          </w:p>
        </w:tc>
      </w:tr>
      <w:tr w:rsidR="00C71DF8" w:rsidRPr="005F5B4E" w14:paraId="7C76FB98" w14:textId="77777777" w:rsidTr="0027689B">
        <w:trPr>
          <w:trHeight w:val="314"/>
        </w:trPr>
        <w:tc>
          <w:tcPr>
            <w:tcW w:w="1875" w:type="dxa"/>
            <w:hideMark/>
          </w:tcPr>
          <w:p w14:paraId="0DB89DB7" w14:textId="77777777" w:rsidR="00C71DF8" w:rsidRPr="005F5B4E" w:rsidRDefault="00C71DF8" w:rsidP="0027689B">
            <w:pPr>
              <w:spacing w:after="160" w:line="259" w:lineRule="auto"/>
              <w:jc w:val="both"/>
              <w:rPr>
                <w:sz w:val="28"/>
                <w:szCs w:val="28"/>
              </w:rPr>
            </w:pPr>
            <w:r w:rsidRPr="005F5B4E">
              <w:rPr>
                <w:sz w:val="28"/>
                <w:szCs w:val="28"/>
              </w:rPr>
              <w:t>10</w:t>
            </w:r>
          </w:p>
        </w:tc>
        <w:tc>
          <w:tcPr>
            <w:tcW w:w="1393" w:type="dxa"/>
            <w:hideMark/>
          </w:tcPr>
          <w:p w14:paraId="7E873923" w14:textId="77777777" w:rsidR="00C71DF8" w:rsidRPr="005F5B4E" w:rsidRDefault="00C71DF8" w:rsidP="0027689B">
            <w:pPr>
              <w:spacing w:after="160" w:line="259" w:lineRule="auto"/>
              <w:jc w:val="both"/>
              <w:rPr>
                <w:sz w:val="28"/>
                <w:szCs w:val="28"/>
              </w:rPr>
            </w:pPr>
            <w:r w:rsidRPr="005F5B4E">
              <w:rPr>
                <w:sz w:val="28"/>
                <w:szCs w:val="28"/>
              </w:rPr>
              <w:t>43%</w:t>
            </w:r>
          </w:p>
        </w:tc>
        <w:tc>
          <w:tcPr>
            <w:tcW w:w="559" w:type="dxa"/>
            <w:hideMark/>
          </w:tcPr>
          <w:p w14:paraId="24A7F4BE" w14:textId="77777777" w:rsidR="00C71DF8" w:rsidRPr="005F5B4E" w:rsidRDefault="00C71DF8" w:rsidP="0027689B">
            <w:pPr>
              <w:spacing w:after="160" w:line="259" w:lineRule="auto"/>
              <w:jc w:val="both"/>
              <w:rPr>
                <w:sz w:val="28"/>
                <w:szCs w:val="28"/>
              </w:rPr>
            </w:pPr>
            <w:r w:rsidRPr="005F5B4E">
              <w:rPr>
                <w:sz w:val="28"/>
                <w:szCs w:val="28"/>
              </w:rPr>
              <w:t>7%</w:t>
            </w:r>
          </w:p>
        </w:tc>
        <w:tc>
          <w:tcPr>
            <w:tcW w:w="1330" w:type="dxa"/>
            <w:hideMark/>
          </w:tcPr>
          <w:p w14:paraId="5A64EEC5" w14:textId="77777777" w:rsidR="00C71DF8" w:rsidRPr="005F5B4E" w:rsidRDefault="00C71DF8" w:rsidP="0027689B">
            <w:pPr>
              <w:spacing w:after="160" w:line="259" w:lineRule="auto"/>
              <w:jc w:val="both"/>
              <w:rPr>
                <w:sz w:val="28"/>
                <w:szCs w:val="28"/>
              </w:rPr>
            </w:pPr>
            <w:r w:rsidRPr="005F5B4E">
              <w:rPr>
                <w:sz w:val="28"/>
                <w:szCs w:val="28"/>
              </w:rPr>
              <w:t>45%</w:t>
            </w:r>
          </w:p>
        </w:tc>
        <w:tc>
          <w:tcPr>
            <w:tcW w:w="1330" w:type="dxa"/>
            <w:hideMark/>
          </w:tcPr>
          <w:p w14:paraId="6D28DBEC" w14:textId="77777777" w:rsidR="00C71DF8" w:rsidRPr="005F5B4E" w:rsidRDefault="00C71DF8" w:rsidP="0027689B">
            <w:pPr>
              <w:spacing w:after="160" w:line="259" w:lineRule="auto"/>
              <w:jc w:val="both"/>
              <w:rPr>
                <w:sz w:val="28"/>
                <w:szCs w:val="28"/>
              </w:rPr>
            </w:pPr>
            <w:r w:rsidRPr="005F5B4E">
              <w:rPr>
                <w:sz w:val="28"/>
                <w:szCs w:val="28"/>
              </w:rPr>
              <w:t>11%</w:t>
            </w:r>
          </w:p>
        </w:tc>
        <w:tc>
          <w:tcPr>
            <w:tcW w:w="1332" w:type="dxa"/>
            <w:hideMark/>
          </w:tcPr>
          <w:p w14:paraId="5389DD33" w14:textId="77777777" w:rsidR="00C71DF8" w:rsidRPr="005F5B4E" w:rsidRDefault="00C71DF8" w:rsidP="0027689B">
            <w:pPr>
              <w:spacing w:after="160" w:line="259" w:lineRule="auto"/>
              <w:jc w:val="both"/>
              <w:rPr>
                <w:sz w:val="28"/>
                <w:szCs w:val="28"/>
              </w:rPr>
            </w:pPr>
            <w:r w:rsidRPr="005F5B4E">
              <w:rPr>
                <w:sz w:val="28"/>
                <w:szCs w:val="28"/>
              </w:rPr>
              <w:t>70%</w:t>
            </w:r>
          </w:p>
        </w:tc>
        <w:tc>
          <w:tcPr>
            <w:tcW w:w="1332" w:type="dxa"/>
            <w:hideMark/>
          </w:tcPr>
          <w:p w14:paraId="6AF7E017" w14:textId="77777777" w:rsidR="00C71DF8" w:rsidRPr="005F5B4E" w:rsidRDefault="00C71DF8" w:rsidP="0027689B">
            <w:pPr>
              <w:spacing w:after="160" w:line="259" w:lineRule="auto"/>
              <w:jc w:val="both"/>
              <w:rPr>
                <w:sz w:val="28"/>
                <w:szCs w:val="28"/>
              </w:rPr>
            </w:pPr>
            <w:r w:rsidRPr="005F5B4E">
              <w:rPr>
                <w:sz w:val="28"/>
                <w:szCs w:val="28"/>
              </w:rPr>
              <w:t>5%</w:t>
            </w:r>
          </w:p>
        </w:tc>
        <w:tc>
          <w:tcPr>
            <w:tcW w:w="1332" w:type="dxa"/>
            <w:hideMark/>
          </w:tcPr>
          <w:p w14:paraId="425CC825"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0.0231</w:t>
            </w:r>
          </w:p>
        </w:tc>
      </w:tr>
      <w:tr w:rsidR="00C71DF8" w:rsidRPr="005F5B4E" w14:paraId="3A1A7AD7" w14:textId="77777777" w:rsidTr="0027689B">
        <w:trPr>
          <w:trHeight w:val="314"/>
        </w:trPr>
        <w:tc>
          <w:tcPr>
            <w:tcW w:w="1875" w:type="dxa"/>
            <w:hideMark/>
          </w:tcPr>
          <w:p w14:paraId="7B9EF358" w14:textId="77777777" w:rsidR="00C71DF8" w:rsidRPr="005F5B4E" w:rsidRDefault="00C71DF8" w:rsidP="0027689B">
            <w:pPr>
              <w:spacing w:after="160" w:line="259" w:lineRule="auto"/>
              <w:jc w:val="both"/>
              <w:rPr>
                <w:sz w:val="28"/>
                <w:szCs w:val="28"/>
              </w:rPr>
            </w:pPr>
            <w:r w:rsidRPr="005F5B4E">
              <w:rPr>
                <w:sz w:val="28"/>
                <w:szCs w:val="28"/>
              </w:rPr>
              <w:t>3</w:t>
            </w:r>
          </w:p>
        </w:tc>
        <w:tc>
          <w:tcPr>
            <w:tcW w:w="1393" w:type="dxa"/>
            <w:hideMark/>
          </w:tcPr>
          <w:p w14:paraId="1BEA845C" w14:textId="77777777" w:rsidR="00C71DF8" w:rsidRPr="005F5B4E" w:rsidRDefault="00C71DF8" w:rsidP="0027689B">
            <w:pPr>
              <w:spacing w:after="160" w:line="259" w:lineRule="auto"/>
              <w:jc w:val="both"/>
              <w:rPr>
                <w:sz w:val="28"/>
                <w:szCs w:val="28"/>
              </w:rPr>
            </w:pPr>
            <w:r w:rsidRPr="005F5B4E">
              <w:rPr>
                <w:sz w:val="28"/>
                <w:szCs w:val="28"/>
              </w:rPr>
              <w:t>2%</w:t>
            </w:r>
          </w:p>
        </w:tc>
        <w:tc>
          <w:tcPr>
            <w:tcW w:w="559" w:type="dxa"/>
            <w:hideMark/>
          </w:tcPr>
          <w:p w14:paraId="0EE48DF9" w14:textId="77777777" w:rsidR="00C71DF8" w:rsidRPr="005F5B4E" w:rsidRDefault="00C71DF8" w:rsidP="0027689B">
            <w:pPr>
              <w:spacing w:after="160" w:line="259" w:lineRule="auto"/>
              <w:jc w:val="both"/>
              <w:rPr>
                <w:sz w:val="28"/>
                <w:szCs w:val="28"/>
              </w:rPr>
            </w:pPr>
            <w:r w:rsidRPr="005F5B4E">
              <w:rPr>
                <w:sz w:val="28"/>
                <w:szCs w:val="28"/>
              </w:rPr>
              <w:t>5%</w:t>
            </w:r>
          </w:p>
        </w:tc>
        <w:tc>
          <w:tcPr>
            <w:tcW w:w="1330" w:type="dxa"/>
            <w:hideMark/>
          </w:tcPr>
          <w:p w14:paraId="7127470C" w14:textId="77777777" w:rsidR="00C71DF8" w:rsidRPr="005F5B4E" w:rsidRDefault="00C71DF8" w:rsidP="0027689B">
            <w:pPr>
              <w:spacing w:after="160" w:line="259" w:lineRule="auto"/>
              <w:jc w:val="both"/>
              <w:rPr>
                <w:sz w:val="28"/>
                <w:szCs w:val="28"/>
              </w:rPr>
            </w:pPr>
            <w:r w:rsidRPr="005F5B4E">
              <w:rPr>
                <w:sz w:val="28"/>
                <w:szCs w:val="28"/>
              </w:rPr>
              <w:t>4%</w:t>
            </w:r>
          </w:p>
        </w:tc>
        <w:tc>
          <w:tcPr>
            <w:tcW w:w="1330" w:type="dxa"/>
            <w:hideMark/>
          </w:tcPr>
          <w:p w14:paraId="0ADD7D0A" w14:textId="77777777" w:rsidR="00C71DF8" w:rsidRPr="005F5B4E" w:rsidRDefault="00C71DF8" w:rsidP="0027689B">
            <w:pPr>
              <w:spacing w:after="160" w:line="259" w:lineRule="auto"/>
              <w:jc w:val="both"/>
              <w:rPr>
                <w:sz w:val="28"/>
                <w:szCs w:val="28"/>
              </w:rPr>
            </w:pPr>
            <w:r w:rsidRPr="005F5B4E">
              <w:rPr>
                <w:sz w:val="28"/>
                <w:szCs w:val="28"/>
              </w:rPr>
              <w:t>9%</w:t>
            </w:r>
          </w:p>
        </w:tc>
        <w:tc>
          <w:tcPr>
            <w:tcW w:w="1332" w:type="dxa"/>
            <w:hideMark/>
          </w:tcPr>
          <w:p w14:paraId="6E12AED7" w14:textId="77777777" w:rsidR="00C71DF8" w:rsidRPr="005F5B4E" w:rsidRDefault="00C71DF8" w:rsidP="0027689B">
            <w:pPr>
              <w:spacing w:after="160" w:line="259" w:lineRule="auto"/>
              <w:jc w:val="both"/>
              <w:rPr>
                <w:sz w:val="28"/>
                <w:szCs w:val="28"/>
              </w:rPr>
            </w:pPr>
            <w:r w:rsidRPr="005F5B4E">
              <w:rPr>
                <w:sz w:val="28"/>
                <w:szCs w:val="28"/>
              </w:rPr>
              <w:t>42%</w:t>
            </w:r>
          </w:p>
        </w:tc>
        <w:tc>
          <w:tcPr>
            <w:tcW w:w="1332" w:type="dxa"/>
            <w:hideMark/>
          </w:tcPr>
          <w:p w14:paraId="5DCA4F83" w14:textId="77777777" w:rsidR="00C71DF8" w:rsidRPr="005F5B4E" w:rsidRDefault="00C71DF8" w:rsidP="0027689B">
            <w:pPr>
              <w:spacing w:after="160" w:line="259" w:lineRule="auto"/>
              <w:jc w:val="both"/>
              <w:rPr>
                <w:sz w:val="28"/>
                <w:szCs w:val="28"/>
              </w:rPr>
            </w:pPr>
            <w:r w:rsidRPr="005F5B4E">
              <w:rPr>
                <w:sz w:val="28"/>
                <w:szCs w:val="28"/>
              </w:rPr>
              <w:t>3%</w:t>
            </w:r>
          </w:p>
        </w:tc>
        <w:tc>
          <w:tcPr>
            <w:tcW w:w="1332" w:type="dxa"/>
            <w:hideMark/>
          </w:tcPr>
          <w:p w14:paraId="35593386"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0.0023</w:t>
            </w:r>
          </w:p>
        </w:tc>
      </w:tr>
      <w:tr w:rsidR="00C71DF8" w:rsidRPr="005F5B4E" w14:paraId="0589B494" w14:textId="77777777" w:rsidTr="0027689B">
        <w:trPr>
          <w:trHeight w:val="314"/>
        </w:trPr>
        <w:tc>
          <w:tcPr>
            <w:tcW w:w="1875" w:type="dxa"/>
            <w:hideMark/>
          </w:tcPr>
          <w:p w14:paraId="24E757CF" w14:textId="77777777" w:rsidR="00C71DF8" w:rsidRPr="005F5B4E" w:rsidRDefault="00C71DF8" w:rsidP="0027689B">
            <w:pPr>
              <w:spacing w:after="160" w:line="259" w:lineRule="auto"/>
              <w:jc w:val="both"/>
              <w:rPr>
                <w:sz w:val="28"/>
                <w:szCs w:val="28"/>
              </w:rPr>
            </w:pPr>
            <w:r w:rsidRPr="005F5B4E">
              <w:rPr>
                <w:sz w:val="28"/>
                <w:szCs w:val="28"/>
              </w:rPr>
              <w:t>1</w:t>
            </w:r>
          </w:p>
        </w:tc>
        <w:tc>
          <w:tcPr>
            <w:tcW w:w="1393" w:type="dxa"/>
            <w:hideMark/>
          </w:tcPr>
          <w:p w14:paraId="5A206189" w14:textId="77777777" w:rsidR="00C71DF8" w:rsidRPr="005F5B4E" w:rsidRDefault="00C71DF8" w:rsidP="0027689B">
            <w:pPr>
              <w:spacing w:after="160" w:line="259" w:lineRule="auto"/>
              <w:jc w:val="both"/>
              <w:rPr>
                <w:sz w:val="28"/>
                <w:szCs w:val="28"/>
              </w:rPr>
            </w:pPr>
            <w:r w:rsidRPr="005F5B4E">
              <w:rPr>
                <w:sz w:val="28"/>
                <w:szCs w:val="28"/>
              </w:rPr>
              <w:t>4%</w:t>
            </w:r>
          </w:p>
        </w:tc>
        <w:tc>
          <w:tcPr>
            <w:tcW w:w="559" w:type="dxa"/>
            <w:hideMark/>
          </w:tcPr>
          <w:p w14:paraId="274AAD99" w14:textId="77777777" w:rsidR="00C71DF8" w:rsidRPr="005F5B4E" w:rsidRDefault="00C71DF8" w:rsidP="0027689B">
            <w:pPr>
              <w:spacing w:after="160" w:line="259" w:lineRule="auto"/>
              <w:jc w:val="both"/>
              <w:rPr>
                <w:sz w:val="28"/>
                <w:szCs w:val="28"/>
              </w:rPr>
            </w:pPr>
            <w:r w:rsidRPr="005F5B4E">
              <w:rPr>
                <w:sz w:val="28"/>
                <w:szCs w:val="28"/>
              </w:rPr>
              <w:t>2%</w:t>
            </w:r>
          </w:p>
        </w:tc>
        <w:tc>
          <w:tcPr>
            <w:tcW w:w="1330" w:type="dxa"/>
            <w:hideMark/>
          </w:tcPr>
          <w:p w14:paraId="76F27E7A" w14:textId="77777777" w:rsidR="00C71DF8" w:rsidRPr="005F5B4E" w:rsidRDefault="00C71DF8" w:rsidP="0027689B">
            <w:pPr>
              <w:spacing w:after="160" w:line="259" w:lineRule="auto"/>
              <w:jc w:val="both"/>
              <w:rPr>
                <w:sz w:val="28"/>
                <w:szCs w:val="28"/>
              </w:rPr>
            </w:pPr>
            <w:r w:rsidRPr="005F5B4E">
              <w:rPr>
                <w:sz w:val="28"/>
                <w:szCs w:val="28"/>
              </w:rPr>
              <w:t>6%</w:t>
            </w:r>
          </w:p>
        </w:tc>
        <w:tc>
          <w:tcPr>
            <w:tcW w:w="1330" w:type="dxa"/>
            <w:hideMark/>
          </w:tcPr>
          <w:p w14:paraId="4FEAFB7D" w14:textId="77777777" w:rsidR="00C71DF8" w:rsidRPr="005F5B4E" w:rsidRDefault="00C71DF8" w:rsidP="0027689B">
            <w:pPr>
              <w:spacing w:after="160" w:line="259" w:lineRule="auto"/>
              <w:jc w:val="both"/>
              <w:rPr>
                <w:sz w:val="28"/>
                <w:szCs w:val="28"/>
              </w:rPr>
            </w:pPr>
            <w:r w:rsidRPr="005F5B4E">
              <w:rPr>
                <w:sz w:val="28"/>
                <w:szCs w:val="28"/>
              </w:rPr>
              <w:t>6%</w:t>
            </w:r>
          </w:p>
        </w:tc>
        <w:tc>
          <w:tcPr>
            <w:tcW w:w="1332" w:type="dxa"/>
            <w:hideMark/>
          </w:tcPr>
          <w:p w14:paraId="04BEDD47" w14:textId="77777777" w:rsidR="00C71DF8" w:rsidRPr="005F5B4E" w:rsidRDefault="00C71DF8" w:rsidP="0027689B">
            <w:pPr>
              <w:spacing w:after="160" w:line="259" w:lineRule="auto"/>
              <w:jc w:val="both"/>
              <w:rPr>
                <w:sz w:val="28"/>
                <w:szCs w:val="28"/>
              </w:rPr>
            </w:pPr>
            <w:r w:rsidRPr="005F5B4E">
              <w:rPr>
                <w:sz w:val="28"/>
                <w:szCs w:val="28"/>
              </w:rPr>
              <w:t>31%</w:t>
            </w:r>
          </w:p>
        </w:tc>
        <w:tc>
          <w:tcPr>
            <w:tcW w:w="1332" w:type="dxa"/>
            <w:hideMark/>
          </w:tcPr>
          <w:p w14:paraId="293BB1BB" w14:textId="77777777" w:rsidR="00C71DF8" w:rsidRPr="005F5B4E" w:rsidRDefault="00C71DF8" w:rsidP="0027689B">
            <w:pPr>
              <w:spacing w:after="160" w:line="259" w:lineRule="auto"/>
              <w:jc w:val="both"/>
              <w:rPr>
                <w:sz w:val="28"/>
                <w:szCs w:val="28"/>
              </w:rPr>
            </w:pPr>
            <w:r w:rsidRPr="005F5B4E">
              <w:rPr>
                <w:sz w:val="28"/>
                <w:szCs w:val="28"/>
              </w:rPr>
              <w:t>13%</w:t>
            </w:r>
          </w:p>
        </w:tc>
        <w:tc>
          <w:tcPr>
            <w:tcW w:w="1332" w:type="dxa"/>
            <w:hideMark/>
          </w:tcPr>
          <w:p w14:paraId="721E0A9A"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0.039</w:t>
            </w:r>
          </w:p>
        </w:tc>
      </w:tr>
      <w:tr w:rsidR="00C71DF8" w:rsidRPr="005F5B4E" w14:paraId="14BD1DC0" w14:textId="77777777" w:rsidTr="0027689B">
        <w:trPr>
          <w:trHeight w:val="314"/>
        </w:trPr>
        <w:tc>
          <w:tcPr>
            <w:tcW w:w="1875" w:type="dxa"/>
            <w:hideMark/>
          </w:tcPr>
          <w:p w14:paraId="0EE14458" w14:textId="77777777" w:rsidR="00C71DF8" w:rsidRPr="005F5B4E" w:rsidRDefault="00C71DF8" w:rsidP="0027689B">
            <w:pPr>
              <w:spacing w:after="160" w:line="259" w:lineRule="auto"/>
              <w:jc w:val="both"/>
              <w:rPr>
                <w:sz w:val="28"/>
                <w:szCs w:val="28"/>
              </w:rPr>
            </w:pPr>
            <w:r w:rsidRPr="005F5B4E">
              <w:rPr>
                <w:sz w:val="28"/>
                <w:szCs w:val="28"/>
              </w:rPr>
              <w:t>0.3</w:t>
            </w:r>
          </w:p>
        </w:tc>
        <w:tc>
          <w:tcPr>
            <w:tcW w:w="1393" w:type="dxa"/>
            <w:hideMark/>
          </w:tcPr>
          <w:p w14:paraId="7307AEBF" w14:textId="77777777" w:rsidR="00C71DF8" w:rsidRPr="005F5B4E" w:rsidRDefault="00C71DF8" w:rsidP="0027689B">
            <w:pPr>
              <w:spacing w:after="160" w:line="259" w:lineRule="auto"/>
              <w:jc w:val="both"/>
              <w:rPr>
                <w:sz w:val="28"/>
                <w:szCs w:val="28"/>
              </w:rPr>
            </w:pPr>
            <w:r w:rsidRPr="005F5B4E">
              <w:rPr>
                <w:sz w:val="28"/>
                <w:szCs w:val="28"/>
              </w:rPr>
              <w:t>-8%</w:t>
            </w:r>
          </w:p>
        </w:tc>
        <w:tc>
          <w:tcPr>
            <w:tcW w:w="559" w:type="dxa"/>
            <w:hideMark/>
          </w:tcPr>
          <w:p w14:paraId="08C7B9DF" w14:textId="77777777" w:rsidR="00C71DF8" w:rsidRPr="005F5B4E" w:rsidRDefault="00C71DF8" w:rsidP="0027689B">
            <w:pPr>
              <w:spacing w:after="160" w:line="259" w:lineRule="auto"/>
              <w:jc w:val="both"/>
              <w:rPr>
                <w:sz w:val="28"/>
                <w:szCs w:val="28"/>
              </w:rPr>
            </w:pPr>
            <w:r w:rsidRPr="005F5B4E">
              <w:rPr>
                <w:sz w:val="28"/>
                <w:szCs w:val="28"/>
              </w:rPr>
              <w:t>3%</w:t>
            </w:r>
          </w:p>
        </w:tc>
        <w:tc>
          <w:tcPr>
            <w:tcW w:w="1330" w:type="dxa"/>
            <w:hideMark/>
          </w:tcPr>
          <w:p w14:paraId="71324373" w14:textId="77777777" w:rsidR="00C71DF8" w:rsidRPr="005F5B4E" w:rsidRDefault="00C71DF8" w:rsidP="0027689B">
            <w:pPr>
              <w:spacing w:after="160" w:line="259" w:lineRule="auto"/>
              <w:jc w:val="both"/>
              <w:rPr>
                <w:sz w:val="28"/>
                <w:szCs w:val="28"/>
              </w:rPr>
            </w:pPr>
            <w:r w:rsidRPr="005F5B4E">
              <w:rPr>
                <w:sz w:val="28"/>
                <w:szCs w:val="28"/>
              </w:rPr>
              <w:t>-6%</w:t>
            </w:r>
          </w:p>
        </w:tc>
        <w:tc>
          <w:tcPr>
            <w:tcW w:w="1330" w:type="dxa"/>
            <w:hideMark/>
          </w:tcPr>
          <w:p w14:paraId="30528FC2"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6A61DE6A" w14:textId="77777777" w:rsidR="00C71DF8" w:rsidRPr="005F5B4E" w:rsidRDefault="00C71DF8" w:rsidP="0027689B">
            <w:pPr>
              <w:spacing w:after="160" w:line="259" w:lineRule="auto"/>
              <w:jc w:val="both"/>
              <w:rPr>
                <w:sz w:val="28"/>
                <w:szCs w:val="28"/>
              </w:rPr>
            </w:pPr>
            <w:r w:rsidRPr="005F5B4E">
              <w:rPr>
                <w:sz w:val="28"/>
                <w:szCs w:val="28"/>
              </w:rPr>
              <w:t>29%</w:t>
            </w:r>
          </w:p>
        </w:tc>
        <w:tc>
          <w:tcPr>
            <w:tcW w:w="1332" w:type="dxa"/>
            <w:hideMark/>
          </w:tcPr>
          <w:p w14:paraId="479E79A6" w14:textId="77777777" w:rsidR="00C71DF8" w:rsidRPr="005F5B4E" w:rsidRDefault="00C71DF8" w:rsidP="0027689B">
            <w:pPr>
              <w:spacing w:after="160" w:line="259" w:lineRule="auto"/>
              <w:jc w:val="both"/>
              <w:rPr>
                <w:sz w:val="28"/>
                <w:szCs w:val="28"/>
              </w:rPr>
            </w:pPr>
            <w:r w:rsidRPr="005F5B4E">
              <w:rPr>
                <w:sz w:val="28"/>
                <w:szCs w:val="28"/>
              </w:rPr>
              <w:t>9%</w:t>
            </w:r>
          </w:p>
        </w:tc>
        <w:tc>
          <w:tcPr>
            <w:tcW w:w="1332" w:type="dxa"/>
            <w:hideMark/>
          </w:tcPr>
          <w:p w14:paraId="25ADB9C9"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0.006</w:t>
            </w:r>
          </w:p>
        </w:tc>
      </w:tr>
      <w:tr w:rsidR="00C71DF8" w:rsidRPr="005F5B4E" w14:paraId="5D939EE2" w14:textId="77777777" w:rsidTr="0027689B">
        <w:trPr>
          <w:trHeight w:val="314"/>
        </w:trPr>
        <w:tc>
          <w:tcPr>
            <w:tcW w:w="1875" w:type="dxa"/>
            <w:hideMark/>
          </w:tcPr>
          <w:p w14:paraId="362B1E66" w14:textId="77777777" w:rsidR="00C71DF8" w:rsidRPr="005F5B4E" w:rsidRDefault="00C71DF8" w:rsidP="0027689B">
            <w:pPr>
              <w:spacing w:after="160" w:line="259" w:lineRule="auto"/>
              <w:jc w:val="both"/>
              <w:rPr>
                <w:sz w:val="28"/>
                <w:szCs w:val="28"/>
              </w:rPr>
            </w:pPr>
            <w:r w:rsidRPr="005F5B4E">
              <w:rPr>
                <w:sz w:val="28"/>
                <w:szCs w:val="28"/>
              </w:rPr>
              <w:t>0.1</w:t>
            </w:r>
          </w:p>
        </w:tc>
        <w:tc>
          <w:tcPr>
            <w:tcW w:w="1393" w:type="dxa"/>
            <w:hideMark/>
          </w:tcPr>
          <w:p w14:paraId="2F3A0C1E" w14:textId="77777777" w:rsidR="00C71DF8" w:rsidRPr="005F5B4E" w:rsidRDefault="00C71DF8" w:rsidP="0027689B">
            <w:pPr>
              <w:spacing w:after="160" w:line="259" w:lineRule="auto"/>
              <w:jc w:val="both"/>
              <w:rPr>
                <w:sz w:val="28"/>
                <w:szCs w:val="28"/>
              </w:rPr>
            </w:pPr>
            <w:r w:rsidRPr="005F5B4E">
              <w:rPr>
                <w:sz w:val="28"/>
                <w:szCs w:val="28"/>
              </w:rPr>
              <w:t>0%</w:t>
            </w:r>
          </w:p>
        </w:tc>
        <w:tc>
          <w:tcPr>
            <w:tcW w:w="559" w:type="dxa"/>
            <w:hideMark/>
          </w:tcPr>
          <w:p w14:paraId="60EFA54D" w14:textId="77777777" w:rsidR="00C71DF8" w:rsidRPr="005F5B4E" w:rsidRDefault="00C71DF8" w:rsidP="0027689B">
            <w:pPr>
              <w:spacing w:after="160" w:line="259" w:lineRule="auto"/>
              <w:jc w:val="both"/>
              <w:rPr>
                <w:sz w:val="28"/>
                <w:szCs w:val="28"/>
              </w:rPr>
            </w:pPr>
            <w:r w:rsidRPr="005F5B4E">
              <w:rPr>
                <w:sz w:val="28"/>
                <w:szCs w:val="28"/>
              </w:rPr>
              <w:t>0%</w:t>
            </w:r>
          </w:p>
        </w:tc>
        <w:tc>
          <w:tcPr>
            <w:tcW w:w="1330" w:type="dxa"/>
            <w:hideMark/>
          </w:tcPr>
          <w:p w14:paraId="64A562F9" w14:textId="77777777" w:rsidR="00C71DF8" w:rsidRPr="005F5B4E" w:rsidRDefault="00C71DF8" w:rsidP="0027689B">
            <w:pPr>
              <w:spacing w:after="160" w:line="259" w:lineRule="auto"/>
              <w:jc w:val="both"/>
              <w:rPr>
                <w:sz w:val="28"/>
                <w:szCs w:val="28"/>
              </w:rPr>
            </w:pPr>
            <w:r w:rsidRPr="005F5B4E">
              <w:rPr>
                <w:sz w:val="28"/>
                <w:szCs w:val="28"/>
              </w:rPr>
              <w:t>2%</w:t>
            </w:r>
          </w:p>
        </w:tc>
        <w:tc>
          <w:tcPr>
            <w:tcW w:w="1330" w:type="dxa"/>
            <w:hideMark/>
          </w:tcPr>
          <w:p w14:paraId="37D2C8CB" w14:textId="77777777" w:rsidR="00C71DF8" w:rsidRPr="005F5B4E" w:rsidRDefault="00C71DF8" w:rsidP="0027689B">
            <w:pPr>
              <w:spacing w:after="160" w:line="259" w:lineRule="auto"/>
              <w:jc w:val="both"/>
              <w:rPr>
                <w:sz w:val="28"/>
                <w:szCs w:val="28"/>
              </w:rPr>
            </w:pPr>
            <w:r w:rsidRPr="005F5B4E">
              <w:rPr>
                <w:sz w:val="28"/>
                <w:szCs w:val="28"/>
              </w:rPr>
              <w:t>4%</w:t>
            </w:r>
          </w:p>
        </w:tc>
        <w:tc>
          <w:tcPr>
            <w:tcW w:w="1332" w:type="dxa"/>
            <w:hideMark/>
          </w:tcPr>
          <w:p w14:paraId="2C6DE186" w14:textId="77777777" w:rsidR="00C71DF8" w:rsidRPr="005F5B4E" w:rsidRDefault="00C71DF8" w:rsidP="0027689B">
            <w:pPr>
              <w:spacing w:after="160" w:line="259" w:lineRule="auto"/>
              <w:jc w:val="both"/>
              <w:rPr>
                <w:sz w:val="28"/>
                <w:szCs w:val="28"/>
              </w:rPr>
            </w:pPr>
            <w:r w:rsidRPr="005F5B4E">
              <w:rPr>
                <w:sz w:val="28"/>
                <w:szCs w:val="28"/>
              </w:rPr>
              <w:t>33%</w:t>
            </w:r>
          </w:p>
        </w:tc>
        <w:tc>
          <w:tcPr>
            <w:tcW w:w="1332" w:type="dxa"/>
            <w:hideMark/>
          </w:tcPr>
          <w:p w14:paraId="0E7199FD" w14:textId="77777777" w:rsidR="00C71DF8" w:rsidRPr="005F5B4E" w:rsidRDefault="00C71DF8" w:rsidP="0027689B">
            <w:pPr>
              <w:spacing w:after="160" w:line="259" w:lineRule="auto"/>
              <w:jc w:val="both"/>
              <w:rPr>
                <w:sz w:val="28"/>
                <w:szCs w:val="28"/>
              </w:rPr>
            </w:pPr>
            <w:r w:rsidRPr="005F5B4E">
              <w:rPr>
                <w:sz w:val="28"/>
                <w:szCs w:val="28"/>
              </w:rPr>
              <w:t>7%</w:t>
            </w:r>
          </w:p>
        </w:tc>
        <w:tc>
          <w:tcPr>
            <w:tcW w:w="1332" w:type="dxa"/>
            <w:hideMark/>
          </w:tcPr>
          <w:p w14:paraId="372D3D40" w14:textId="77777777" w:rsidR="00C71DF8" w:rsidRPr="005F5B4E" w:rsidRDefault="00C71DF8" w:rsidP="0027689B">
            <w:pPr>
              <w:spacing w:after="160" w:line="259" w:lineRule="auto"/>
              <w:jc w:val="both"/>
              <w:rPr>
                <w:color w:val="FF0000"/>
                <w:sz w:val="28"/>
                <w:szCs w:val="28"/>
              </w:rPr>
            </w:pPr>
            <w:r w:rsidRPr="005F5B4E">
              <w:rPr>
                <w:color w:val="FF0000"/>
                <w:sz w:val="28"/>
                <w:szCs w:val="28"/>
              </w:rPr>
              <w:t>0.0026</w:t>
            </w:r>
          </w:p>
        </w:tc>
      </w:tr>
    </w:tbl>
    <w:p w14:paraId="03432DC1" w14:textId="77777777" w:rsidR="00C71DF8" w:rsidRDefault="00C71DF8" w:rsidP="00C71DF8"/>
    <w:p w14:paraId="433EFCEF" w14:textId="77777777" w:rsidR="00C71DF8" w:rsidRDefault="00C71DF8" w:rsidP="00C71DF8"/>
    <w:p w14:paraId="627A4307" w14:textId="77777777" w:rsidR="00C71DF8" w:rsidRDefault="00C71DF8" w:rsidP="00C71DF8"/>
    <w:p w14:paraId="076A4B19" w14:textId="77777777" w:rsidR="00C71DF8" w:rsidRDefault="00C71DF8" w:rsidP="00C71DF8"/>
    <w:p w14:paraId="13CFB29C" w14:textId="77777777" w:rsidR="00C71DF8" w:rsidRDefault="00C71DF8" w:rsidP="00C71DF8"/>
    <w:p w14:paraId="2203CAD0" w14:textId="77777777" w:rsidR="00C71DF8" w:rsidRDefault="00C71DF8" w:rsidP="00C71DF8"/>
    <w:p w14:paraId="068853A0" w14:textId="77777777" w:rsidR="00C71DF8" w:rsidRDefault="00C71DF8" w:rsidP="00C71DF8"/>
    <w:p w14:paraId="36FCCE3C" w14:textId="77777777" w:rsidR="00C71DF8" w:rsidRDefault="00C71DF8" w:rsidP="00C71DF8"/>
    <w:p w14:paraId="1B80949D" w14:textId="77777777" w:rsidR="00C71DF8" w:rsidRDefault="00C71DF8" w:rsidP="00C71DF8"/>
    <w:p w14:paraId="2ED20315" w14:textId="77777777" w:rsidR="00C71DF8" w:rsidRDefault="00C71DF8" w:rsidP="00C71DF8"/>
    <w:p w14:paraId="49CD115F" w14:textId="77777777" w:rsidR="00C71DF8" w:rsidRDefault="00C71DF8" w:rsidP="00C71DF8"/>
    <w:p w14:paraId="5B20540F" w14:textId="77777777" w:rsidR="00C71DF8" w:rsidRDefault="00C71DF8" w:rsidP="00C71DF8"/>
    <w:p w14:paraId="0245A888" w14:textId="77777777" w:rsidR="00C71DF8" w:rsidRDefault="00C71DF8" w:rsidP="00C71DF8"/>
    <w:p w14:paraId="455F1E28" w14:textId="77777777" w:rsidR="00C71DF8" w:rsidRDefault="00C71DF8" w:rsidP="00C71DF8"/>
    <w:p w14:paraId="6D14B993" w14:textId="77777777" w:rsidR="00C71DF8" w:rsidRPr="00C71DF8" w:rsidRDefault="00C71DF8" w:rsidP="00C71DF8">
      <w:pPr>
        <w:jc w:val="both"/>
        <w:rPr>
          <w:b/>
          <w:bCs/>
        </w:rPr>
      </w:pPr>
      <w:r w:rsidRPr="00C71DF8">
        <w:rPr>
          <w:b/>
          <w:bCs/>
        </w:rPr>
        <w:lastRenderedPageBreak/>
        <w:t xml:space="preserve">Table 4: Statistical comparison using ANOVA with Dunnett’s test between predicted and observed effects when combining vardenafil with 1 µM tamoxifen and 0.3 </w:t>
      </w:r>
      <w:r w:rsidRPr="00C71DF8">
        <w:rPr>
          <w:rFonts w:cstheme="minorHAnsi"/>
          <w:b/>
          <w:bCs/>
        </w:rPr>
        <w:t>µ</w:t>
      </w:r>
      <w:r w:rsidRPr="00C71DF8">
        <w:rPr>
          <w:b/>
          <w:bCs/>
        </w:rPr>
        <w:t>M simvastatin and comparison between observed double combination (vardenafil + tamoxifen) and observed triple combination. P&lt;0.05 in red.</w:t>
      </w:r>
    </w:p>
    <w:tbl>
      <w:tblPr>
        <w:tblStyle w:val="TableGrid"/>
        <w:tblW w:w="11517" w:type="dxa"/>
        <w:tblInd w:w="-1252" w:type="dxa"/>
        <w:tblLook w:val="0600" w:firstRow="0" w:lastRow="0" w:firstColumn="0" w:lastColumn="0" w:noHBand="1" w:noVBand="1"/>
      </w:tblPr>
      <w:tblGrid>
        <w:gridCol w:w="1875"/>
        <w:gridCol w:w="1686"/>
        <w:gridCol w:w="700"/>
        <w:gridCol w:w="1686"/>
        <w:gridCol w:w="700"/>
        <w:gridCol w:w="1686"/>
        <w:gridCol w:w="559"/>
        <w:gridCol w:w="1332"/>
        <w:gridCol w:w="1293"/>
      </w:tblGrid>
      <w:tr w:rsidR="00C71DF8" w:rsidRPr="00C71DF8" w14:paraId="31251808" w14:textId="77777777" w:rsidTr="0027689B">
        <w:trPr>
          <w:trHeight w:val="1266"/>
        </w:trPr>
        <w:tc>
          <w:tcPr>
            <w:tcW w:w="1875" w:type="dxa"/>
            <w:hideMark/>
          </w:tcPr>
          <w:p w14:paraId="4F203376" w14:textId="77777777" w:rsidR="00C71DF8" w:rsidRPr="00C71DF8" w:rsidRDefault="00C71DF8" w:rsidP="0027689B">
            <w:pPr>
              <w:spacing w:after="160" w:line="259" w:lineRule="auto"/>
              <w:jc w:val="center"/>
              <w:rPr>
                <w:b/>
                <w:bCs/>
                <w:sz w:val="28"/>
                <w:szCs w:val="28"/>
              </w:rPr>
            </w:pPr>
            <w:r w:rsidRPr="00C71DF8">
              <w:rPr>
                <w:b/>
                <w:bCs/>
                <w:sz w:val="28"/>
                <w:szCs w:val="28"/>
              </w:rPr>
              <w:t xml:space="preserve">Concentration of </w:t>
            </w:r>
            <w:proofErr w:type="gramStart"/>
            <w:r w:rsidRPr="00C71DF8">
              <w:rPr>
                <w:b/>
                <w:bCs/>
                <w:sz w:val="28"/>
                <w:szCs w:val="28"/>
              </w:rPr>
              <w:t>statin  (</w:t>
            </w:r>
            <w:proofErr w:type="gramEnd"/>
            <w:r w:rsidRPr="00C71DF8">
              <w:rPr>
                <w:b/>
                <w:bCs/>
                <w:sz w:val="28"/>
                <w:szCs w:val="28"/>
              </w:rPr>
              <w:t>µM)</w:t>
            </w:r>
          </w:p>
        </w:tc>
        <w:tc>
          <w:tcPr>
            <w:tcW w:w="1686" w:type="dxa"/>
            <w:hideMark/>
          </w:tcPr>
          <w:p w14:paraId="216327D6" w14:textId="77777777" w:rsidR="00C71DF8" w:rsidRPr="00C71DF8" w:rsidRDefault="00C71DF8" w:rsidP="0027689B">
            <w:pPr>
              <w:spacing w:after="160" w:line="259" w:lineRule="auto"/>
              <w:jc w:val="center"/>
              <w:rPr>
                <w:b/>
                <w:bCs/>
                <w:sz w:val="28"/>
                <w:szCs w:val="28"/>
              </w:rPr>
            </w:pPr>
            <w:r w:rsidRPr="00C71DF8">
              <w:rPr>
                <w:b/>
                <w:bCs/>
                <w:sz w:val="28"/>
                <w:szCs w:val="28"/>
              </w:rPr>
              <w:t>Inhibition by double combination (vardenafil plus tamoxifen)</w:t>
            </w:r>
          </w:p>
        </w:tc>
        <w:tc>
          <w:tcPr>
            <w:tcW w:w="700" w:type="dxa"/>
            <w:hideMark/>
          </w:tcPr>
          <w:p w14:paraId="73FBFAC8" w14:textId="77777777" w:rsidR="00C71DF8" w:rsidRPr="00C71DF8" w:rsidRDefault="00C71DF8" w:rsidP="0027689B">
            <w:pPr>
              <w:spacing w:after="160" w:line="259" w:lineRule="auto"/>
              <w:jc w:val="center"/>
              <w:rPr>
                <w:b/>
                <w:bCs/>
                <w:sz w:val="28"/>
                <w:szCs w:val="28"/>
              </w:rPr>
            </w:pPr>
            <w:r w:rsidRPr="00C71DF8">
              <w:rPr>
                <w:b/>
                <w:bCs/>
                <w:sz w:val="28"/>
                <w:szCs w:val="28"/>
              </w:rPr>
              <w:t>SD</w:t>
            </w:r>
          </w:p>
        </w:tc>
        <w:tc>
          <w:tcPr>
            <w:tcW w:w="1686" w:type="dxa"/>
            <w:hideMark/>
          </w:tcPr>
          <w:p w14:paraId="24D0B3C8" w14:textId="77777777" w:rsidR="00C71DF8" w:rsidRPr="00C71DF8" w:rsidRDefault="00C71DF8" w:rsidP="0027689B">
            <w:pPr>
              <w:spacing w:after="160" w:line="259" w:lineRule="auto"/>
              <w:jc w:val="center"/>
              <w:rPr>
                <w:b/>
                <w:bCs/>
                <w:sz w:val="28"/>
                <w:szCs w:val="28"/>
              </w:rPr>
            </w:pPr>
            <w:r w:rsidRPr="00C71DF8">
              <w:rPr>
                <w:b/>
                <w:bCs/>
                <w:sz w:val="28"/>
                <w:szCs w:val="28"/>
              </w:rPr>
              <w:t>Predicted effect of triple combination</w:t>
            </w:r>
          </w:p>
        </w:tc>
        <w:tc>
          <w:tcPr>
            <w:tcW w:w="700" w:type="dxa"/>
            <w:hideMark/>
          </w:tcPr>
          <w:p w14:paraId="758DD380" w14:textId="77777777" w:rsidR="00C71DF8" w:rsidRPr="00C71DF8" w:rsidRDefault="00C71DF8" w:rsidP="0027689B">
            <w:pPr>
              <w:spacing w:after="160" w:line="259" w:lineRule="auto"/>
              <w:jc w:val="center"/>
              <w:rPr>
                <w:b/>
                <w:bCs/>
                <w:sz w:val="28"/>
                <w:szCs w:val="28"/>
              </w:rPr>
            </w:pPr>
            <w:r w:rsidRPr="00C71DF8">
              <w:rPr>
                <w:b/>
                <w:bCs/>
                <w:sz w:val="28"/>
                <w:szCs w:val="28"/>
              </w:rPr>
              <w:t>SD</w:t>
            </w:r>
          </w:p>
        </w:tc>
        <w:tc>
          <w:tcPr>
            <w:tcW w:w="1686" w:type="dxa"/>
            <w:hideMark/>
          </w:tcPr>
          <w:p w14:paraId="5CF7B927" w14:textId="77777777" w:rsidR="00C71DF8" w:rsidRPr="00C71DF8" w:rsidRDefault="00C71DF8" w:rsidP="0027689B">
            <w:pPr>
              <w:spacing w:after="160" w:line="259" w:lineRule="auto"/>
              <w:jc w:val="center"/>
              <w:rPr>
                <w:b/>
                <w:bCs/>
                <w:sz w:val="28"/>
                <w:szCs w:val="28"/>
              </w:rPr>
            </w:pPr>
            <w:r w:rsidRPr="00C71DF8">
              <w:rPr>
                <w:b/>
                <w:bCs/>
                <w:sz w:val="28"/>
                <w:szCs w:val="28"/>
              </w:rPr>
              <w:t>Observed effect of triple combination</w:t>
            </w:r>
          </w:p>
        </w:tc>
        <w:tc>
          <w:tcPr>
            <w:tcW w:w="559" w:type="dxa"/>
            <w:hideMark/>
          </w:tcPr>
          <w:p w14:paraId="2686FD7D" w14:textId="77777777" w:rsidR="00C71DF8" w:rsidRPr="00C71DF8" w:rsidRDefault="00C71DF8" w:rsidP="0027689B">
            <w:pPr>
              <w:spacing w:after="160" w:line="259" w:lineRule="auto"/>
              <w:jc w:val="center"/>
              <w:rPr>
                <w:b/>
                <w:bCs/>
                <w:sz w:val="28"/>
                <w:szCs w:val="28"/>
              </w:rPr>
            </w:pPr>
            <w:r w:rsidRPr="00C71DF8">
              <w:rPr>
                <w:b/>
                <w:bCs/>
                <w:sz w:val="28"/>
                <w:szCs w:val="28"/>
              </w:rPr>
              <w:t>SD</w:t>
            </w:r>
          </w:p>
        </w:tc>
        <w:tc>
          <w:tcPr>
            <w:tcW w:w="1332" w:type="dxa"/>
            <w:hideMark/>
          </w:tcPr>
          <w:p w14:paraId="23B7629A" w14:textId="77777777" w:rsidR="00C71DF8" w:rsidRPr="00C71DF8" w:rsidRDefault="00C71DF8" w:rsidP="0027689B">
            <w:pPr>
              <w:spacing w:after="160" w:line="259" w:lineRule="auto"/>
              <w:jc w:val="center"/>
              <w:rPr>
                <w:b/>
                <w:bCs/>
                <w:sz w:val="28"/>
                <w:szCs w:val="28"/>
              </w:rPr>
            </w:pPr>
            <w:r w:rsidRPr="00C71DF8">
              <w:rPr>
                <w:b/>
                <w:bCs/>
                <w:sz w:val="28"/>
                <w:szCs w:val="28"/>
                <w:lang w:val="en-US"/>
              </w:rPr>
              <w:t>ANOVA predicted triple vs observed triple</w:t>
            </w:r>
          </w:p>
        </w:tc>
        <w:tc>
          <w:tcPr>
            <w:tcW w:w="1293" w:type="dxa"/>
            <w:hideMark/>
          </w:tcPr>
          <w:p w14:paraId="4D4E7EA5" w14:textId="77777777" w:rsidR="00C71DF8" w:rsidRPr="00C71DF8" w:rsidRDefault="00C71DF8" w:rsidP="0027689B">
            <w:pPr>
              <w:spacing w:after="160" w:line="259" w:lineRule="auto"/>
              <w:jc w:val="center"/>
              <w:rPr>
                <w:b/>
                <w:bCs/>
                <w:sz w:val="28"/>
                <w:szCs w:val="28"/>
              </w:rPr>
            </w:pPr>
            <w:r w:rsidRPr="00C71DF8">
              <w:rPr>
                <w:b/>
                <w:bCs/>
                <w:sz w:val="28"/>
                <w:szCs w:val="28"/>
                <w:lang w:val="en-US"/>
              </w:rPr>
              <w:t xml:space="preserve">ANOVA observed double vs observed </w:t>
            </w:r>
            <w:proofErr w:type="gramStart"/>
            <w:r w:rsidRPr="00C71DF8">
              <w:rPr>
                <w:b/>
                <w:bCs/>
                <w:sz w:val="28"/>
                <w:szCs w:val="28"/>
                <w:lang w:val="en-US"/>
              </w:rPr>
              <w:t>triple</w:t>
            </w:r>
            <w:proofErr w:type="gramEnd"/>
          </w:p>
          <w:p w14:paraId="575D4B78" w14:textId="77777777" w:rsidR="00C71DF8" w:rsidRPr="00C71DF8" w:rsidRDefault="00C71DF8" w:rsidP="0027689B">
            <w:pPr>
              <w:spacing w:after="160" w:line="259" w:lineRule="auto"/>
              <w:jc w:val="center"/>
              <w:rPr>
                <w:b/>
                <w:bCs/>
                <w:sz w:val="28"/>
                <w:szCs w:val="28"/>
              </w:rPr>
            </w:pPr>
          </w:p>
        </w:tc>
      </w:tr>
      <w:tr w:rsidR="00C71DF8" w:rsidRPr="00C71DF8" w14:paraId="56D66695" w14:textId="77777777" w:rsidTr="0027689B">
        <w:trPr>
          <w:trHeight w:val="290"/>
        </w:trPr>
        <w:tc>
          <w:tcPr>
            <w:tcW w:w="1875" w:type="dxa"/>
            <w:hideMark/>
          </w:tcPr>
          <w:p w14:paraId="7717B1C9" w14:textId="77777777" w:rsidR="00C71DF8" w:rsidRPr="00C71DF8" w:rsidRDefault="00C71DF8" w:rsidP="0027689B">
            <w:pPr>
              <w:spacing w:after="160" w:line="259" w:lineRule="auto"/>
              <w:jc w:val="both"/>
              <w:rPr>
                <w:sz w:val="28"/>
                <w:szCs w:val="28"/>
              </w:rPr>
            </w:pPr>
            <w:r w:rsidRPr="00C71DF8">
              <w:rPr>
                <w:sz w:val="28"/>
                <w:szCs w:val="28"/>
              </w:rPr>
              <w:t>300</w:t>
            </w:r>
          </w:p>
        </w:tc>
        <w:tc>
          <w:tcPr>
            <w:tcW w:w="1686" w:type="dxa"/>
            <w:hideMark/>
          </w:tcPr>
          <w:p w14:paraId="630C65C7" w14:textId="77777777" w:rsidR="00C71DF8" w:rsidRPr="00C71DF8" w:rsidRDefault="00C71DF8" w:rsidP="0027689B">
            <w:pPr>
              <w:spacing w:after="160" w:line="259" w:lineRule="auto"/>
              <w:jc w:val="both"/>
              <w:rPr>
                <w:sz w:val="28"/>
                <w:szCs w:val="28"/>
              </w:rPr>
            </w:pPr>
            <w:r w:rsidRPr="00C71DF8">
              <w:rPr>
                <w:sz w:val="28"/>
                <w:szCs w:val="28"/>
              </w:rPr>
              <w:t>103%</w:t>
            </w:r>
          </w:p>
        </w:tc>
        <w:tc>
          <w:tcPr>
            <w:tcW w:w="700" w:type="dxa"/>
            <w:hideMark/>
          </w:tcPr>
          <w:p w14:paraId="6DA96393" w14:textId="77777777" w:rsidR="00C71DF8" w:rsidRPr="00C71DF8" w:rsidRDefault="00C71DF8" w:rsidP="0027689B">
            <w:pPr>
              <w:spacing w:after="160" w:line="259" w:lineRule="auto"/>
              <w:jc w:val="both"/>
              <w:rPr>
                <w:sz w:val="28"/>
                <w:szCs w:val="28"/>
              </w:rPr>
            </w:pPr>
            <w:r w:rsidRPr="00C71DF8">
              <w:rPr>
                <w:sz w:val="28"/>
                <w:szCs w:val="28"/>
              </w:rPr>
              <w:t>1%</w:t>
            </w:r>
          </w:p>
        </w:tc>
        <w:tc>
          <w:tcPr>
            <w:tcW w:w="1686" w:type="dxa"/>
            <w:hideMark/>
          </w:tcPr>
          <w:p w14:paraId="165DE7E7" w14:textId="77777777" w:rsidR="00C71DF8" w:rsidRPr="00C71DF8" w:rsidRDefault="00C71DF8" w:rsidP="0027689B">
            <w:pPr>
              <w:spacing w:after="160" w:line="259" w:lineRule="auto"/>
              <w:jc w:val="both"/>
              <w:rPr>
                <w:sz w:val="28"/>
                <w:szCs w:val="28"/>
              </w:rPr>
            </w:pPr>
            <w:r w:rsidRPr="00C71DF8">
              <w:rPr>
                <w:sz w:val="28"/>
                <w:szCs w:val="28"/>
              </w:rPr>
              <w:t>114%</w:t>
            </w:r>
          </w:p>
        </w:tc>
        <w:tc>
          <w:tcPr>
            <w:tcW w:w="700" w:type="dxa"/>
            <w:hideMark/>
          </w:tcPr>
          <w:p w14:paraId="2B96592B" w14:textId="77777777" w:rsidR="00C71DF8" w:rsidRPr="00C71DF8" w:rsidRDefault="00C71DF8" w:rsidP="0027689B">
            <w:pPr>
              <w:spacing w:after="160" w:line="259" w:lineRule="auto"/>
              <w:jc w:val="both"/>
              <w:rPr>
                <w:sz w:val="28"/>
                <w:szCs w:val="28"/>
              </w:rPr>
            </w:pPr>
            <w:r w:rsidRPr="00C71DF8">
              <w:rPr>
                <w:sz w:val="28"/>
                <w:szCs w:val="28"/>
              </w:rPr>
              <w:t>4%</w:t>
            </w:r>
          </w:p>
        </w:tc>
        <w:tc>
          <w:tcPr>
            <w:tcW w:w="1686" w:type="dxa"/>
            <w:hideMark/>
          </w:tcPr>
          <w:p w14:paraId="41E78EB4" w14:textId="77777777" w:rsidR="00C71DF8" w:rsidRPr="00C71DF8" w:rsidRDefault="00C71DF8" w:rsidP="0027689B">
            <w:pPr>
              <w:spacing w:after="160" w:line="259" w:lineRule="auto"/>
              <w:jc w:val="both"/>
              <w:rPr>
                <w:sz w:val="28"/>
                <w:szCs w:val="28"/>
              </w:rPr>
            </w:pPr>
            <w:r w:rsidRPr="00C71DF8">
              <w:rPr>
                <w:sz w:val="28"/>
                <w:szCs w:val="28"/>
              </w:rPr>
              <w:t>103%</w:t>
            </w:r>
          </w:p>
        </w:tc>
        <w:tc>
          <w:tcPr>
            <w:tcW w:w="559" w:type="dxa"/>
            <w:hideMark/>
          </w:tcPr>
          <w:p w14:paraId="6B5A5F30" w14:textId="77777777" w:rsidR="00C71DF8" w:rsidRPr="00C71DF8" w:rsidRDefault="00C71DF8" w:rsidP="0027689B">
            <w:pPr>
              <w:spacing w:after="160" w:line="259" w:lineRule="auto"/>
              <w:jc w:val="both"/>
              <w:rPr>
                <w:sz w:val="28"/>
                <w:szCs w:val="28"/>
              </w:rPr>
            </w:pPr>
            <w:r w:rsidRPr="00C71DF8">
              <w:rPr>
                <w:sz w:val="28"/>
                <w:szCs w:val="28"/>
              </w:rPr>
              <w:t>1%</w:t>
            </w:r>
          </w:p>
        </w:tc>
        <w:tc>
          <w:tcPr>
            <w:tcW w:w="1332" w:type="dxa"/>
            <w:hideMark/>
          </w:tcPr>
          <w:p w14:paraId="05029F70" w14:textId="77777777" w:rsidR="00C71DF8" w:rsidRPr="00C71DF8" w:rsidRDefault="00C71DF8" w:rsidP="0027689B">
            <w:pPr>
              <w:spacing w:after="160" w:line="259" w:lineRule="auto"/>
              <w:jc w:val="both"/>
              <w:rPr>
                <w:sz w:val="28"/>
                <w:szCs w:val="28"/>
              </w:rPr>
            </w:pPr>
            <w:r w:rsidRPr="00C71DF8">
              <w:rPr>
                <w:color w:val="FF0000"/>
                <w:sz w:val="28"/>
                <w:szCs w:val="28"/>
              </w:rPr>
              <w:t>0.0027</w:t>
            </w:r>
          </w:p>
        </w:tc>
        <w:tc>
          <w:tcPr>
            <w:tcW w:w="1293" w:type="dxa"/>
            <w:hideMark/>
          </w:tcPr>
          <w:p w14:paraId="50AB4DD9" w14:textId="77777777" w:rsidR="00C71DF8" w:rsidRPr="00C71DF8"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r>
      <w:tr w:rsidR="00C71DF8" w:rsidRPr="00C71DF8" w14:paraId="6ACFB49A" w14:textId="77777777" w:rsidTr="0027689B">
        <w:trPr>
          <w:trHeight w:val="290"/>
        </w:trPr>
        <w:tc>
          <w:tcPr>
            <w:tcW w:w="1875" w:type="dxa"/>
            <w:hideMark/>
          </w:tcPr>
          <w:p w14:paraId="7A2A396B" w14:textId="77777777" w:rsidR="00C71DF8" w:rsidRPr="00C71DF8" w:rsidRDefault="00C71DF8" w:rsidP="0027689B">
            <w:pPr>
              <w:spacing w:after="160" w:line="259" w:lineRule="auto"/>
              <w:jc w:val="both"/>
              <w:rPr>
                <w:sz w:val="28"/>
                <w:szCs w:val="28"/>
              </w:rPr>
            </w:pPr>
            <w:r w:rsidRPr="00C71DF8">
              <w:rPr>
                <w:sz w:val="28"/>
                <w:szCs w:val="28"/>
              </w:rPr>
              <w:t>100</w:t>
            </w:r>
          </w:p>
        </w:tc>
        <w:tc>
          <w:tcPr>
            <w:tcW w:w="1686" w:type="dxa"/>
            <w:hideMark/>
          </w:tcPr>
          <w:p w14:paraId="40E9AF2A" w14:textId="77777777" w:rsidR="00C71DF8" w:rsidRPr="00C71DF8" w:rsidRDefault="00C71DF8" w:rsidP="0027689B">
            <w:pPr>
              <w:spacing w:after="160" w:line="259" w:lineRule="auto"/>
              <w:jc w:val="both"/>
              <w:rPr>
                <w:sz w:val="28"/>
                <w:szCs w:val="28"/>
              </w:rPr>
            </w:pPr>
            <w:r w:rsidRPr="00C71DF8">
              <w:rPr>
                <w:sz w:val="28"/>
                <w:szCs w:val="28"/>
              </w:rPr>
              <w:t>103%</w:t>
            </w:r>
          </w:p>
        </w:tc>
        <w:tc>
          <w:tcPr>
            <w:tcW w:w="700" w:type="dxa"/>
            <w:hideMark/>
          </w:tcPr>
          <w:p w14:paraId="5FF1AA4F" w14:textId="77777777" w:rsidR="00C71DF8" w:rsidRPr="00C71DF8" w:rsidRDefault="00C71DF8" w:rsidP="0027689B">
            <w:pPr>
              <w:spacing w:after="160" w:line="259" w:lineRule="auto"/>
              <w:jc w:val="both"/>
              <w:rPr>
                <w:sz w:val="28"/>
                <w:szCs w:val="28"/>
              </w:rPr>
            </w:pPr>
            <w:r w:rsidRPr="00C71DF8">
              <w:rPr>
                <w:sz w:val="28"/>
                <w:szCs w:val="28"/>
              </w:rPr>
              <w:t>5%</w:t>
            </w:r>
          </w:p>
        </w:tc>
        <w:tc>
          <w:tcPr>
            <w:tcW w:w="1686" w:type="dxa"/>
            <w:hideMark/>
          </w:tcPr>
          <w:p w14:paraId="551F808D" w14:textId="77777777" w:rsidR="00C71DF8" w:rsidRPr="00C71DF8" w:rsidRDefault="00C71DF8" w:rsidP="0027689B">
            <w:pPr>
              <w:spacing w:after="160" w:line="259" w:lineRule="auto"/>
              <w:jc w:val="both"/>
              <w:rPr>
                <w:sz w:val="28"/>
                <w:szCs w:val="28"/>
              </w:rPr>
            </w:pPr>
            <w:r w:rsidRPr="00C71DF8">
              <w:rPr>
                <w:sz w:val="28"/>
                <w:szCs w:val="28"/>
              </w:rPr>
              <w:t>114%</w:t>
            </w:r>
          </w:p>
        </w:tc>
        <w:tc>
          <w:tcPr>
            <w:tcW w:w="700" w:type="dxa"/>
            <w:hideMark/>
          </w:tcPr>
          <w:p w14:paraId="3493719F" w14:textId="77777777" w:rsidR="00C71DF8" w:rsidRPr="00C71DF8" w:rsidRDefault="00C71DF8" w:rsidP="0027689B">
            <w:pPr>
              <w:spacing w:after="160" w:line="259" w:lineRule="auto"/>
              <w:jc w:val="both"/>
              <w:rPr>
                <w:sz w:val="28"/>
                <w:szCs w:val="28"/>
              </w:rPr>
            </w:pPr>
            <w:r w:rsidRPr="00C71DF8">
              <w:rPr>
                <w:sz w:val="28"/>
                <w:szCs w:val="28"/>
              </w:rPr>
              <w:t>8%</w:t>
            </w:r>
          </w:p>
        </w:tc>
        <w:tc>
          <w:tcPr>
            <w:tcW w:w="1686" w:type="dxa"/>
            <w:hideMark/>
          </w:tcPr>
          <w:p w14:paraId="177AB6C8" w14:textId="77777777" w:rsidR="00C71DF8" w:rsidRPr="00C71DF8" w:rsidRDefault="00C71DF8" w:rsidP="0027689B">
            <w:pPr>
              <w:spacing w:after="160" w:line="259" w:lineRule="auto"/>
              <w:jc w:val="both"/>
              <w:rPr>
                <w:sz w:val="28"/>
                <w:szCs w:val="28"/>
              </w:rPr>
            </w:pPr>
            <w:r w:rsidRPr="00C71DF8">
              <w:rPr>
                <w:sz w:val="28"/>
                <w:szCs w:val="28"/>
              </w:rPr>
              <w:t>103%</w:t>
            </w:r>
          </w:p>
        </w:tc>
        <w:tc>
          <w:tcPr>
            <w:tcW w:w="559" w:type="dxa"/>
            <w:hideMark/>
          </w:tcPr>
          <w:p w14:paraId="59C2DE36" w14:textId="77777777" w:rsidR="00C71DF8" w:rsidRPr="00C71DF8" w:rsidRDefault="00C71DF8" w:rsidP="0027689B">
            <w:pPr>
              <w:spacing w:after="160" w:line="259" w:lineRule="auto"/>
              <w:jc w:val="both"/>
              <w:rPr>
                <w:sz w:val="28"/>
                <w:szCs w:val="28"/>
              </w:rPr>
            </w:pPr>
            <w:r w:rsidRPr="00C71DF8">
              <w:rPr>
                <w:sz w:val="28"/>
                <w:szCs w:val="28"/>
              </w:rPr>
              <w:t>0%</w:t>
            </w:r>
          </w:p>
        </w:tc>
        <w:tc>
          <w:tcPr>
            <w:tcW w:w="1332" w:type="dxa"/>
            <w:hideMark/>
          </w:tcPr>
          <w:p w14:paraId="23D3A95E" w14:textId="77777777" w:rsidR="00C71DF8" w:rsidRPr="00C71DF8" w:rsidRDefault="00C71DF8" w:rsidP="0027689B">
            <w:pPr>
              <w:spacing w:after="160" w:line="259" w:lineRule="auto"/>
              <w:jc w:val="both"/>
              <w:rPr>
                <w:sz w:val="28"/>
                <w:szCs w:val="28"/>
              </w:rPr>
            </w:pPr>
            <w:proofErr w:type="spellStart"/>
            <w:proofErr w:type="gramStart"/>
            <w:r w:rsidRPr="00C71DF8">
              <w:rPr>
                <w:sz w:val="28"/>
                <w:szCs w:val="28"/>
              </w:rPr>
              <w:t>n.s</w:t>
            </w:r>
            <w:proofErr w:type="spellEnd"/>
            <w:proofErr w:type="gramEnd"/>
          </w:p>
        </w:tc>
        <w:tc>
          <w:tcPr>
            <w:tcW w:w="1293" w:type="dxa"/>
            <w:hideMark/>
          </w:tcPr>
          <w:p w14:paraId="0A153645" w14:textId="77777777" w:rsidR="00C71DF8" w:rsidRPr="00C71DF8"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r>
      <w:tr w:rsidR="00C71DF8" w:rsidRPr="00C71DF8" w14:paraId="77FB3CA2" w14:textId="77777777" w:rsidTr="0027689B">
        <w:trPr>
          <w:trHeight w:val="290"/>
        </w:trPr>
        <w:tc>
          <w:tcPr>
            <w:tcW w:w="1875" w:type="dxa"/>
            <w:hideMark/>
          </w:tcPr>
          <w:p w14:paraId="3D507959" w14:textId="77777777" w:rsidR="00C71DF8" w:rsidRPr="00C71DF8" w:rsidRDefault="00C71DF8" w:rsidP="0027689B">
            <w:pPr>
              <w:spacing w:after="160" w:line="259" w:lineRule="auto"/>
              <w:jc w:val="both"/>
              <w:rPr>
                <w:sz w:val="28"/>
                <w:szCs w:val="28"/>
              </w:rPr>
            </w:pPr>
            <w:r w:rsidRPr="00C71DF8">
              <w:rPr>
                <w:sz w:val="28"/>
                <w:szCs w:val="28"/>
              </w:rPr>
              <w:t>30</w:t>
            </w:r>
          </w:p>
        </w:tc>
        <w:tc>
          <w:tcPr>
            <w:tcW w:w="1686" w:type="dxa"/>
            <w:hideMark/>
          </w:tcPr>
          <w:p w14:paraId="534C197B" w14:textId="77777777" w:rsidR="00C71DF8" w:rsidRPr="00C71DF8" w:rsidRDefault="00C71DF8" w:rsidP="0027689B">
            <w:pPr>
              <w:spacing w:after="160" w:line="259" w:lineRule="auto"/>
              <w:jc w:val="both"/>
              <w:rPr>
                <w:sz w:val="28"/>
                <w:szCs w:val="28"/>
              </w:rPr>
            </w:pPr>
            <w:r w:rsidRPr="00C71DF8">
              <w:rPr>
                <w:sz w:val="28"/>
                <w:szCs w:val="28"/>
              </w:rPr>
              <w:t>90%</w:t>
            </w:r>
          </w:p>
        </w:tc>
        <w:tc>
          <w:tcPr>
            <w:tcW w:w="700" w:type="dxa"/>
            <w:hideMark/>
          </w:tcPr>
          <w:p w14:paraId="297A6ED5" w14:textId="77777777" w:rsidR="00C71DF8" w:rsidRPr="00C71DF8" w:rsidRDefault="00C71DF8" w:rsidP="0027689B">
            <w:pPr>
              <w:spacing w:after="160" w:line="259" w:lineRule="auto"/>
              <w:jc w:val="both"/>
              <w:rPr>
                <w:sz w:val="28"/>
                <w:szCs w:val="28"/>
              </w:rPr>
            </w:pPr>
            <w:r w:rsidRPr="00C71DF8">
              <w:rPr>
                <w:sz w:val="28"/>
                <w:szCs w:val="28"/>
              </w:rPr>
              <w:t>4%</w:t>
            </w:r>
          </w:p>
        </w:tc>
        <w:tc>
          <w:tcPr>
            <w:tcW w:w="1686" w:type="dxa"/>
            <w:hideMark/>
          </w:tcPr>
          <w:p w14:paraId="58FAB17A" w14:textId="77777777" w:rsidR="00C71DF8" w:rsidRPr="00C71DF8" w:rsidRDefault="00C71DF8" w:rsidP="0027689B">
            <w:pPr>
              <w:spacing w:after="160" w:line="259" w:lineRule="auto"/>
              <w:jc w:val="both"/>
              <w:rPr>
                <w:sz w:val="28"/>
                <w:szCs w:val="28"/>
              </w:rPr>
            </w:pPr>
            <w:r w:rsidRPr="00C71DF8">
              <w:rPr>
                <w:sz w:val="28"/>
                <w:szCs w:val="28"/>
              </w:rPr>
              <w:t>101%</w:t>
            </w:r>
          </w:p>
        </w:tc>
        <w:tc>
          <w:tcPr>
            <w:tcW w:w="700" w:type="dxa"/>
            <w:hideMark/>
          </w:tcPr>
          <w:p w14:paraId="247775D4" w14:textId="77777777" w:rsidR="00C71DF8" w:rsidRPr="00C71DF8" w:rsidRDefault="00C71DF8" w:rsidP="0027689B">
            <w:pPr>
              <w:spacing w:after="160" w:line="259" w:lineRule="auto"/>
              <w:jc w:val="both"/>
              <w:rPr>
                <w:sz w:val="28"/>
                <w:szCs w:val="28"/>
              </w:rPr>
            </w:pPr>
            <w:r w:rsidRPr="00C71DF8">
              <w:rPr>
                <w:sz w:val="28"/>
                <w:szCs w:val="28"/>
              </w:rPr>
              <w:t>7%</w:t>
            </w:r>
          </w:p>
        </w:tc>
        <w:tc>
          <w:tcPr>
            <w:tcW w:w="1686" w:type="dxa"/>
            <w:hideMark/>
          </w:tcPr>
          <w:p w14:paraId="15F01E0F" w14:textId="77777777" w:rsidR="00C71DF8" w:rsidRPr="00C71DF8" w:rsidRDefault="00C71DF8" w:rsidP="0027689B">
            <w:pPr>
              <w:spacing w:after="160" w:line="259" w:lineRule="auto"/>
              <w:jc w:val="both"/>
              <w:rPr>
                <w:sz w:val="28"/>
                <w:szCs w:val="28"/>
              </w:rPr>
            </w:pPr>
            <w:r w:rsidRPr="00C71DF8">
              <w:rPr>
                <w:sz w:val="28"/>
                <w:szCs w:val="28"/>
              </w:rPr>
              <w:t>96%</w:t>
            </w:r>
          </w:p>
        </w:tc>
        <w:tc>
          <w:tcPr>
            <w:tcW w:w="559" w:type="dxa"/>
            <w:hideMark/>
          </w:tcPr>
          <w:p w14:paraId="37BDE956" w14:textId="77777777" w:rsidR="00C71DF8" w:rsidRPr="00C71DF8" w:rsidRDefault="00C71DF8" w:rsidP="0027689B">
            <w:pPr>
              <w:spacing w:after="160" w:line="259" w:lineRule="auto"/>
              <w:jc w:val="both"/>
              <w:rPr>
                <w:sz w:val="28"/>
                <w:szCs w:val="28"/>
              </w:rPr>
            </w:pPr>
            <w:r w:rsidRPr="00C71DF8">
              <w:rPr>
                <w:sz w:val="28"/>
                <w:szCs w:val="28"/>
              </w:rPr>
              <w:t>1%</w:t>
            </w:r>
          </w:p>
        </w:tc>
        <w:tc>
          <w:tcPr>
            <w:tcW w:w="1332" w:type="dxa"/>
            <w:hideMark/>
          </w:tcPr>
          <w:p w14:paraId="0BAD5173" w14:textId="77777777" w:rsidR="00C71DF8" w:rsidRPr="00C71DF8" w:rsidRDefault="00C71DF8" w:rsidP="0027689B">
            <w:pPr>
              <w:spacing w:after="160" w:line="259" w:lineRule="auto"/>
              <w:jc w:val="both"/>
              <w:rPr>
                <w:sz w:val="28"/>
                <w:szCs w:val="28"/>
              </w:rPr>
            </w:pPr>
            <w:proofErr w:type="spellStart"/>
            <w:proofErr w:type="gramStart"/>
            <w:r w:rsidRPr="00C71DF8">
              <w:rPr>
                <w:sz w:val="28"/>
                <w:szCs w:val="28"/>
              </w:rPr>
              <w:t>n.s</w:t>
            </w:r>
            <w:proofErr w:type="spellEnd"/>
            <w:proofErr w:type="gramEnd"/>
          </w:p>
        </w:tc>
        <w:tc>
          <w:tcPr>
            <w:tcW w:w="1293" w:type="dxa"/>
            <w:hideMark/>
          </w:tcPr>
          <w:p w14:paraId="131A6E04" w14:textId="77777777" w:rsidR="00C71DF8" w:rsidRPr="00C71DF8"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r>
      <w:tr w:rsidR="00C71DF8" w:rsidRPr="00C71DF8" w14:paraId="46D233AC" w14:textId="77777777" w:rsidTr="0027689B">
        <w:trPr>
          <w:trHeight w:val="290"/>
        </w:trPr>
        <w:tc>
          <w:tcPr>
            <w:tcW w:w="1875" w:type="dxa"/>
            <w:hideMark/>
          </w:tcPr>
          <w:p w14:paraId="7C5200FE" w14:textId="77777777" w:rsidR="00C71DF8" w:rsidRPr="00C71DF8" w:rsidRDefault="00C71DF8" w:rsidP="0027689B">
            <w:pPr>
              <w:spacing w:after="160" w:line="259" w:lineRule="auto"/>
              <w:jc w:val="both"/>
              <w:rPr>
                <w:sz w:val="28"/>
                <w:szCs w:val="28"/>
              </w:rPr>
            </w:pPr>
            <w:r w:rsidRPr="00C71DF8">
              <w:rPr>
                <w:sz w:val="28"/>
                <w:szCs w:val="28"/>
              </w:rPr>
              <w:t>10</w:t>
            </w:r>
          </w:p>
        </w:tc>
        <w:tc>
          <w:tcPr>
            <w:tcW w:w="1686" w:type="dxa"/>
            <w:hideMark/>
          </w:tcPr>
          <w:p w14:paraId="70FD1113" w14:textId="77777777" w:rsidR="00C71DF8" w:rsidRPr="00C71DF8" w:rsidRDefault="00C71DF8" w:rsidP="0027689B">
            <w:pPr>
              <w:spacing w:after="160" w:line="259" w:lineRule="auto"/>
              <w:jc w:val="both"/>
              <w:rPr>
                <w:sz w:val="28"/>
                <w:szCs w:val="28"/>
              </w:rPr>
            </w:pPr>
            <w:r w:rsidRPr="00C71DF8">
              <w:rPr>
                <w:sz w:val="28"/>
                <w:szCs w:val="28"/>
              </w:rPr>
              <w:t>70%</w:t>
            </w:r>
          </w:p>
        </w:tc>
        <w:tc>
          <w:tcPr>
            <w:tcW w:w="700" w:type="dxa"/>
            <w:hideMark/>
          </w:tcPr>
          <w:p w14:paraId="3784E909" w14:textId="77777777" w:rsidR="00C71DF8" w:rsidRPr="00C71DF8" w:rsidRDefault="00C71DF8" w:rsidP="0027689B">
            <w:pPr>
              <w:spacing w:after="160" w:line="259" w:lineRule="auto"/>
              <w:jc w:val="both"/>
              <w:rPr>
                <w:sz w:val="28"/>
                <w:szCs w:val="28"/>
              </w:rPr>
            </w:pPr>
            <w:r w:rsidRPr="00C71DF8">
              <w:rPr>
                <w:sz w:val="28"/>
                <w:szCs w:val="28"/>
              </w:rPr>
              <w:t>2%</w:t>
            </w:r>
          </w:p>
        </w:tc>
        <w:tc>
          <w:tcPr>
            <w:tcW w:w="1686" w:type="dxa"/>
            <w:hideMark/>
          </w:tcPr>
          <w:p w14:paraId="00ECBDBD" w14:textId="77777777" w:rsidR="00C71DF8" w:rsidRPr="00C71DF8" w:rsidRDefault="00C71DF8" w:rsidP="0027689B">
            <w:pPr>
              <w:spacing w:after="160" w:line="259" w:lineRule="auto"/>
              <w:jc w:val="both"/>
              <w:rPr>
                <w:sz w:val="28"/>
                <w:szCs w:val="28"/>
              </w:rPr>
            </w:pPr>
            <w:r w:rsidRPr="00C71DF8">
              <w:rPr>
                <w:sz w:val="28"/>
                <w:szCs w:val="28"/>
              </w:rPr>
              <w:t>81%</w:t>
            </w:r>
          </w:p>
        </w:tc>
        <w:tc>
          <w:tcPr>
            <w:tcW w:w="700" w:type="dxa"/>
            <w:hideMark/>
          </w:tcPr>
          <w:p w14:paraId="1537A95F" w14:textId="77777777" w:rsidR="00C71DF8" w:rsidRPr="00C71DF8" w:rsidRDefault="00C71DF8" w:rsidP="0027689B">
            <w:pPr>
              <w:spacing w:after="160" w:line="259" w:lineRule="auto"/>
              <w:jc w:val="both"/>
              <w:rPr>
                <w:sz w:val="28"/>
                <w:szCs w:val="28"/>
              </w:rPr>
            </w:pPr>
            <w:r w:rsidRPr="00C71DF8">
              <w:rPr>
                <w:sz w:val="28"/>
                <w:szCs w:val="28"/>
              </w:rPr>
              <w:t>5%</w:t>
            </w:r>
          </w:p>
        </w:tc>
        <w:tc>
          <w:tcPr>
            <w:tcW w:w="1686" w:type="dxa"/>
            <w:hideMark/>
          </w:tcPr>
          <w:p w14:paraId="13694D59" w14:textId="77777777" w:rsidR="00C71DF8" w:rsidRPr="00C71DF8" w:rsidRDefault="00C71DF8" w:rsidP="0027689B">
            <w:pPr>
              <w:spacing w:after="160" w:line="259" w:lineRule="auto"/>
              <w:jc w:val="both"/>
              <w:rPr>
                <w:sz w:val="28"/>
                <w:szCs w:val="28"/>
              </w:rPr>
            </w:pPr>
            <w:r w:rsidRPr="00C71DF8">
              <w:rPr>
                <w:sz w:val="28"/>
                <w:szCs w:val="28"/>
              </w:rPr>
              <w:t>91%</w:t>
            </w:r>
          </w:p>
        </w:tc>
        <w:tc>
          <w:tcPr>
            <w:tcW w:w="559" w:type="dxa"/>
            <w:hideMark/>
          </w:tcPr>
          <w:p w14:paraId="49C91846" w14:textId="77777777" w:rsidR="00C71DF8" w:rsidRPr="00C71DF8" w:rsidRDefault="00C71DF8" w:rsidP="0027689B">
            <w:pPr>
              <w:spacing w:after="160" w:line="259" w:lineRule="auto"/>
              <w:jc w:val="both"/>
              <w:rPr>
                <w:sz w:val="28"/>
                <w:szCs w:val="28"/>
              </w:rPr>
            </w:pPr>
            <w:r w:rsidRPr="00C71DF8">
              <w:rPr>
                <w:sz w:val="28"/>
                <w:szCs w:val="28"/>
              </w:rPr>
              <w:t>1%</w:t>
            </w:r>
          </w:p>
        </w:tc>
        <w:tc>
          <w:tcPr>
            <w:tcW w:w="1332" w:type="dxa"/>
            <w:hideMark/>
          </w:tcPr>
          <w:p w14:paraId="42B51BD2" w14:textId="77777777" w:rsidR="00C71DF8" w:rsidRPr="00C71DF8" w:rsidRDefault="00C71DF8" w:rsidP="0027689B">
            <w:pPr>
              <w:spacing w:after="160" w:line="259" w:lineRule="auto"/>
              <w:jc w:val="both"/>
              <w:rPr>
                <w:sz w:val="28"/>
                <w:szCs w:val="28"/>
              </w:rPr>
            </w:pPr>
            <w:r w:rsidRPr="00C71DF8">
              <w:rPr>
                <w:color w:val="FF0000"/>
                <w:sz w:val="28"/>
                <w:szCs w:val="28"/>
              </w:rPr>
              <w:t>0.0146</w:t>
            </w:r>
          </w:p>
        </w:tc>
        <w:tc>
          <w:tcPr>
            <w:tcW w:w="1293" w:type="dxa"/>
            <w:hideMark/>
          </w:tcPr>
          <w:p w14:paraId="38F9161D" w14:textId="77777777" w:rsidR="00C71DF8" w:rsidRPr="00C71DF8" w:rsidRDefault="00C71DF8" w:rsidP="0027689B">
            <w:pPr>
              <w:spacing w:after="160" w:line="259" w:lineRule="auto"/>
              <w:jc w:val="both"/>
              <w:rPr>
                <w:color w:val="FF0000"/>
                <w:sz w:val="28"/>
                <w:szCs w:val="28"/>
              </w:rPr>
            </w:pPr>
            <w:r w:rsidRPr="00C71DF8">
              <w:rPr>
                <w:color w:val="FF0000"/>
                <w:sz w:val="28"/>
                <w:szCs w:val="28"/>
              </w:rPr>
              <w:t>0.0004</w:t>
            </w:r>
          </w:p>
        </w:tc>
      </w:tr>
      <w:tr w:rsidR="00C71DF8" w:rsidRPr="00C71DF8" w14:paraId="05E3DEC3" w14:textId="77777777" w:rsidTr="0027689B">
        <w:trPr>
          <w:trHeight w:val="290"/>
        </w:trPr>
        <w:tc>
          <w:tcPr>
            <w:tcW w:w="1875" w:type="dxa"/>
            <w:hideMark/>
          </w:tcPr>
          <w:p w14:paraId="09151EDC" w14:textId="77777777" w:rsidR="00C71DF8" w:rsidRPr="00C71DF8" w:rsidRDefault="00C71DF8" w:rsidP="0027689B">
            <w:pPr>
              <w:spacing w:after="160" w:line="259" w:lineRule="auto"/>
              <w:jc w:val="both"/>
              <w:rPr>
                <w:sz w:val="28"/>
                <w:szCs w:val="28"/>
              </w:rPr>
            </w:pPr>
            <w:r w:rsidRPr="00C71DF8">
              <w:rPr>
                <w:sz w:val="28"/>
                <w:szCs w:val="28"/>
              </w:rPr>
              <w:t>3</w:t>
            </w:r>
          </w:p>
        </w:tc>
        <w:tc>
          <w:tcPr>
            <w:tcW w:w="1686" w:type="dxa"/>
            <w:hideMark/>
          </w:tcPr>
          <w:p w14:paraId="0A4D9B71" w14:textId="77777777" w:rsidR="00C71DF8" w:rsidRPr="00C71DF8" w:rsidRDefault="00C71DF8" w:rsidP="0027689B">
            <w:pPr>
              <w:spacing w:after="160" w:line="259" w:lineRule="auto"/>
              <w:jc w:val="both"/>
              <w:rPr>
                <w:sz w:val="28"/>
                <w:szCs w:val="28"/>
              </w:rPr>
            </w:pPr>
            <w:r w:rsidRPr="00C71DF8">
              <w:rPr>
                <w:sz w:val="28"/>
                <w:szCs w:val="28"/>
              </w:rPr>
              <w:t>42%</w:t>
            </w:r>
          </w:p>
        </w:tc>
        <w:tc>
          <w:tcPr>
            <w:tcW w:w="700" w:type="dxa"/>
            <w:hideMark/>
          </w:tcPr>
          <w:p w14:paraId="5E50F665" w14:textId="77777777" w:rsidR="00C71DF8" w:rsidRPr="00C71DF8" w:rsidRDefault="00C71DF8" w:rsidP="0027689B">
            <w:pPr>
              <w:spacing w:after="160" w:line="259" w:lineRule="auto"/>
              <w:jc w:val="both"/>
              <w:rPr>
                <w:sz w:val="28"/>
                <w:szCs w:val="28"/>
              </w:rPr>
            </w:pPr>
            <w:r w:rsidRPr="00C71DF8">
              <w:rPr>
                <w:sz w:val="28"/>
                <w:szCs w:val="28"/>
              </w:rPr>
              <w:t>12%</w:t>
            </w:r>
          </w:p>
        </w:tc>
        <w:tc>
          <w:tcPr>
            <w:tcW w:w="1686" w:type="dxa"/>
            <w:hideMark/>
          </w:tcPr>
          <w:p w14:paraId="6309714F" w14:textId="77777777" w:rsidR="00C71DF8" w:rsidRPr="00C71DF8" w:rsidRDefault="00C71DF8" w:rsidP="0027689B">
            <w:pPr>
              <w:spacing w:after="160" w:line="259" w:lineRule="auto"/>
              <w:jc w:val="both"/>
              <w:rPr>
                <w:sz w:val="28"/>
                <w:szCs w:val="28"/>
              </w:rPr>
            </w:pPr>
            <w:r w:rsidRPr="00C71DF8">
              <w:rPr>
                <w:sz w:val="28"/>
                <w:szCs w:val="28"/>
              </w:rPr>
              <w:t>53%</w:t>
            </w:r>
          </w:p>
        </w:tc>
        <w:tc>
          <w:tcPr>
            <w:tcW w:w="700" w:type="dxa"/>
            <w:hideMark/>
          </w:tcPr>
          <w:p w14:paraId="7C4CBDC2" w14:textId="77777777" w:rsidR="00C71DF8" w:rsidRPr="00C71DF8" w:rsidRDefault="00C71DF8" w:rsidP="0027689B">
            <w:pPr>
              <w:spacing w:after="160" w:line="259" w:lineRule="auto"/>
              <w:jc w:val="both"/>
              <w:rPr>
                <w:sz w:val="28"/>
                <w:szCs w:val="28"/>
              </w:rPr>
            </w:pPr>
            <w:r w:rsidRPr="00C71DF8">
              <w:rPr>
                <w:sz w:val="28"/>
                <w:szCs w:val="28"/>
              </w:rPr>
              <w:t>15%</w:t>
            </w:r>
          </w:p>
        </w:tc>
        <w:tc>
          <w:tcPr>
            <w:tcW w:w="1686" w:type="dxa"/>
            <w:hideMark/>
          </w:tcPr>
          <w:p w14:paraId="2718C86B" w14:textId="77777777" w:rsidR="00C71DF8" w:rsidRPr="00C71DF8" w:rsidRDefault="00C71DF8" w:rsidP="0027689B">
            <w:pPr>
              <w:spacing w:after="160" w:line="259" w:lineRule="auto"/>
              <w:jc w:val="both"/>
              <w:rPr>
                <w:sz w:val="28"/>
                <w:szCs w:val="28"/>
              </w:rPr>
            </w:pPr>
            <w:r w:rsidRPr="00C71DF8">
              <w:rPr>
                <w:sz w:val="28"/>
                <w:szCs w:val="28"/>
              </w:rPr>
              <w:t>69%</w:t>
            </w:r>
          </w:p>
        </w:tc>
        <w:tc>
          <w:tcPr>
            <w:tcW w:w="559" w:type="dxa"/>
            <w:hideMark/>
          </w:tcPr>
          <w:p w14:paraId="7CCD7DF8" w14:textId="77777777" w:rsidR="00C71DF8" w:rsidRPr="00C71DF8" w:rsidRDefault="00C71DF8" w:rsidP="0027689B">
            <w:pPr>
              <w:spacing w:after="160" w:line="259" w:lineRule="auto"/>
              <w:jc w:val="both"/>
              <w:rPr>
                <w:sz w:val="28"/>
                <w:szCs w:val="28"/>
              </w:rPr>
            </w:pPr>
            <w:r w:rsidRPr="00C71DF8">
              <w:rPr>
                <w:sz w:val="28"/>
                <w:szCs w:val="28"/>
              </w:rPr>
              <w:t>4%</w:t>
            </w:r>
          </w:p>
        </w:tc>
        <w:tc>
          <w:tcPr>
            <w:tcW w:w="1332" w:type="dxa"/>
            <w:hideMark/>
          </w:tcPr>
          <w:p w14:paraId="72668FC6" w14:textId="77777777" w:rsidR="00C71DF8" w:rsidRPr="00C71DF8" w:rsidRDefault="00C71DF8" w:rsidP="0027689B">
            <w:pPr>
              <w:spacing w:after="160" w:line="259" w:lineRule="auto"/>
              <w:jc w:val="both"/>
              <w:rPr>
                <w:sz w:val="28"/>
                <w:szCs w:val="28"/>
              </w:rPr>
            </w:pPr>
            <w:proofErr w:type="spellStart"/>
            <w:proofErr w:type="gramStart"/>
            <w:r w:rsidRPr="00C71DF8">
              <w:rPr>
                <w:sz w:val="28"/>
                <w:szCs w:val="28"/>
              </w:rPr>
              <w:t>n.s</w:t>
            </w:r>
            <w:proofErr w:type="spellEnd"/>
            <w:proofErr w:type="gramEnd"/>
          </w:p>
        </w:tc>
        <w:tc>
          <w:tcPr>
            <w:tcW w:w="1293" w:type="dxa"/>
            <w:hideMark/>
          </w:tcPr>
          <w:p w14:paraId="63A6825C" w14:textId="77777777" w:rsidR="00C71DF8" w:rsidRPr="00C71DF8"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r>
      <w:tr w:rsidR="00C71DF8" w:rsidRPr="00C71DF8" w14:paraId="66EA9870" w14:textId="77777777" w:rsidTr="0027689B">
        <w:trPr>
          <w:trHeight w:val="290"/>
        </w:trPr>
        <w:tc>
          <w:tcPr>
            <w:tcW w:w="1875" w:type="dxa"/>
            <w:hideMark/>
          </w:tcPr>
          <w:p w14:paraId="11E5A26E" w14:textId="77777777" w:rsidR="00C71DF8" w:rsidRPr="00C71DF8" w:rsidRDefault="00C71DF8" w:rsidP="0027689B">
            <w:pPr>
              <w:spacing w:after="160" w:line="259" w:lineRule="auto"/>
              <w:jc w:val="both"/>
              <w:rPr>
                <w:sz w:val="28"/>
                <w:szCs w:val="28"/>
              </w:rPr>
            </w:pPr>
            <w:r w:rsidRPr="00C71DF8">
              <w:rPr>
                <w:sz w:val="28"/>
                <w:szCs w:val="28"/>
              </w:rPr>
              <w:t>1</w:t>
            </w:r>
          </w:p>
        </w:tc>
        <w:tc>
          <w:tcPr>
            <w:tcW w:w="1686" w:type="dxa"/>
            <w:hideMark/>
          </w:tcPr>
          <w:p w14:paraId="3195034B" w14:textId="77777777" w:rsidR="00C71DF8" w:rsidRPr="00C71DF8" w:rsidRDefault="00C71DF8" w:rsidP="0027689B">
            <w:pPr>
              <w:spacing w:after="160" w:line="259" w:lineRule="auto"/>
              <w:jc w:val="both"/>
              <w:rPr>
                <w:sz w:val="28"/>
                <w:szCs w:val="28"/>
              </w:rPr>
            </w:pPr>
            <w:r w:rsidRPr="00C71DF8">
              <w:rPr>
                <w:sz w:val="28"/>
                <w:szCs w:val="28"/>
              </w:rPr>
              <w:t>31%</w:t>
            </w:r>
          </w:p>
        </w:tc>
        <w:tc>
          <w:tcPr>
            <w:tcW w:w="700" w:type="dxa"/>
            <w:hideMark/>
          </w:tcPr>
          <w:p w14:paraId="3CAC29F7" w14:textId="77777777" w:rsidR="00C71DF8" w:rsidRPr="00C71DF8" w:rsidRDefault="00C71DF8" w:rsidP="0027689B">
            <w:pPr>
              <w:spacing w:after="160" w:line="259" w:lineRule="auto"/>
              <w:jc w:val="both"/>
              <w:rPr>
                <w:sz w:val="28"/>
                <w:szCs w:val="28"/>
              </w:rPr>
            </w:pPr>
            <w:r w:rsidRPr="00C71DF8">
              <w:rPr>
                <w:sz w:val="28"/>
                <w:szCs w:val="28"/>
              </w:rPr>
              <w:t>5%</w:t>
            </w:r>
          </w:p>
        </w:tc>
        <w:tc>
          <w:tcPr>
            <w:tcW w:w="1686" w:type="dxa"/>
            <w:hideMark/>
          </w:tcPr>
          <w:p w14:paraId="33D2BAC7" w14:textId="77777777" w:rsidR="00C71DF8" w:rsidRPr="00C71DF8" w:rsidRDefault="00C71DF8" w:rsidP="0027689B">
            <w:pPr>
              <w:spacing w:after="160" w:line="259" w:lineRule="auto"/>
              <w:jc w:val="both"/>
              <w:rPr>
                <w:sz w:val="28"/>
                <w:szCs w:val="28"/>
              </w:rPr>
            </w:pPr>
            <w:r w:rsidRPr="00C71DF8">
              <w:rPr>
                <w:sz w:val="28"/>
                <w:szCs w:val="28"/>
              </w:rPr>
              <w:t>42%</w:t>
            </w:r>
          </w:p>
        </w:tc>
        <w:tc>
          <w:tcPr>
            <w:tcW w:w="700" w:type="dxa"/>
            <w:hideMark/>
          </w:tcPr>
          <w:p w14:paraId="36543A29" w14:textId="77777777" w:rsidR="00C71DF8" w:rsidRPr="00C71DF8" w:rsidRDefault="00C71DF8" w:rsidP="0027689B">
            <w:pPr>
              <w:spacing w:after="160" w:line="259" w:lineRule="auto"/>
              <w:jc w:val="both"/>
              <w:rPr>
                <w:sz w:val="28"/>
                <w:szCs w:val="28"/>
              </w:rPr>
            </w:pPr>
            <w:r w:rsidRPr="00C71DF8">
              <w:rPr>
                <w:sz w:val="28"/>
                <w:szCs w:val="28"/>
              </w:rPr>
              <w:t>8%</w:t>
            </w:r>
          </w:p>
        </w:tc>
        <w:tc>
          <w:tcPr>
            <w:tcW w:w="1686" w:type="dxa"/>
            <w:hideMark/>
          </w:tcPr>
          <w:p w14:paraId="584816E0" w14:textId="77777777" w:rsidR="00C71DF8" w:rsidRPr="00C71DF8" w:rsidRDefault="00C71DF8" w:rsidP="0027689B">
            <w:pPr>
              <w:spacing w:after="160" w:line="259" w:lineRule="auto"/>
              <w:jc w:val="both"/>
              <w:rPr>
                <w:sz w:val="28"/>
                <w:szCs w:val="28"/>
              </w:rPr>
            </w:pPr>
            <w:r w:rsidRPr="00C71DF8">
              <w:rPr>
                <w:sz w:val="28"/>
                <w:szCs w:val="28"/>
              </w:rPr>
              <w:t>53%</w:t>
            </w:r>
          </w:p>
        </w:tc>
        <w:tc>
          <w:tcPr>
            <w:tcW w:w="559" w:type="dxa"/>
            <w:hideMark/>
          </w:tcPr>
          <w:p w14:paraId="60A2835D" w14:textId="77777777" w:rsidR="00C71DF8" w:rsidRPr="00C71DF8" w:rsidRDefault="00C71DF8" w:rsidP="0027689B">
            <w:pPr>
              <w:spacing w:after="160" w:line="259" w:lineRule="auto"/>
              <w:jc w:val="both"/>
              <w:rPr>
                <w:sz w:val="28"/>
                <w:szCs w:val="28"/>
              </w:rPr>
            </w:pPr>
            <w:r w:rsidRPr="00C71DF8">
              <w:rPr>
                <w:sz w:val="28"/>
                <w:szCs w:val="28"/>
              </w:rPr>
              <w:t>7%</w:t>
            </w:r>
          </w:p>
        </w:tc>
        <w:tc>
          <w:tcPr>
            <w:tcW w:w="1332" w:type="dxa"/>
            <w:hideMark/>
          </w:tcPr>
          <w:p w14:paraId="55966784" w14:textId="77777777" w:rsidR="00C71DF8" w:rsidRPr="00C71DF8"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c>
          <w:tcPr>
            <w:tcW w:w="1293" w:type="dxa"/>
            <w:hideMark/>
          </w:tcPr>
          <w:p w14:paraId="060E1FE7" w14:textId="77777777" w:rsidR="00C71DF8" w:rsidRPr="00C71DF8" w:rsidRDefault="00C71DF8" w:rsidP="0027689B">
            <w:pPr>
              <w:spacing w:after="160" w:line="259" w:lineRule="auto"/>
              <w:jc w:val="both"/>
              <w:rPr>
                <w:color w:val="FF0000"/>
                <w:sz w:val="28"/>
                <w:szCs w:val="28"/>
              </w:rPr>
            </w:pPr>
            <w:r w:rsidRPr="00C71DF8">
              <w:rPr>
                <w:color w:val="FF0000"/>
                <w:sz w:val="28"/>
                <w:szCs w:val="28"/>
              </w:rPr>
              <w:t>0.0131</w:t>
            </w:r>
          </w:p>
        </w:tc>
      </w:tr>
      <w:tr w:rsidR="00C71DF8" w:rsidRPr="00C71DF8" w14:paraId="5182CD98" w14:textId="77777777" w:rsidTr="0027689B">
        <w:trPr>
          <w:trHeight w:val="290"/>
        </w:trPr>
        <w:tc>
          <w:tcPr>
            <w:tcW w:w="1875" w:type="dxa"/>
            <w:hideMark/>
          </w:tcPr>
          <w:p w14:paraId="50E6F161" w14:textId="77777777" w:rsidR="00C71DF8" w:rsidRPr="00C71DF8" w:rsidRDefault="00C71DF8" w:rsidP="0027689B">
            <w:pPr>
              <w:spacing w:after="160" w:line="259" w:lineRule="auto"/>
              <w:jc w:val="both"/>
              <w:rPr>
                <w:sz w:val="28"/>
                <w:szCs w:val="28"/>
              </w:rPr>
            </w:pPr>
            <w:r w:rsidRPr="00C71DF8">
              <w:rPr>
                <w:sz w:val="28"/>
                <w:szCs w:val="28"/>
              </w:rPr>
              <w:t>0.3</w:t>
            </w:r>
          </w:p>
        </w:tc>
        <w:tc>
          <w:tcPr>
            <w:tcW w:w="1686" w:type="dxa"/>
            <w:hideMark/>
          </w:tcPr>
          <w:p w14:paraId="46C6F745" w14:textId="77777777" w:rsidR="00C71DF8" w:rsidRPr="00C71DF8" w:rsidRDefault="00C71DF8" w:rsidP="0027689B">
            <w:pPr>
              <w:spacing w:after="160" w:line="259" w:lineRule="auto"/>
              <w:jc w:val="both"/>
              <w:rPr>
                <w:sz w:val="28"/>
                <w:szCs w:val="28"/>
              </w:rPr>
            </w:pPr>
            <w:r w:rsidRPr="00C71DF8">
              <w:rPr>
                <w:sz w:val="28"/>
                <w:szCs w:val="28"/>
              </w:rPr>
              <w:t>29%</w:t>
            </w:r>
          </w:p>
        </w:tc>
        <w:tc>
          <w:tcPr>
            <w:tcW w:w="700" w:type="dxa"/>
            <w:hideMark/>
          </w:tcPr>
          <w:p w14:paraId="5A08F485" w14:textId="77777777" w:rsidR="00C71DF8" w:rsidRPr="00C71DF8" w:rsidRDefault="00C71DF8" w:rsidP="0027689B">
            <w:pPr>
              <w:spacing w:after="160" w:line="259" w:lineRule="auto"/>
              <w:jc w:val="both"/>
              <w:rPr>
                <w:sz w:val="28"/>
                <w:szCs w:val="28"/>
              </w:rPr>
            </w:pPr>
            <w:r w:rsidRPr="00C71DF8">
              <w:rPr>
                <w:sz w:val="28"/>
                <w:szCs w:val="28"/>
              </w:rPr>
              <w:t>6%</w:t>
            </w:r>
          </w:p>
        </w:tc>
        <w:tc>
          <w:tcPr>
            <w:tcW w:w="1686" w:type="dxa"/>
            <w:hideMark/>
          </w:tcPr>
          <w:p w14:paraId="24998615" w14:textId="77777777" w:rsidR="00C71DF8" w:rsidRPr="00C71DF8" w:rsidRDefault="00C71DF8" w:rsidP="0027689B">
            <w:pPr>
              <w:spacing w:after="160" w:line="259" w:lineRule="auto"/>
              <w:jc w:val="both"/>
              <w:rPr>
                <w:sz w:val="28"/>
                <w:szCs w:val="28"/>
              </w:rPr>
            </w:pPr>
            <w:r w:rsidRPr="00C71DF8">
              <w:rPr>
                <w:sz w:val="28"/>
                <w:szCs w:val="28"/>
              </w:rPr>
              <w:t>40%</w:t>
            </w:r>
          </w:p>
        </w:tc>
        <w:tc>
          <w:tcPr>
            <w:tcW w:w="700" w:type="dxa"/>
            <w:hideMark/>
          </w:tcPr>
          <w:p w14:paraId="30B99F75" w14:textId="77777777" w:rsidR="00C71DF8" w:rsidRPr="00C71DF8" w:rsidRDefault="00C71DF8" w:rsidP="0027689B">
            <w:pPr>
              <w:spacing w:after="160" w:line="259" w:lineRule="auto"/>
              <w:jc w:val="both"/>
              <w:rPr>
                <w:sz w:val="28"/>
                <w:szCs w:val="28"/>
              </w:rPr>
            </w:pPr>
            <w:r w:rsidRPr="00C71DF8">
              <w:rPr>
                <w:sz w:val="28"/>
                <w:szCs w:val="28"/>
              </w:rPr>
              <w:t>9%</w:t>
            </w:r>
          </w:p>
        </w:tc>
        <w:tc>
          <w:tcPr>
            <w:tcW w:w="1686" w:type="dxa"/>
            <w:hideMark/>
          </w:tcPr>
          <w:p w14:paraId="5C271E73" w14:textId="77777777" w:rsidR="00C71DF8" w:rsidRPr="00C71DF8" w:rsidRDefault="00C71DF8" w:rsidP="0027689B">
            <w:pPr>
              <w:spacing w:after="160" w:line="259" w:lineRule="auto"/>
              <w:jc w:val="both"/>
              <w:rPr>
                <w:sz w:val="28"/>
                <w:szCs w:val="28"/>
              </w:rPr>
            </w:pPr>
            <w:r w:rsidRPr="00C71DF8">
              <w:rPr>
                <w:sz w:val="28"/>
                <w:szCs w:val="28"/>
              </w:rPr>
              <w:t>46%</w:t>
            </w:r>
          </w:p>
        </w:tc>
        <w:tc>
          <w:tcPr>
            <w:tcW w:w="559" w:type="dxa"/>
            <w:hideMark/>
          </w:tcPr>
          <w:p w14:paraId="63C7FE89" w14:textId="77777777" w:rsidR="00C71DF8" w:rsidRPr="00C71DF8" w:rsidRDefault="00C71DF8" w:rsidP="0027689B">
            <w:pPr>
              <w:spacing w:after="160" w:line="259" w:lineRule="auto"/>
              <w:jc w:val="both"/>
              <w:rPr>
                <w:sz w:val="28"/>
                <w:szCs w:val="28"/>
              </w:rPr>
            </w:pPr>
            <w:r w:rsidRPr="00C71DF8">
              <w:rPr>
                <w:sz w:val="28"/>
                <w:szCs w:val="28"/>
              </w:rPr>
              <w:t>3%</w:t>
            </w:r>
          </w:p>
        </w:tc>
        <w:tc>
          <w:tcPr>
            <w:tcW w:w="1332" w:type="dxa"/>
            <w:hideMark/>
          </w:tcPr>
          <w:p w14:paraId="0A7CC908" w14:textId="77777777" w:rsidR="00C71DF8" w:rsidRPr="00C71DF8" w:rsidRDefault="00C71DF8" w:rsidP="0027689B">
            <w:pPr>
              <w:spacing w:after="160" w:line="259" w:lineRule="auto"/>
              <w:jc w:val="both"/>
              <w:rPr>
                <w:sz w:val="28"/>
                <w:szCs w:val="28"/>
              </w:rPr>
            </w:pPr>
            <w:proofErr w:type="spellStart"/>
            <w:proofErr w:type="gramStart"/>
            <w:r w:rsidRPr="00C71DF8">
              <w:rPr>
                <w:sz w:val="28"/>
                <w:szCs w:val="28"/>
              </w:rPr>
              <w:t>n.s</w:t>
            </w:r>
            <w:proofErr w:type="spellEnd"/>
            <w:proofErr w:type="gramEnd"/>
          </w:p>
        </w:tc>
        <w:tc>
          <w:tcPr>
            <w:tcW w:w="1293" w:type="dxa"/>
            <w:hideMark/>
          </w:tcPr>
          <w:p w14:paraId="7038E3A9" w14:textId="77777777" w:rsidR="00C71DF8" w:rsidRPr="00C71DF8" w:rsidRDefault="00C71DF8" w:rsidP="0027689B">
            <w:pPr>
              <w:spacing w:after="160" w:line="259" w:lineRule="auto"/>
              <w:jc w:val="both"/>
              <w:rPr>
                <w:color w:val="FF0000"/>
                <w:sz w:val="28"/>
                <w:szCs w:val="28"/>
              </w:rPr>
            </w:pPr>
            <w:r w:rsidRPr="00C71DF8">
              <w:rPr>
                <w:color w:val="FF0000"/>
                <w:sz w:val="28"/>
                <w:szCs w:val="28"/>
              </w:rPr>
              <w:t>0.0322</w:t>
            </w:r>
          </w:p>
        </w:tc>
      </w:tr>
      <w:tr w:rsidR="00C71DF8" w:rsidRPr="00DC1457" w14:paraId="5F51534F" w14:textId="77777777" w:rsidTr="0027689B">
        <w:trPr>
          <w:trHeight w:val="290"/>
        </w:trPr>
        <w:tc>
          <w:tcPr>
            <w:tcW w:w="1875" w:type="dxa"/>
            <w:hideMark/>
          </w:tcPr>
          <w:p w14:paraId="22161C28" w14:textId="77777777" w:rsidR="00C71DF8" w:rsidRPr="00C71DF8" w:rsidRDefault="00C71DF8" w:rsidP="0027689B">
            <w:pPr>
              <w:spacing w:after="160" w:line="259" w:lineRule="auto"/>
              <w:jc w:val="both"/>
              <w:rPr>
                <w:sz w:val="28"/>
                <w:szCs w:val="28"/>
              </w:rPr>
            </w:pPr>
            <w:r w:rsidRPr="00C71DF8">
              <w:rPr>
                <w:sz w:val="28"/>
                <w:szCs w:val="28"/>
              </w:rPr>
              <w:t>0.1</w:t>
            </w:r>
          </w:p>
        </w:tc>
        <w:tc>
          <w:tcPr>
            <w:tcW w:w="1686" w:type="dxa"/>
            <w:hideMark/>
          </w:tcPr>
          <w:p w14:paraId="4542FF80" w14:textId="77777777" w:rsidR="00C71DF8" w:rsidRPr="00C71DF8" w:rsidRDefault="00C71DF8" w:rsidP="0027689B">
            <w:pPr>
              <w:spacing w:after="160" w:line="259" w:lineRule="auto"/>
              <w:jc w:val="both"/>
              <w:rPr>
                <w:sz w:val="28"/>
                <w:szCs w:val="28"/>
              </w:rPr>
            </w:pPr>
            <w:r w:rsidRPr="00C71DF8">
              <w:rPr>
                <w:sz w:val="28"/>
                <w:szCs w:val="28"/>
              </w:rPr>
              <w:t>33%</w:t>
            </w:r>
          </w:p>
        </w:tc>
        <w:tc>
          <w:tcPr>
            <w:tcW w:w="700" w:type="dxa"/>
            <w:hideMark/>
          </w:tcPr>
          <w:p w14:paraId="3650AA97" w14:textId="77777777" w:rsidR="00C71DF8" w:rsidRPr="00C71DF8" w:rsidRDefault="00C71DF8" w:rsidP="0027689B">
            <w:pPr>
              <w:spacing w:after="160" w:line="259" w:lineRule="auto"/>
              <w:jc w:val="both"/>
              <w:rPr>
                <w:sz w:val="28"/>
                <w:szCs w:val="28"/>
              </w:rPr>
            </w:pPr>
            <w:r w:rsidRPr="00C71DF8">
              <w:rPr>
                <w:sz w:val="28"/>
                <w:szCs w:val="28"/>
              </w:rPr>
              <w:t>7%</w:t>
            </w:r>
          </w:p>
        </w:tc>
        <w:tc>
          <w:tcPr>
            <w:tcW w:w="1686" w:type="dxa"/>
            <w:hideMark/>
          </w:tcPr>
          <w:p w14:paraId="4FAD3B92" w14:textId="77777777" w:rsidR="00C71DF8" w:rsidRPr="00C71DF8" w:rsidRDefault="00C71DF8" w:rsidP="0027689B">
            <w:pPr>
              <w:spacing w:after="160" w:line="259" w:lineRule="auto"/>
              <w:jc w:val="both"/>
              <w:rPr>
                <w:sz w:val="28"/>
                <w:szCs w:val="28"/>
              </w:rPr>
            </w:pPr>
            <w:r w:rsidRPr="00C71DF8">
              <w:rPr>
                <w:sz w:val="28"/>
                <w:szCs w:val="28"/>
              </w:rPr>
              <w:t>44%</w:t>
            </w:r>
          </w:p>
        </w:tc>
        <w:tc>
          <w:tcPr>
            <w:tcW w:w="700" w:type="dxa"/>
            <w:hideMark/>
          </w:tcPr>
          <w:p w14:paraId="43D32C47" w14:textId="77777777" w:rsidR="00C71DF8" w:rsidRPr="00C71DF8" w:rsidRDefault="00C71DF8" w:rsidP="0027689B">
            <w:pPr>
              <w:spacing w:after="160" w:line="259" w:lineRule="auto"/>
              <w:jc w:val="both"/>
              <w:rPr>
                <w:sz w:val="28"/>
                <w:szCs w:val="28"/>
              </w:rPr>
            </w:pPr>
            <w:r w:rsidRPr="00C71DF8">
              <w:rPr>
                <w:sz w:val="28"/>
                <w:szCs w:val="28"/>
              </w:rPr>
              <w:t>10%</w:t>
            </w:r>
          </w:p>
        </w:tc>
        <w:tc>
          <w:tcPr>
            <w:tcW w:w="1686" w:type="dxa"/>
            <w:hideMark/>
          </w:tcPr>
          <w:p w14:paraId="17566A46" w14:textId="77777777" w:rsidR="00C71DF8" w:rsidRPr="00C71DF8" w:rsidRDefault="00C71DF8" w:rsidP="0027689B">
            <w:pPr>
              <w:spacing w:after="160" w:line="259" w:lineRule="auto"/>
              <w:jc w:val="both"/>
              <w:rPr>
                <w:sz w:val="28"/>
                <w:szCs w:val="28"/>
              </w:rPr>
            </w:pPr>
            <w:r w:rsidRPr="00C71DF8">
              <w:rPr>
                <w:sz w:val="28"/>
                <w:szCs w:val="28"/>
              </w:rPr>
              <w:t>34%</w:t>
            </w:r>
          </w:p>
        </w:tc>
        <w:tc>
          <w:tcPr>
            <w:tcW w:w="559" w:type="dxa"/>
            <w:hideMark/>
          </w:tcPr>
          <w:p w14:paraId="6937C808" w14:textId="77777777" w:rsidR="00C71DF8" w:rsidRPr="00C71DF8" w:rsidRDefault="00C71DF8" w:rsidP="0027689B">
            <w:pPr>
              <w:spacing w:after="160" w:line="259" w:lineRule="auto"/>
              <w:jc w:val="both"/>
              <w:rPr>
                <w:sz w:val="28"/>
                <w:szCs w:val="28"/>
              </w:rPr>
            </w:pPr>
            <w:r w:rsidRPr="00C71DF8">
              <w:rPr>
                <w:sz w:val="28"/>
                <w:szCs w:val="28"/>
              </w:rPr>
              <w:t>8%</w:t>
            </w:r>
          </w:p>
        </w:tc>
        <w:tc>
          <w:tcPr>
            <w:tcW w:w="1332" w:type="dxa"/>
            <w:hideMark/>
          </w:tcPr>
          <w:p w14:paraId="1C01DB7C" w14:textId="77777777" w:rsidR="00C71DF8" w:rsidRPr="00C71DF8"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c>
          <w:tcPr>
            <w:tcW w:w="1293" w:type="dxa"/>
            <w:hideMark/>
          </w:tcPr>
          <w:p w14:paraId="0E4DF233" w14:textId="77777777" w:rsidR="00C71DF8" w:rsidRPr="00DC1457" w:rsidRDefault="00C71DF8" w:rsidP="0027689B">
            <w:pPr>
              <w:spacing w:after="160" w:line="259" w:lineRule="auto"/>
              <w:jc w:val="both"/>
              <w:rPr>
                <w:sz w:val="28"/>
                <w:szCs w:val="28"/>
              </w:rPr>
            </w:pPr>
            <w:proofErr w:type="spellStart"/>
            <w:r w:rsidRPr="00C71DF8">
              <w:rPr>
                <w:sz w:val="28"/>
                <w:szCs w:val="28"/>
              </w:rPr>
              <w:t>n.s</w:t>
            </w:r>
            <w:proofErr w:type="spellEnd"/>
            <w:r w:rsidRPr="00C71DF8">
              <w:rPr>
                <w:sz w:val="28"/>
                <w:szCs w:val="28"/>
              </w:rPr>
              <w:t>.</w:t>
            </w:r>
          </w:p>
        </w:tc>
      </w:tr>
    </w:tbl>
    <w:p w14:paraId="4DF5F429" w14:textId="77777777" w:rsidR="00C71DF8" w:rsidRDefault="00C71DF8" w:rsidP="00C71DF8"/>
    <w:p w14:paraId="6FA4A966" w14:textId="77777777" w:rsidR="00C71DF8" w:rsidRDefault="00C71DF8" w:rsidP="00C71DF8"/>
    <w:p w14:paraId="7471DA4B" w14:textId="357281B2" w:rsidR="00BE5F45" w:rsidRDefault="00BE5F45" w:rsidP="00A10CB5">
      <w:pPr>
        <w:jc w:val="both"/>
      </w:pPr>
    </w:p>
    <w:sectPr w:rsidR="00BE5F45" w:rsidSect="003952D5">
      <w:footerReference w:type="default" r:id="rId12"/>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F4C87" w14:textId="77777777" w:rsidR="0026496E" w:rsidRDefault="0026496E" w:rsidP="004043BB">
      <w:pPr>
        <w:spacing w:after="0" w:line="240" w:lineRule="auto"/>
      </w:pPr>
      <w:r>
        <w:separator/>
      </w:r>
    </w:p>
  </w:endnote>
  <w:endnote w:type="continuationSeparator" w:id="0">
    <w:p w14:paraId="06E45643" w14:textId="77777777" w:rsidR="0026496E" w:rsidRDefault="0026496E" w:rsidP="00404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5354393"/>
      <w:docPartObj>
        <w:docPartGallery w:val="Page Numbers (Bottom of Page)"/>
        <w:docPartUnique/>
      </w:docPartObj>
    </w:sdtPr>
    <w:sdtEndPr>
      <w:rPr>
        <w:noProof/>
      </w:rPr>
    </w:sdtEndPr>
    <w:sdtContent>
      <w:p w14:paraId="7019C361" w14:textId="10DF1E37" w:rsidR="004043BB" w:rsidRDefault="004043B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E04A0BF" w14:textId="77777777" w:rsidR="004043BB" w:rsidRDefault="004043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6F0D1" w14:textId="77777777" w:rsidR="0026496E" w:rsidRDefault="0026496E" w:rsidP="004043BB">
      <w:pPr>
        <w:spacing w:after="0" w:line="240" w:lineRule="auto"/>
      </w:pPr>
      <w:r>
        <w:separator/>
      </w:r>
    </w:p>
  </w:footnote>
  <w:footnote w:type="continuationSeparator" w:id="0">
    <w:p w14:paraId="088391C8" w14:textId="77777777" w:rsidR="0026496E" w:rsidRDefault="0026496E" w:rsidP="004043B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170396"/>
    <w:multiLevelType w:val="hybridMultilevel"/>
    <w:tmpl w:val="8D7AED36"/>
    <w:lvl w:ilvl="0" w:tplc="DA08FE0C">
      <w:start w:val="1"/>
      <w:numFmt w:val="decimal"/>
      <w:lvlText w:val="%1."/>
      <w:lvlJc w:val="left"/>
      <w:pPr>
        <w:tabs>
          <w:tab w:val="num" w:pos="720"/>
        </w:tabs>
        <w:ind w:left="720" w:hanging="360"/>
      </w:pPr>
    </w:lvl>
    <w:lvl w:ilvl="1" w:tplc="9A78630A" w:tentative="1">
      <w:start w:val="1"/>
      <w:numFmt w:val="decimal"/>
      <w:lvlText w:val="%2."/>
      <w:lvlJc w:val="left"/>
      <w:pPr>
        <w:tabs>
          <w:tab w:val="num" w:pos="1440"/>
        </w:tabs>
        <w:ind w:left="1440" w:hanging="360"/>
      </w:pPr>
    </w:lvl>
    <w:lvl w:ilvl="2" w:tplc="CC986808" w:tentative="1">
      <w:start w:val="1"/>
      <w:numFmt w:val="decimal"/>
      <w:lvlText w:val="%3."/>
      <w:lvlJc w:val="left"/>
      <w:pPr>
        <w:tabs>
          <w:tab w:val="num" w:pos="2160"/>
        </w:tabs>
        <w:ind w:left="2160" w:hanging="360"/>
      </w:pPr>
    </w:lvl>
    <w:lvl w:ilvl="3" w:tplc="9934EB9C" w:tentative="1">
      <w:start w:val="1"/>
      <w:numFmt w:val="decimal"/>
      <w:lvlText w:val="%4."/>
      <w:lvlJc w:val="left"/>
      <w:pPr>
        <w:tabs>
          <w:tab w:val="num" w:pos="2880"/>
        </w:tabs>
        <w:ind w:left="2880" w:hanging="360"/>
      </w:pPr>
    </w:lvl>
    <w:lvl w:ilvl="4" w:tplc="3F981B5A" w:tentative="1">
      <w:start w:val="1"/>
      <w:numFmt w:val="decimal"/>
      <w:lvlText w:val="%5."/>
      <w:lvlJc w:val="left"/>
      <w:pPr>
        <w:tabs>
          <w:tab w:val="num" w:pos="3600"/>
        </w:tabs>
        <w:ind w:left="3600" w:hanging="360"/>
      </w:pPr>
    </w:lvl>
    <w:lvl w:ilvl="5" w:tplc="CD061F5C" w:tentative="1">
      <w:start w:val="1"/>
      <w:numFmt w:val="decimal"/>
      <w:lvlText w:val="%6."/>
      <w:lvlJc w:val="left"/>
      <w:pPr>
        <w:tabs>
          <w:tab w:val="num" w:pos="4320"/>
        </w:tabs>
        <w:ind w:left="4320" w:hanging="360"/>
      </w:pPr>
    </w:lvl>
    <w:lvl w:ilvl="6" w:tplc="90FC8B5C" w:tentative="1">
      <w:start w:val="1"/>
      <w:numFmt w:val="decimal"/>
      <w:lvlText w:val="%7."/>
      <w:lvlJc w:val="left"/>
      <w:pPr>
        <w:tabs>
          <w:tab w:val="num" w:pos="5040"/>
        </w:tabs>
        <w:ind w:left="5040" w:hanging="360"/>
      </w:pPr>
    </w:lvl>
    <w:lvl w:ilvl="7" w:tplc="BEDC72D8" w:tentative="1">
      <w:start w:val="1"/>
      <w:numFmt w:val="decimal"/>
      <w:lvlText w:val="%8."/>
      <w:lvlJc w:val="left"/>
      <w:pPr>
        <w:tabs>
          <w:tab w:val="num" w:pos="5760"/>
        </w:tabs>
        <w:ind w:left="5760" w:hanging="360"/>
      </w:pPr>
    </w:lvl>
    <w:lvl w:ilvl="8" w:tplc="5EB6C668" w:tentative="1">
      <w:start w:val="1"/>
      <w:numFmt w:val="decimal"/>
      <w:lvlText w:val="%9."/>
      <w:lvlJc w:val="left"/>
      <w:pPr>
        <w:tabs>
          <w:tab w:val="num" w:pos="6480"/>
        </w:tabs>
        <w:ind w:left="6480" w:hanging="360"/>
      </w:pPr>
    </w:lvl>
  </w:abstractNum>
  <w:abstractNum w:abstractNumId="1" w15:restartNumberingAfterBreak="0">
    <w:nsid w:val="72160900"/>
    <w:multiLevelType w:val="hybridMultilevel"/>
    <w:tmpl w:val="586EF78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16945839">
    <w:abstractNumId w:val="0"/>
  </w:num>
  <w:num w:numId="2" w16cid:durableId="6199171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963"/>
    <w:rsid w:val="00003AFB"/>
    <w:rsid w:val="00006BB0"/>
    <w:rsid w:val="00007DD0"/>
    <w:rsid w:val="000135E5"/>
    <w:rsid w:val="00013CDC"/>
    <w:rsid w:val="000156FB"/>
    <w:rsid w:val="00016A15"/>
    <w:rsid w:val="00021FA9"/>
    <w:rsid w:val="00024245"/>
    <w:rsid w:val="00024FCE"/>
    <w:rsid w:val="000327E9"/>
    <w:rsid w:val="00033FBA"/>
    <w:rsid w:val="000340B4"/>
    <w:rsid w:val="000344B9"/>
    <w:rsid w:val="00034B95"/>
    <w:rsid w:val="0003529A"/>
    <w:rsid w:val="00037183"/>
    <w:rsid w:val="00037F5D"/>
    <w:rsid w:val="00040B23"/>
    <w:rsid w:val="00040CF2"/>
    <w:rsid w:val="00043DEE"/>
    <w:rsid w:val="00044833"/>
    <w:rsid w:val="0004539F"/>
    <w:rsid w:val="00045A67"/>
    <w:rsid w:val="00047196"/>
    <w:rsid w:val="000475EA"/>
    <w:rsid w:val="000516BF"/>
    <w:rsid w:val="0005398D"/>
    <w:rsid w:val="00054C01"/>
    <w:rsid w:val="0005776D"/>
    <w:rsid w:val="00060A15"/>
    <w:rsid w:val="00061C59"/>
    <w:rsid w:val="0006257E"/>
    <w:rsid w:val="00062B5A"/>
    <w:rsid w:val="00066BC7"/>
    <w:rsid w:val="00066BE9"/>
    <w:rsid w:val="000713A3"/>
    <w:rsid w:val="00077B43"/>
    <w:rsid w:val="00081581"/>
    <w:rsid w:val="00082C0A"/>
    <w:rsid w:val="00094684"/>
    <w:rsid w:val="000A1A38"/>
    <w:rsid w:val="000A1B04"/>
    <w:rsid w:val="000A1E4B"/>
    <w:rsid w:val="000B2DD9"/>
    <w:rsid w:val="000B2EB7"/>
    <w:rsid w:val="000B5AE0"/>
    <w:rsid w:val="000C39FF"/>
    <w:rsid w:val="000C56B5"/>
    <w:rsid w:val="000C7E96"/>
    <w:rsid w:val="000D078A"/>
    <w:rsid w:val="000D0FCF"/>
    <w:rsid w:val="000D1082"/>
    <w:rsid w:val="000D3231"/>
    <w:rsid w:val="000D598B"/>
    <w:rsid w:val="000D7B03"/>
    <w:rsid w:val="000E1893"/>
    <w:rsid w:val="000F2D29"/>
    <w:rsid w:val="000F490B"/>
    <w:rsid w:val="000F58AE"/>
    <w:rsid w:val="001029A5"/>
    <w:rsid w:val="001039DD"/>
    <w:rsid w:val="00104E77"/>
    <w:rsid w:val="00107DB6"/>
    <w:rsid w:val="00110B91"/>
    <w:rsid w:val="00112C6C"/>
    <w:rsid w:val="00115044"/>
    <w:rsid w:val="00115172"/>
    <w:rsid w:val="001159B0"/>
    <w:rsid w:val="001165FA"/>
    <w:rsid w:val="00116D54"/>
    <w:rsid w:val="00117813"/>
    <w:rsid w:val="00120D69"/>
    <w:rsid w:val="00126055"/>
    <w:rsid w:val="00130BC1"/>
    <w:rsid w:val="00133321"/>
    <w:rsid w:val="001352C0"/>
    <w:rsid w:val="00143688"/>
    <w:rsid w:val="00144D19"/>
    <w:rsid w:val="001510D0"/>
    <w:rsid w:val="00152401"/>
    <w:rsid w:val="001537CE"/>
    <w:rsid w:val="00154963"/>
    <w:rsid w:val="00156451"/>
    <w:rsid w:val="00156D2C"/>
    <w:rsid w:val="00160431"/>
    <w:rsid w:val="001635A1"/>
    <w:rsid w:val="00164BDB"/>
    <w:rsid w:val="00167649"/>
    <w:rsid w:val="00170A72"/>
    <w:rsid w:val="001715F2"/>
    <w:rsid w:val="0017346B"/>
    <w:rsid w:val="001763E9"/>
    <w:rsid w:val="00176D82"/>
    <w:rsid w:val="00176D8E"/>
    <w:rsid w:val="00180D1D"/>
    <w:rsid w:val="001815F2"/>
    <w:rsid w:val="00182C19"/>
    <w:rsid w:val="00187347"/>
    <w:rsid w:val="00191F30"/>
    <w:rsid w:val="00192D6E"/>
    <w:rsid w:val="00193897"/>
    <w:rsid w:val="0019437F"/>
    <w:rsid w:val="0019550E"/>
    <w:rsid w:val="001956B1"/>
    <w:rsid w:val="0019782B"/>
    <w:rsid w:val="00197A00"/>
    <w:rsid w:val="00197C63"/>
    <w:rsid w:val="001B316C"/>
    <w:rsid w:val="001B468C"/>
    <w:rsid w:val="001C0C6D"/>
    <w:rsid w:val="001C2E10"/>
    <w:rsid w:val="001C3306"/>
    <w:rsid w:val="001C558E"/>
    <w:rsid w:val="001C60C4"/>
    <w:rsid w:val="001C7FA0"/>
    <w:rsid w:val="001D325D"/>
    <w:rsid w:val="001D4511"/>
    <w:rsid w:val="001D4F3F"/>
    <w:rsid w:val="001D7C0A"/>
    <w:rsid w:val="001E5A70"/>
    <w:rsid w:val="001F0F87"/>
    <w:rsid w:val="001F19F5"/>
    <w:rsid w:val="001F3E77"/>
    <w:rsid w:val="001F56C0"/>
    <w:rsid w:val="001F70BE"/>
    <w:rsid w:val="001F74B8"/>
    <w:rsid w:val="002002DD"/>
    <w:rsid w:val="00200540"/>
    <w:rsid w:val="00203740"/>
    <w:rsid w:val="002044C6"/>
    <w:rsid w:val="00204551"/>
    <w:rsid w:val="00214486"/>
    <w:rsid w:val="00215E82"/>
    <w:rsid w:val="0021723A"/>
    <w:rsid w:val="002178BD"/>
    <w:rsid w:val="00220CC4"/>
    <w:rsid w:val="00225709"/>
    <w:rsid w:val="00230F60"/>
    <w:rsid w:val="00232A95"/>
    <w:rsid w:val="002336F2"/>
    <w:rsid w:val="00237DCE"/>
    <w:rsid w:val="002401E5"/>
    <w:rsid w:val="002501A1"/>
    <w:rsid w:val="0025427F"/>
    <w:rsid w:val="00260BD5"/>
    <w:rsid w:val="00262C26"/>
    <w:rsid w:val="0026496E"/>
    <w:rsid w:val="00264A98"/>
    <w:rsid w:val="00265E7C"/>
    <w:rsid w:val="00272858"/>
    <w:rsid w:val="00275E05"/>
    <w:rsid w:val="00277D91"/>
    <w:rsid w:val="00280767"/>
    <w:rsid w:val="00281857"/>
    <w:rsid w:val="002862EA"/>
    <w:rsid w:val="00290F54"/>
    <w:rsid w:val="002915ED"/>
    <w:rsid w:val="00291B00"/>
    <w:rsid w:val="0029372C"/>
    <w:rsid w:val="00295BCC"/>
    <w:rsid w:val="00295E21"/>
    <w:rsid w:val="002A28B1"/>
    <w:rsid w:val="002A3529"/>
    <w:rsid w:val="002A7B71"/>
    <w:rsid w:val="002A7D01"/>
    <w:rsid w:val="002B23DB"/>
    <w:rsid w:val="002B2657"/>
    <w:rsid w:val="002B3F43"/>
    <w:rsid w:val="002B4D79"/>
    <w:rsid w:val="002B7B62"/>
    <w:rsid w:val="002C0FAC"/>
    <w:rsid w:val="002C1E27"/>
    <w:rsid w:val="002C313A"/>
    <w:rsid w:val="002C5AB0"/>
    <w:rsid w:val="002D0227"/>
    <w:rsid w:val="002D0A3D"/>
    <w:rsid w:val="002D2546"/>
    <w:rsid w:val="002D2DC7"/>
    <w:rsid w:val="002D38E4"/>
    <w:rsid w:val="002D526F"/>
    <w:rsid w:val="002E237A"/>
    <w:rsid w:val="002E4C9B"/>
    <w:rsid w:val="002E5429"/>
    <w:rsid w:val="002E5DFF"/>
    <w:rsid w:val="002E68B8"/>
    <w:rsid w:val="002F0E92"/>
    <w:rsid w:val="002F1503"/>
    <w:rsid w:val="002F3D6F"/>
    <w:rsid w:val="002F5135"/>
    <w:rsid w:val="002F736C"/>
    <w:rsid w:val="002F78F7"/>
    <w:rsid w:val="0030093C"/>
    <w:rsid w:val="00300C4B"/>
    <w:rsid w:val="00305096"/>
    <w:rsid w:val="00305FFF"/>
    <w:rsid w:val="003107A8"/>
    <w:rsid w:val="003128D4"/>
    <w:rsid w:val="0031378A"/>
    <w:rsid w:val="00314489"/>
    <w:rsid w:val="00315C96"/>
    <w:rsid w:val="0032310D"/>
    <w:rsid w:val="00334120"/>
    <w:rsid w:val="003353AA"/>
    <w:rsid w:val="00336D48"/>
    <w:rsid w:val="0034456F"/>
    <w:rsid w:val="00347494"/>
    <w:rsid w:val="0035686B"/>
    <w:rsid w:val="00362374"/>
    <w:rsid w:val="00362705"/>
    <w:rsid w:val="00363B36"/>
    <w:rsid w:val="00365EE0"/>
    <w:rsid w:val="00366BE2"/>
    <w:rsid w:val="00367B2F"/>
    <w:rsid w:val="00367C12"/>
    <w:rsid w:val="00380500"/>
    <w:rsid w:val="003822AC"/>
    <w:rsid w:val="0038491E"/>
    <w:rsid w:val="003866C6"/>
    <w:rsid w:val="00387961"/>
    <w:rsid w:val="00391351"/>
    <w:rsid w:val="00392F11"/>
    <w:rsid w:val="00393BA5"/>
    <w:rsid w:val="003952D5"/>
    <w:rsid w:val="003A01B2"/>
    <w:rsid w:val="003A1499"/>
    <w:rsid w:val="003A7254"/>
    <w:rsid w:val="003B032C"/>
    <w:rsid w:val="003B3C67"/>
    <w:rsid w:val="003B3CB1"/>
    <w:rsid w:val="003D19D8"/>
    <w:rsid w:val="003D2725"/>
    <w:rsid w:val="003D317B"/>
    <w:rsid w:val="003D57C7"/>
    <w:rsid w:val="003D666D"/>
    <w:rsid w:val="003E0F30"/>
    <w:rsid w:val="003E12FA"/>
    <w:rsid w:val="003E4E5E"/>
    <w:rsid w:val="003E51B4"/>
    <w:rsid w:val="003E79E2"/>
    <w:rsid w:val="003F0810"/>
    <w:rsid w:val="003F3607"/>
    <w:rsid w:val="003F552B"/>
    <w:rsid w:val="003F5E14"/>
    <w:rsid w:val="003F64E5"/>
    <w:rsid w:val="003F763D"/>
    <w:rsid w:val="004036E4"/>
    <w:rsid w:val="004043BB"/>
    <w:rsid w:val="00412236"/>
    <w:rsid w:val="00413BC5"/>
    <w:rsid w:val="004148D1"/>
    <w:rsid w:val="0042016B"/>
    <w:rsid w:val="00427A28"/>
    <w:rsid w:val="00432865"/>
    <w:rsid w:val="0043412E"/>
    <w:rsid w:val="00434788"/>
    <w:rsid w:val="00436B2B"/>
    <w:rsid w:val="004409A1"/>
    <w:rsid w:val="00440BFB"/>
    <w:rsid w:val="004419A3"/>
    <w:rsid w:val="00444AEB"/>
    <w:rsid w:val="0044512A"/>
    <w:rsid w:val="004627F0"/>
    <w:rsid w:val="004735EC"/>
    <w:rsid w:val="00475BA4"/>
    <w:rsid w:val="0048272E"/>
    <w:rsid w:val="00483739"/>
    <w:rsid w:val="0048391A"/>
    <w:rsid w:val="00487CE3"/>
    <w:rsid w:val="00495A00"/>
    <w:rsid w:val="00496B0C"/>
    <w:rsid w:val="004A2A15"/>
    <w:rsid w:val="004A326C"/>
    <w:rsid w:val="004A3A10"/>
    <w:rsid w:val="004A50EF"/>
    <w:rsid w:val="004A5895"/>
    <w:rsid w:val="004A5BF6"/>
    <w:rsid w:val="004B1E1D"/>
    <w:rsid w:val="004B207C"/>
    <w:rsid w:val="004B247F"/>
    <w:rsid w:val="004B52CD"/>
    <w:rsid w:val="004B5928"/>
    <w:rsid w:val="004C1AE5"/>
    <w:rsid w:val="004C1F34"/>
    <w:rsid w:val="004C374A"/>
    <w:rsid w:val="004C459F"/>
    <w:rsid w:val="004C642C"/>
    <w:rsid w:val="004D25C4"/>
    <w:rsid w:val="004D37B5"/>
    <w:rsid w:val="004D5C26"/>
    <w:rsid w:val="004D6969"/>
    <w:rsid w:val="004E01E3"/>
    <w:rsid w:val="004E0A6A"/>
    <w:rsid w:val="004E2354"/>
    <w:rsid w:val="004E2A29"/>
    <w:rsid w:val="004E4220"/>
    <w:rsid w:val="004E679C"/>
    <w:rsid w:val="004E6898"/>
    <w:rsid w:val="004E7568"/>
    <w:rsid w:val="004F4622"/>
    <w:rsid w:val="004F469A"/>
    <w:rsid w:val="005048F3"/>
    <w:rsid w:val="00510A89"/>
    <w:rsid w:val="00510C8B"/>
    <w:rsid w:val="0051151E"/>
    <w:rsid w:val="005138E7"/>
    <w:rsid w:val="005140F9"/>
    <w:rsid w:val="00514FD8"/>
    <w:rsid w:val="005158F5"/>
    <w:rsid w:val="00515DB2"/>
    <w:rsid w:val="005234BE"/>
    <w:rsid w:val="00526236"/>
    <w:rsid w:val="00526B46"/>
    <w:rsid w:val="005270C9"/>
    <w:rsid w:val="0053219A"/>
    <w:rsid w:val="00536D1C"/>
    <w:rsid w:val="00545847"/>
    <w:rsid w:val="00545DFA"/>
    <w:rsid w:val="0054791B"/>
    <w:rsid w:val="005512EE"/>
    <w:rsid w:val="00551C0C"/>
    <w:rsid w:val="005525D1"/>
    <w:rsid w:val="0055777E"/>
    <w:rsid w:val="00562393"/>
    <w:rsid w:val="005625D8"/>
    <w:rsid w:val="00570DDC"/>
    <w:rsid w:val="0057290A"/>
    <w:rsid w:val="00573B27"/>
    <w:rsid w:val="005766C7"/>
    <w:rsid w:val="00581FE6"/>
    <w:rsid w:val="00582062"/>
    <w:rsid w:val="0058313D"/>
    <w:rsid w:val="00583D7C"/>
    <w:rsid w:val="00584FC6"/>
    <w:rsid w:val="00585CA7"/>
    <w:rsid w:val="005867C6"/>
    <w:rsid w:val="00596D61"/>
    <w:rsid w:val="0059738D"/>
    <w:rsid w:val="005979C3"/>
    <w:rsid w:val="005A1392"/>
    <w:rsid w:val="005A594E"/>
    <w:rsid w:val="005A64C9"/>
    <w:rsid w:val="005A74D2"/>
    <w:rsid w:val="005B1B9A"/>
    <w:rsid w:val="005B5C14"/>
    <w:rsid w:val="005B66AA"/>
    <w:rsid w:val="005C29EF"/>
    <w:rsid w:val="005C550A"/>
    <w:rsid w:val="005D1495"/>
    <w:rsid w:val="005D1FEA"/>
    <w:rsid w:val="005D4967"/>
    <w:rsid w:val="005D4AE8"/>
    <w:rsid w:val="005D6452"/>
    <w:rsid w:val="005E485A"/>
    <w:rsid w:val="005F376E"/>
    <w:rsid w:val="005F4400"/>
    <w:rsid w:val="005F7DD2"/>
    <w:rsid w:val="006005EC"/>
    <w:rsid w:val="00601F9B"/>
    <w:rsid w:val="006033F3"/>
    <w:rsid w:val="0060440E"/>
    <w:rsid w:val="00604447"/>
    <w:rsid w:val="0060463D"/>
    <w:rsid w:val="00605008"/>
    <w:rsid w:val="00605331"/>
    <w:rsid w:val="006077A9"/>
    <w:rsid w:val="00616EBF"/>
    <w:rsid w:val="00617EF4"/>
    <w:rsid w:val="00623BE5"/>
    <w:rsid w:val="0063151A"/>
    <w:rsid w:val="00631868"/>
    <w:rsid w:val="00633E28"/>
    <w:rsid w:val="00637667"/>
    <w:rsid w:val="006415AA"/>
    <w:rsid w:val="006430BE"/>
    <w:rsid w:val="006479C3"/>
    <w:rsid w:val="00652BF6"/>
    <w:rsid w:val="0065595F"/>
    <w:rsid w:val="006569DF"/>
    <w:rsid w:val="006624D4"/>
    <w:rsid w:val="00665E49"/>
    <w:rsid w:val="00666796"/>
    <w:rsid w:val="006668A2"/>
    <w:rsid w:val="0066731E"/>
    <w:rsid w:val="006706AE"/>
    <w:rsid w:val="00670D9D"/>
    <w:rsid w:val="00674F2E"/>
    <w:rsid w:val="006757A6"/>
    <w:rsid w:val="00682B3A"/>
    <w:rsid w:val="00683713"/>
    <w:rsid w:val="00686999"/>
    <w:rsid w:val="0068772D"/>
    <w:rsid w:val="00691A78"/>
    <w:rsid w:val="00691FAB"/>
    <w:rsid w:val="006943A0"/>
    <w:rsid w:val="00695061"/>
    <w:rsid w:val="00696E96"/>
    <w:rsid w:val="0069792A"/>
    <w:rsid w:val="006A09B4"/>
    <w:rsid w:val="006A0A8D"/>
    <w:rsid w:val="006A21EA"/>
    <w:rsid w:val="006A3FA5"/>
    <w:rsid w:val="006A5F2A"/>
    <w:rsid w:val="006A6863"/>
    <w:rsid w:val="006A6C14"/>
    <w:rsid w:val="006A6DF3"/>
    <w:rsid w:val="006B084D"/>
    <w:rsid w:val="006B4089"/>
    <w:rsid w:val="006B40DA"/>
    <w:rsid w:val="006B4C4C"/>
    <w:rsid w:val="006B692E"/>
    <w:rsid w:val="006B7770"/>
    <w:rsid w:val="006C767E"/>
    <w:rsid w:val="006C7E08"/>
    <w:rsid w:val="006D1517"/>
    <w:rsid w:val="006D652D"/>
    <w:rsid w:val="006E1C67"/>
    <w:rsid w:val="006E63E2"/>
    <w:rsid w:val="006F418B"/>
    <w:rsid w:val="006F5F2E"/>
    <w:rsid w:val="006F7E0C"/>
    <w:rsid w:val="0070110B"/>
    <w:rsid w:val="00702D42"/>
    <w:rsid w:val="00702F0D"/>
    <w:rsid w:val="00705411"/>
    <w:rsid w:val="007067DB"/>
    <w:rsid w:val="00710AAA"/>
    <w:rsid w:val="00725FF7"/>
    <w:rsid w:val="0072611F"/>
    <w:rsid w:val="007279A1"/>
    <w:rsid w:val="0073101B"/>
    <w:rsid w:val="00733903"/>
    <w:rsid w:val="00733E2E"/>
    <w:rsid w:val="007346CD"/>
    <w:rsid w:val="00736389"/>
    <w:rsid w:val="00741C4D"/>
    <w:rsid w:val="00744904"/>
    <w:rsid w:val="00744B26"/>
    <w:rsid w:val="00745FB4"/>
    <w:rsid w:val="007460A7"/>
    <w:rsid w:val="007464FB"/>
    <w:rsid w:val="00747911"/>
    <w:rsid w:val="0075157F"/>
    <w:rsid w:val="00756E41"/>
    <w:rsid w:val="007570E2"/>
    <w:rsid w:val="00760396"/>
    <w:rsid w:val="00761A15"/>
    <w:rsid w:val="00762578"/>
    <w:rsid w:val="00767A1C"/>
    <w:rsid w:val="0078388F"/>
    <w:rsid w:val="007875AB"/>
    <w:rsid w:val="00787EA2"/>
    <w:rsid w:val="00790043"/>
    <w:rsid w:val="007933D2"/>
    <w:rsid w:val="00793EE1"/>
    <w:rsid w:val="007961A1"/>
    <w:rsid w:val="007A23C2"/>
    <w:rsid w:val="007A28D5"/>
    <w:rsid w:val="007A5071"/>
    <w:rsid w:val="007A60BA"/>
    <w:rsid w:val="007B09B6"/>
    <w:rsid w:val="007B09C6"/>
    <w:rsid w:val="007B20DD"/>
    <w:rsid w:val="007B2345"/>
    <w:rsid w:val="007B43A9"/>
    <w:rsid w:val="007C063C"/>
    <w:rsid w:val="007D7BEE"/>
    <w:rsid w:val="007F052B"/>
    <w:rsid w:val="007F2260"/>
    <w:rsid w:val="007F5CDD"/>
    <w:rsid w:val="007F5D92"/>
    <w:rsid w:val="007F7E6B"/>
    <w:rsid w:val="00804651"/>
    <w:rsid w:val="00805524"/>
    <w:rsid w:val="008062FB"/>
    <w:rsid w:val="008063CE"/>
    <w:rsid w:val="008066E4"/>
    <w:rsid w:val="0080740E"/>
    <w:rsid w:val="0081057B"/>
    <w:rsid w:val="00811B6E"/>
    <w:rsid w:val="008137BA"/>
    <w:rsid w:val="00813D10"/>
    <w:rsid w:val="00815282"/>
    <w:rsid w:val="008153F1"/>
    <w:rsid w:val="0081592D"/>
    <w:rsid w:val="008159C4"/>
    <w:rsid w:val="00822516"/>
    <w:rsid w:val="00825E91"/>
    <w:rsid w:val="008319C4"/>
    <w:rsid w:val="008360DC"/>
    <w:rsid w:val="0083784F"/>
    <w:rsid w:val="00846E7F"/>
    <w:rsid w:val="00852866"/>
    <w:rsid w:val="00855713"/>
    <w:rsid w:val="0086242A"/>
    <w:rsid w:val="00873D2F"/>
    <w:rsid w:val="00873DB5"/>
    <w:rsid w:val="008806F9"/>
    <w:rsid w:val="00882053"/>
    <w:rsid w:val="00883087"/>
    <w:rsid w:val="008833B9"/>
    <w:rsid w:val="008904C6"/>
    <w:rsid w:val="00891FE8"/>
    <w:rsid w:val="008936C8"/>
    <w:rsid w:val="008953D7"/>
    <w:rsid w:val="00897E3D"/>
    <w:rsid w:val="008A5152"/>
    <w:rsid w:val="008A6F8F"/>
    <w:rsid w:val="008B5412"/>
    <w:rsid w:val="008B7DC1"/>
    <w:rsid w:val="008C1428"/>
    <w:rsid w:val="008C17AA"/>
    <w:rsid w:val="008C1AF7"/>
    <w:rsid w:val="008C27EC"/>
    <w:rsid w:val="008C3D7E"/>
    <w:rsid w:val="008D022F"/>
    <w:rsid w:val="008D278D"/>
    <w:rsid w:val="008D2A33"/>
    <w:rsid w:val="008D5ABA"/>
    <w:rsid w:val="008D6408"/>
    <w:rsid w:val="008E11DF"/>
    <w:rsid w:val="008E1C17"/>
    <w:rsid w:val="008E348D"/>
    <w:rsid w:val="008E391F"/>
    <w:rsid w:val="008E5B84"/>
    <w:rsid w:val="008E5EB3"/>
    <w:rsid w:val="008E7653"/>
    <w:rsid w:val="008E783A"/>
    <w:rsid w:val="008E7F77"/>
    <w:rsid w:val="008F0184"/>
    <w:rsid w:val="008F020A"/>
    <w:rsid w:val="008F093B"/>
    <w:rsid w:val="008F1F2E"/>
    <w:rsid w:val="008F5EAC"/>
    <w:rsid w:val="008F6A2F"/>
    <w:rsid w:val="00900B4F"/>
    <w:rsid w:val="00902897"/>
    <w:rsid w:val="0091042A"/>
    <w:rsid w:val="00910ED9"/>
    <w:rsid w:val="00912892"/>
    <w:rsid w:val="00912CFD"/>
    <w:rsid w:val="00915FA4"/>
    <w:rsid w:val="00916556"/>
    <w:rsid w:val="009217A5"/>
    <w:rsid w:val="00923C84"/>
    <w:rsid w:val="009259B2"/>
    <w:rsid w:val="00925ECA"/>
    <w:rsid w:val="009268CB"/>
    <w:rsid w:val="00930781"/>
    <w:rsid w:val="00934678"/>
    <w:rsid w:val="0093662B"/>
    <w:rsid w:val="009433E3"/>
    <w:rsid w:val="00951CA5"/>
    <w:rsid w:val="00951ECC"/>
    <w:rsid w:val="00955E2A"/>
    <w:rsid w:val="00966A21"/>
    <w:rsid w:val="00971623"/>
    <w:rsid w:val="009737B9"/>
    <w:rsid w:val="00975660"/>
    <w:rsid w:val="0097770E"/>
    <w:rsid w:val="0098097E"/>
    <w:rsid w:val="009815C1"/>
    <w:rsid w:val="009851C1"/>
    <w:rsid w:val="00987267"/>
    <w:rsid w:val="009915BF"/>
    <w:rsid w:val="0099341F"/>
    <w:rsid w:val="00996616"/>
    <w:rsid w:val="00997812"/>
    <w:rsid w:val="009B36B9"/>
    <w:rsid w:val="009B5462"/>
    <w:rsid w:val="009B747B"/>
    <w:rsid w:val="009C1957"/>
    <w:rsid w:val="009C3789"/>
    <w:rsid w:val="009C65DB"/>
    <w:rsid w:val="009C7270"/>
    <w:rsid w:val="009D6279"/>
    <w:rsid w:val="009E69A3"/>
    <w:rsid w:val="009E6A11"/>
    <w:rsid w:val="009F141A"/>
    <w:rsid w:val="009F4A06"/>
    <w:rsid w:val="009F5302"/>
    <w:rsid w:val="009F5C70"/>
    <w:rsid w:val="00A005E9"/>
    <w:rsid w:val="00A00677"/>
    <w:rsid w:val="00A01B5E"/>
    <w:rsid w:val="00A02A56"/>
    <w:rsid w:val="00A030A4"/>
    <w:rsid w:val="00A0775A"/>
    <w:rsid w:val="00A10CB5"/>
    <w:rsid w:val="00A12C84"/>
    <w:rsid w:val="00A17365"/>
    <w:rsid w:val="00A17B80"/>
    <w:rsid w:val="00A21763"/>
    <w:rsid w:val="00A2579A"/>
    <w:rsid w:val="00A26E51"/>
    <w:rsid w:val="00A31CBA"/>
    <w:rsid w:val="00A321F9"/>
    <w:rsid w:val="00A4416F"/>
    <w:rsid w:val="00A44A7E"/>
    <w:rsid w:val="00A45278"/>
    <w:rsid w:val="00A47D45"/>
    <w:rsid w:val="00A50C05"/>
    <w:rsid w:val="00A5329D"/>
    <w:rsid w:val="00A55357"/>
    <w:rsid w:val="00A5556A"/>
    <w:rsid w:val="00A55FE2"/>
    <w:rsid w:val="00A7015A"/>
    <w:rsid w:val="00A70D53"/>
    <w:rsid w:val="00A850B5"/>
    <w:rsid w:val="00A90576"/>
    <w:rsid w:val="00A92E0A"/>
    <w:rsid w:val="00A93445"/>
    <w:rsid w:val="00AA1050"/>
    <w:rsid w:val="00AA1B25"/>
    <w:rsid w:val="00AA5518"/>
    <w:rsid w:val="00AA5EAD"/>
    <w:rsid w:val="00AA6BAA"/>
    <w:rsid w:val="00AA79A1"/>
    <w:rsid w:val="00AB08DA"/>
    <w:rsid w:val="00AB1445"/>
    <w:rsid w:val="00AB6D67"/>
    <w:rsid w:val="00AC12BA"/>
    <w:rsid w:val="00AC2759"/>
    <w:rsid w:val="00AD2EEC"/>
    <w:rsid w:val="00AD329A"/>
    <w:rsid w:val="00AD5349"/>
    <w:rsid w:val="00AD6560"/>
    <w:rsid w:val="00AD6757"/>
    <w:rsid w:val="00AE04C2"/>
    <w:rsid w:val="00AE2660"/>
    <w:rsid w:val="00AE416F"/>
    <w:rsid w:val="00AE494A"/>
    <w:rsid w:val="00AE605C"/>
    <w:rsid w:val="00AF040B"/>
    <w:rsid w:val="00AF2890"/>
    <w:rsid w:val="00AF2FC4"/>
    <w:rsid w:val="00AF6676"/>
    <w:rsid w:val="00B0026E"/>
    <w:rsid w:val="00B0048D"/>
    <w:rsid w:val="00B030FF"/>
    <w:rsid w:val="00B0708F"/>
    <w:rsid w:val="00B10171"/>
    <w:rsid w:val="00B13B92"/>
    <w:rsid w:val="00B2035B"/>
    <w:rsid w:val="00B2199E"/>
    <w:rsid w:val="00B24044"/>
    <w:rsid w:val="00B25421"/>
    <w:rsid w:val="00B2543C"/>
    <w:rsid w:val="00B2597A"/>
    <w:rsid w:val="00B30651"/>
    <w:rsid w:val="00B30C62"/>
    <w:rsid w:val="00B33F4D"/>
    <w:rsid w:val="00B35918"/>
    <w:rsid w:val="00B35D39"/>
    <w:rsid w:val="00B414D1"/>
    <w:rsid w:val="00B42B42"/>
    <w:rsid w:val="00B453B7"/>
    <w:rsid w:val="00B45638"/>
    <w:rsid w:val="00B458C6"/>
    <w:rsid w:val="00B47258"/>
    <w:rsid w:val="00B51133"/>
    <w:rsid w:val="00B65C4D"/>
    <w:rsid w:val="00B80F4E"/>
    <w:rsid w:val="00B82077"/>
    <w:rsid w:val="00B87FDF"/>
    <w:rsid w:val="00B9351A"/>
    <w:rsid w:val="00B96D01"/>
    <w:rsid w:val="00BA3B4C"/>
    <w:rsid w:val="00BA3C27"/>
    <w:rsid w:val="00BA7C7B"/>
    <w:rsid w:val="00BB1371"/>
    <w:rsid w:val="00BB3A5E"/>
    <w:rsid w:val="00BB48CD"/>
    <w:rsid w:val="00BB5946"/>
    <w:rsid w:val="00BB6067"/>
    <w:rsid w:val="00BB6D61"/>
    <w:rsid w:val="00BC05E8"/>
    <w:rsid w:val="00BC0649"/>
    <w:rsid w:val="00BC0791"/>
    <w:rsid w:val="00BC59C7"/>
    <w:rsid w:val="00BC7407"/>
    <w:rsid w:val="00BD51D7"/>
    <w:rsid w:val="00BD61F7"/>
    <w:rsid w:val="00BE0AAC"/>
    <w:rsid w:val="00BE2951"/>
    <w:rsid w:val="00BE5888"/>
    <w:rsid w:val="00BE5F45"/>
    <w:rsid w:val="00BE75BC"/>
    <w:rsid w:val="00BF5463"/>
    <w:rsid w:val="00BF7CCC"/>
    <w:rsid w:val="00BF7F6C"/>
    <w:rsid w:val="00C00E48"/>
    <w:rsid w:val="00C00F29"/>
    <w:rsid w:val="00C021D4"/>
    <w:rsid w:val="00C02344"/>
    <w:rsid w:val="00C042F4"/>
    <w:rsid w:val="00C045EA"/>
    <w:rsid w:val="00C0615D"/>
    <w:rsid w:val="00C06830"/>
    <w:rsid w:val="00C202CE"/>
    <w:rsid w:val="00C208E6"/>
    <w:rsid w:val="00C20969"/>
    <w:rsid w:val="00C20A06"/>
    <w:rsid w:val="00C20C07"/>
    <w:rsid w:val="00C212AF"/>
    <w:rsid w:val="00C21311"/>
    <w:rsid w:val="00C2186D"/>
    <w:rsid w:val="00C25604"/>
    <w:rsid w:val="00C26641"/>
    <w:rsid w:val="00C26D22"/>
    <w:rsid w:val="00C26F71"/>
    <w:rsid w:val="00C306EF"/>
    <w:rsid w:val="00C3332F"/>
    <w:rsid w:val="00C3350E"/>
    <w:rsid w:val="00C35700"/>
    <w:rsid w:val="00C35C5C"/>
    <w:rsid w:val="00C45DCB"/>
    <w:rsid w:val="00C46285"/>
    <w:rsid w:val="00C50E4C"/>
    <w:rsid w:val="00C54029"/>
    <w:rsid w:val="00C563D5"/>
    <w:rsid w:val="00C6538A"/>
    <w:rsid w:val="00C669EE"/>
    <w:rsid w:val="00C71A44"/>
    <w:rsid w:val="00C71DF8"/>
    <w:rsid w:val="00C73585"/>
    <w:rsid w:val="00C74CDC"/>
    <w:rsid w:val="00C752EB"/>
    <w:rsid w:val="00C75C28"/>
    <w:rsid w:val="00C762F0"/>
    <w:rsid w:val="00C834BE"/>
    <w:rsid w:val="00C84930"/>
    <w:rsid w:val="00C853B3"/>
    <w:rsid w:val="00C93DA1"/>
    <w:rsid w:val="00C93E5F"/>
    <w:rsid w:val="00C94C0E"/>
    <w:rsid w:val="00CA0A42"/>
    <w:rsid w:val="00CA34A1"/>
    <w:rsid w:val="00CA363D"/>
    <w:rsid w:val="00CA4E0D"/>
    <w:rsid w:val="00CB382B"/>
    <w:rsid w:val="00CC0902"/>
    <w:rsid w:val="00CC091A"/>
    <w:rsid w:val="00CC0D25"/>
    <w:rsid w:val="00CC1125"/>
    <w:rsid w:val="00CC1C9F"/>
    <w:rsid w:val="00CD4C65"/>
    <w:rsid w:val="00CD4EA2"/>
    <w:rsid w:val="00CD5188"/>
    <w:rsid w:val="00CD56D3"/>
    <w:rsid w:val="00CD59EB"/>
    <w:rsid w:val="00CD7FAA"/>
    <w:rsid w:val="00CE15D8"/>
    <w:rsid w:val="00CE25B4"/>
    <w:rsid w:val="00CE2BE1"/>
    <w:rsid w:val="00CE3CA3"/>
    <w:rsid w:val="00CE5214"/>
    <w:rsid w:val="00CF3E4E"/>
    <w:rsid w:val="00CF433A"/>
    <w:rsid w:val="00CF4BBF"/>
    <w:rsid w:val="00CF4F06"/>
    <w:rsid w:val="00D00950"/>
    <w:rsid w:val="00D01CDC"/>
    <w:rsid w:val="00D01FDF"/>
    <w:rsid w:val="00D02A45"/>
    <w:rsid w:val="00D02E83"/>
    <w:rsid w:val="00D06CCC"/>
    <w:rsid w:val="00D07DCB"/>
    <w:rsid w:val="00D1141C"/>
    <w:rsid w:val="00D14507"/>
    <w:rsid w:val="00D17FC6"/>
    <w:rsid w:val="00D2092F"/>
    <w:rsid w:val="00D20B90"/>
    <w:rsid w:val="00D215A3"/>
    <w:rsid w:val="00D239B3"/>
    <w:rsid w:val="00D24B9F"/>
    <w:rsid w:val="00D33839"/>
    <w:rsid w:val="00D34683"/>
    <w:rsid w:val="00D366CA"/>
    <w:rsid w:val="00D4207C"/>
    <w:rsid w:val="00D459B2"/>
    <w:rsid w:val="00D50B91"/>
    <w:rsid w:val="00D525E1"/>
    <w:rsid w:val="00D54D05"/>
    <w:rsid w:val="00D60E80"/>
    <w:rsid w:val="00D61134"/>
    <w:rsid w:val="00D6185D"/>
    <w:rsid w:val="00D61A62"/>
    <w:rsid w:val="00D61ADB"/>
    <w:rsid w:val="00D61F16"/>
    <w:rsid w:val="00D65245"/>
    <w:rsid w:val="00D6648F"/>
    <w:rsid w:val="00D67060"/>
    <w:rsid w:val="00D67B85"/>
    <w:rsid w:val="00D67BB5"/>
    <w:rsid w:val="00D760BF"/>
    <w:rsid w:val="00D804D2"/>
    <w:rsid w:val="00D80E1C"/>
    <w:rsid w:val="00D814E7"/>
    <w:rsid w:val="00D8514A"/>
    <w:rsid w:val="00D85E5F"/>
    <w:rsid w:val="00D86074"/>
    <w:rsid w:val="00D86C41"/>
    <w:rsid w:val="00D86F3D"/>
    <w:rsid w:val="00D90DF1"/>
    <w:rsid w:val="00D9340F"/>
    <w:rsid w:val="00DA0A3A"/>
    <w:rsid w:val="00DA1C5B"/>
    <w:rsid w:val="00DA3294"/>
    <w:rsid w:val="00DA32AA"/>
    <w:rsid w:val="00DA51B7"/>
    <w:rsid w:val="00DA6145"/>
    <w:rsid w:val="00DA76EF"/>
    <w:rsid w:val="00DB516C"/>
    <w:rsid w:val="00DC1457"/>
    <w:rsid w:val="00DC29E7"/>
    <w:rsid w:val="00DC46F0"/>
    <w:rsid w:val="00DC6D3B"/>
    <w:rsid w:val="00DD0A47"/>
    <w:rsid w:val="00DD3A64"/>
    <w:rsid w:val="00DD3AF3"/>
    <w:rsid w:val="00DD47DF"/>
    <w:rsid w:val="00DD6E00"/>
    <w:rsid w:val="00DD6FFA"/>
    <w:rsid w:val="00DD78AC"/>
    <w:rsid w:val="00DE28FC"/>
    <w:rsid w:val="00DE3819"/>
    <w:rsid w:val="00DF0229"/>
    <w:rsid w:val="00DF6656"/>
    <w:rsid w:val="00E10A5A"/>
    <w:rsid w:val="00E12BF3"/>
    <w:rsid w:val="00E239F0"/>
    <w:rsid w:val="00E24EE4"/>
    <w:rsid w:val="00E25201"/>
    <w:rsid w:val="00E2720A"/>
    <w:rsid w:val="00E316B6"/>
    <w:rsid w:val="00E36F70"/>
    <w:rsid w:val="00E37593"/>
    <w:rsid w:val="00E37F91"/>
    <w:rsid w:val="00E40684"/>
    <w:rsid w:val="00E41E88"/>
    <w:rsid w:val="00E44869"/>
    <w:rsid w:val="00E471F0"/>
    <w:rsid w:val="00E504DD"/>
    <w:rsid w:val="00E51DF3"/>
    <w:rsid w:val="00E53AE9"/>
    <w:rsid w:val="00E54822"/>
    <w:rsid w:val="00E55D55"/>
    <w:rsid w:val="00E60834"/>
    <w:rsid w:val="00E64A6C"/>
    <w:rsid w:val="00E715B9"/>
    <w:rsid w:val="00E7471C"/>
    <w:rsid w:val="00E8045B"/>
    <w:rsid w:val="00E80C0F"/>
    <w:rsid w:val="00E80C62"/>
    <w:rsid w:val="00E81A9D"/>
    <w:rsid w:val="00E8733E"/>
    <w:rsid w:val="00E877DA"/>
    <w:rsid w:val="00E94411"/>
    <w:rsid w:val="00EA1B05"/>
    <w:rsid w:val="00EA41C9"/>
    <w:rsid w:val="00EA60C3"/>
    <w:rsid w:val="00EA616B"/>
    <w:rsid w:val="00EA6ACC"/>
    <w:rsid w:val="00EB0B1C"/>
    <w:rsid w:val="00EB25BE"/>
    <w:rsid w:val="00EB4583"/>
    <w:rsid w:val="00EB4EEA"/>
    <w:rsid w:val="00EB59BE"/>
    <w:rsid w:val="00EC14A7"/>
    <w:rsid w:val="00ED022F"/>
    <w:rsid w:val="00ED1037"/>
    <w:rsid w:val="00ED20F1"/>
    <w:rsid w:val="00ED26E3"/>
    <w:rsid w:val="00ED352B"/>
    <w:rsid w:val="00ED3837"/>
    <w:rsid w:val="00ED3BA9"/>
    <w:rsid w:val="00ED3CD4"/>
    <w:rsid w:val="00EE0E2F"/>
    <w:rsid w:val="00EE2FFB"/>
    <w:rsid w:val="00EE3C18"/>
    <w:rsid w:val="00EE5330"/>
    <w:rsid w:val="00EE5AD1"/>
    <w:rsid w:val="00EE6F4E"/>
    <w:rsid w:val="00EE73C7"/>
    <w:rsid w:val="00EE74F5"/>
    <w:rsid w:val="00EF6587"/>
    <w:rsid w:val="00F07106"/>
    <w:rsid w:val="00F1109F"/>
    <w:rsid w:val="00F11BB8"/>
    <w:rsid w:val="00F15529"/>
    <w:rsid w:val="00F22E42"/>
    <w:rsid w:val="00F238BC"/>
    <w:rsid w:val="00F27BD7"/>
    <w:rsid w:val="00F30180"/>
    <w:rsid w:val="00F3070A"/>
    <w:rsid w:val="00F35EC5"/>
    <w:rsid w:val="00F41210"/>
    <w:rsid w:val="00F44E8A"/>
    <w:rsid w:val="00F45D9E"/>
    <w:rsid w:val="00F500BD"/>
    <w:rsid w:val="00F50DD0"/>
    <w:rsid w:val="00F52FD8"/>
    <w:rsid w:val="00F57178"/>
    <w:rsid w:val="00F61E1E"/>
    <w:rsid w:val="00F62068"/>
    <w:rsid w:val="00F627D4"/>
    <w:rsid w:val="00F628E8"/>
    <w:rsid w:val="00F66B01"/>
    <w:rsid w:val="00F67C68"/>
    <w:rsid w:val="00F70F6F"/>
    <w:rsid w:val="00F7621D"/>
    <w:rsid w:val="00F762CF"/>
    <w:rsid w:val="00F77D33"/>
    <w:rsid w:val="00F80422"/>
    <w:rsid w:val="00F80E99"/>
    <w:rsid w:val="00F84101"/>
    <w:rsid w:val="00F8563B"/>
    <w:rsid w:val="00F86F44"/>
    <w:rsid w:val="00F9302D"/>
    <w:rsid w:val="00F9448F"/>
    <w:rsid w:val="00F97C60"/>
    <w:rsid w:val="00FA092F"/>
    <w:rsid w:val="00FA09FE"/>
    <w:rsid w:val="00FA21BB"/>
    <w:rsid w:val="00FA2687"/>
    <w:rsid w:val="00FA72BA"/>
    <w:rsid w:val="00FA7880"/>
    <w:rsid w:val="00FB36B2"/>
    <w:rsid w:val="00FB45B6"/>
    <w:rsid w:val="00FB671F"/>
    <w:rsid w:val="00FB7906"/>
    <w:rsid w:val="00FC0F91"/>
    <w:rsid w:val="00FC3621"/>
    <w:rsid w:val="00FC7E46"/>
    <w:rsid w:val="00FD1845"/>
    <w:rsid w:val="00FE45F9"/>
    <w:rsid w:val="00FF23E3"/>
    <w:rsid w:val="00FF4474"/>
    <w:rsid w:val="00FF6A6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86A4B9"/>
  <w15:chartTrackingRefBased/>
  <w15:docId w15:val="{32B08D3D-E230-4B4E-91BA-0DED1A93AD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4963"/>
    <w:pPr>
      <w:ind w:left="720"/>
      <w:contextualSpacing/>
    </w:pPr>
  </w:style>
  <w:style w:type="paragraph" w:styleId="Header">
    <w:name w:val="header"/>
    <w:basedOn w:val="Normal"/>
    <w:link w:val="HeaderChar"/>
    <w:uiPriority w:val="99"/>
    <w:unhideWhenUsed/>
    <w:rsid w:val="004043B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043BB"/>
  </w:style>
  <w:style w:type="paragraph" w:styleId="Footer">
    <w:name w:val="footer"/>
    <w:basedOn w:val="Normal"/>
    <w:link w:val="FooterChar"/>
    <w:uiPriority w:val="99"/>
    <w:unhideWhenUsed/>
    <w:rsid w:val="004043B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043BB"/>
  </w:style>
  <w:style w:type="character" w:styleId="CommentReference">
    <w:name w:val="annotation reference"/>
    <w:basedOn w:val="DefaultParagraphFont"/>
    <w:uiPriority w:val="99"/>
    <w:semiHidden/>
    <w:unhideWhenUsed/>
    <w:rsid w:val="00367B2F"/>
    <w:rPr>
      <w:sz w:val="16"/>
      <w:szCs w:val="16"/>
    </w:rPr>
  </w:style>
  <w:style w:type="paragraph" w:styleId="CommentText">
    <w:name w:val="annotation text"/>
    <w:basedOn w:val="Normal"/>
    <w:link w:val="CommentTextChar"/>
    <w:uiPriority w:val="99"/>
    <w:unhideWhenUsed/>
    <w:rsid w:val="00367B2F"/>
    <w:pPr>
      <w:spacing w:line="240" w:lineRule="auto"/>
    </w:pPr>
    <w:rPr>
      <w:sz w:val="20"/>
      <w:szCs w:val="20"/>
    </w:rPr>
  </w:style>
  <w:style w:type="character" w:customStyle="1" w:styleId="CommentTextChar">
    <w:name w:val="Comment Text Char"/>
    <w:basedOn w:val="DefaultParagraphFont"/>
    <w:link w:val="CommentText"/>
    <w:uiPriority w:val="99"/>
    <w:rsid w:val="00367B2F"/>
    <w:rPr>
      <w:sz w:val="20"/>
      <w:szCs w:val="20"/>
    </w:rPr>
  </w:style>
  <w:style w:type="paragraph" w:styleId="CommentSubject">
    <w:name w:val="annotation subject"/>
    <w:basedOn w:val="CommentText"/>
    <w:next w:val="CommentText"/>
    <w:link w:val="CommentSubjectChar"/>
    <w:uiPriority w:val="99"/>
    <w:semiHidden/>
    <w:unhideWhenUsed/>
    <w:rsid w:val="00367B2F"/>
    <w:rPr>
      <w:b/>
      <w:bCs/>
    </w:rPr>
  </w:style>
  <w:style w:type="character" w:customStyle="1" w:styleId="CommentSubjectChar">
    <w:name w:val="Comment Subject Char"/>
    <w:basedOn w:val="CommentTextChar"/>
    <w:link w:val="CommentSubject"/>
    <w:uiPriority w:val="99"/>
    <w:semiHidden/>
    <w:rsid w:val="00367B2F"/>
    <w:rPr>
      <w:b/>
      <w:bCs/>
      <w:sz w:val="20"/>
      <w:szCs w:val="20"/>
    </w:rPr>
  </w:style>
  <w:style w:type="character" w:styleId="Hyperlink">
    <w:name w:val="Hyperlink"/>
    <w:basedOn w:val="DefaultParagraphFont"/>
    <w:uiPriority w:val="99"/>
    <w:unhideWhenUsed/>
    <w:rsid w:val="00367B2F"/>
    <w:rPr>
      <w:color w:val="0563C1" w:themeColor="hyperlink"/>
      <w:u w:val="single"/>
    </w:rPr>
  </w:style>
  <w:style w:type="character" w:styleId="UnresolvedMention">
    <w:name w:val="Unresolved Mention"/>
    <w:basedOn w:val="DefaultParagraphFont"/>
    <w:uiPriority w:val="99"/>
    <w:semiHidden/>
    <w:unhideWhenUsed/>
    <w:rsid w:val="00367B2F"/>
    <w:rPr>
      <w:color w:val="605E5C"/>
      <w:shd w:val="clear" w:color="auto" w:fill="E1DFDD"/>
    </w:rPr>
  </w:style>
  <w:style w:type="character" w:styleId="Emphasis">
    <w:name w:val="Emphasis"/>
    <w:basedOn w:val="DefaultParagraphFont"/>
    <w:uiPriority w:val="20"/>
    <w:qFormat/>
    <w:rsid w:val="00BF7CCC"/>
    <w:rPr>
      <w:i/>
      <w:iCs/>
    </w:rPr>
  </w:style>
  <w:style w:type="paragraph" w:styleId="Revision">
    <w:name w:val="Revision"/>
    <w:hidden/>
    <w:uiPriority w:val="99"/>
    <w:semiHidden/>
    <w:rsid w:val="003353AA"/>
    <w:pPr>
      <w:spacing w:after="0" w:line="240" w:lineRule="auto"/>
    </w:pPr>
  </w:style>
  <w:style w:type="table" w:styleId="TableGrid">
    <w:name w:val="Table Grid"/>
    <w:basedOn w:val="TableNormal"/>
    <w:uiPriority w:val="39"/>
    <w:rsid w:val="00DC14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3952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337905">
      <w:bodyDiv w:val="1"/>
      <w:marLeft w:val="0"/>
      <w:marRight w:val="0"/>
      <w:marTop w:val="0"/>
      <w:marBottom w:val="0"/>
      <w:divBdr>
        <w:top w:val="none" w:sz="0" w:space="0" w:color="auto"/>
        <w:left w:val="none" w:sz="0" w:space="0" w:color="auto"/>
        <w:bottom w:val="none" w:sz="0" w:space="0" w:color="auto"/>
        <w:right w:val="none" w:sz="0" w:space="0" w:color="auto"/>
      </w:divBdr>
    </w:div>
    <w:div w:id="290980661">
      <w:bodyDiv w:val="1"/>
      <w:marLeft w:val="0"/>
      <w:marRight w:val="0"/>
      <w:marTop w:val="0"/>
      <w:marBottom w:val="0"/>
      <w:divBdr>
        <w:top w:val="none" w:sz="0" w:space="0" w:color="auto"/>
        <w:left w:val="none" w:sz="0" w:space="0" w:color="auto"/>
        <w:bottom w:val="none" w:sz="0" w:space="0" w:color="auto"/>
        <w:right w:val="none" w:sz="0" w:space="0" w:color="auto"/>
      </w:divBdr>
    </w:div>
    <w:div w:id="324406481">
      <w:bodyDiv w:val="1"/>
      <w:marLeft w:val="0"/>
      <w:marRight w:val="0"/>
      <w:marTop w:val="0"/>
      <w:marBottom w:val="0"/>
      <w:divBdr>
        <w:top w:val="none" w:sz="0" w:space="0" w:color="auto"/>
        <w:left w:val="none" w:sz="0" w:space="0" w:color="auto"/>
        <w:bottom w:val="none" w:sz="0" w:space="0" w:color="auto"/>
        <w:right w:val="none" w:sz="0" w:space="0" w:color="auto"/>
      </w:divBdr>
    </w:div>
    <w:div w:id="781656851">
      <w:bodyDiv w:val="1"/>
      <w:marLeft w:val="0"/>
      <w:marRight w:val="0"/>
      <w:marTop w:val="0"/>
      <w:marBottom w:val="0"/>
      <w:divBdr>
        <w:top w:val="none" w:sz="0" w:space="0" w:color="auto"/>
        <w:left w:val="none" w:sz="0" w:space="0" w:color="auto"/>
        <w:bottom w:val="none" w:sz="0" w:space="0" w:color="auto"/>
        <w:right w:val="none" w:sz="0" w:space="0" w:color="auto"/>
      </w:divBdr>
    </w:div>
    <w:div w:id="1163424257">
      <w:bodyDiv w:val="1"/>
      <w:marLeft w:val="0"/>
      <w:marRight w:val="0"/>
      <w:marTop w:val="0"/>
      <w:marBottom w:val="0"/>
      <w:divBdr>
        <w:top w:val="none" w:sz="0" w:space="0" w:color="auto"/>
        <w:left w:val="none" w:sz="0" w:space="0" w:color="auto"/>
        <w:bottom w:val="none" w:sz="0" w:space="0" w:color="auto"/>
        <w:right w:val="none" w:sz="0" w:space="0" w:color="auto"/>
      </w:divBdr>
    </w:div>
    <w:div w:id="1404180464">
      <w:bodyDiv w:val="1"/>
      <w:marLeft w:val="0"/>
      <w:marRight w:val="0"/>
      <w:marTop w:val="0"/>
      <w:marBottom w:val="0"/>
      <w:divBdr>
        <w:top w:val="none" w:sz="0" w:space="0" w:color="auto"/>
        <w:left w:val="none" w:sz="0" w:space="0" w:color="auto"/>
        <w:bottom w:val="none" w:sz="0" w:space="0" w:color="auto"/>
        <w:right w:val="none" w:sz="0" w:space="0" w:color="auto"/>
      </w:divBdr>
      <w:divsChild>
        <w:div w:id="429588887">
          <w:marLeft w:val="0"/>
          <w:marRight w:val="0"/>
          <w:marTop w:val="0"/>
          <w:marBottom w:val="0"/>
          <w:divBdr>
            <w:top w:val="none" w:sz="0" w:space="0" w:color="auto"/>
            <w:left w:val="none" w:sz="0" w:space="0" w:color="auto"/>
            <w:bottom w:val="none" w:sz="0" w:space="0" w:color="auto"/>
            <w:right w:val="none" w:sz="0" w:space="0" w:color="auto"/>
          </w:divBdr>
          <w:divsChild>
            <w:div w:id="866721468">
              <w:marLeft w:val="0"/>
              <w:marRight w:val="0"/>
              <w:marTop w:val="0"/>
              <w:marBottom w:val="0"/>
              <w:divBdr>
                <w:top w:val="none" w:sz="0" w:space="0" w:color="auto"/>
                <w:left w:val="none" w:sz="0" w:space="0" w:color="auto"/>
                <w:bottom w:val="none" w:sz="0" w:space="0" w:color="auto"/>
                <w:right w:val="none" w:sz="0" w:space="0" w:color="auto"/>
              </w:divBdr>
            </w:div>
          </w:divsChild>
        </w:div>
        <w:div w:id="255745900">
          <w:marLeft w:val="0"/>
          <w:marRight w:val="0"/>
          <w:marTop w:val="0"/>
          <w:marBottom w:val="0"/>
          <w:divBdr>
            <w:top w:val="none" w:sz="0" w:space="0" w:color="auto"/>
            <w:left w:val="none" w:sz="0" w:space="0" w:color="auto"/>
            <w:bottom w:val="none" w:sz="0" w:space="0" w:color="auto"/>
            <w:right w:val="none" w:sz="0" w:space="0" w:color="auto"/>
          </w:divBdr>
        </w:div>
      </w:divsChild>
    </w:div>
    <w:div w:id="1486900556">
      <w:bodyDiv w:val="1"/>
      <w:marLeft w:val="0"/>
      <w:marRight w:val="0"/>
      <w:marTop w:val="0"/>
      <w:marBottom w:val="0"/>
      <w:divBdr>
        <w:top w:val="none" w:sz="0" w:space="0" w:color="auto"/>
        <w:left w:val="none" w:sz="0" w:space="0" w:color="auto"/>
        <w:bottom w:val="none" w:sz="0" w:space="0" w:color="auto"/>
        <w:right w:val="none" w:sz="0" w:space="0" w:color="auto"/>
      </w:divBdr>
    </w:div>
    <w:div w:id="1636522260">
      <w:bodyDiv w:val="1"/>
      <w:marLeft w:val="0"/>
      <w:marRight w:val="0"/>
      <w:marTop w:val="0"/>
      <w:marBottom w:val="0"/>
      <w:divBdr>
        <w:top w:val="none" w:sz="0" w:space="0" w:color="auto"/>
        <w:left w:val="none" w:sz="0" w:space="0" w:color="auto"/>
        <w:bottom w:val="none" w:sz="0" w:space="0" w:color="auto"/>
        <w:right w:val="none" w:sz="0" w:space="0" w:color="auto"/>
      </w:divBdr>
    </w:div>
    <w:div w:id="1847285244">
      <w:bodyDiv w:val="1"/>
      <w:marLeft w:val="0"/>
      <w:marRight w:val="0"/>
      <w:marTop w:val="0"/>
      <w:marBottom w:val="0"/>
      <w:divBdr>
        <w:top w:val="none" w:sz="0" w:space="0" w:color="auto"/>
        <w:left w:val="none" w:sz="0" w:space="0" w:color="auto"/>
        <w:bottom w:val="none" w:sz="0" w:space="0" w:color="auto"/>
        <w:right w:val="none" w:sz="0" w:space="0" w:color="auto"/>
      </w:divBdr>
      <w:divsChild>
        <w:div w:id="1893032030">
          <w:marLeft w:val="547"/>
          <w:marRight w:val="0"/>
          <w:marTop w:val="0"/>
          <w:marBottom w:val="0"/>
          <w:divBdr>
            <w:top w:val="none" w:sz="0" w:space="0" w:color="auto"/>
            <w:left w:val="none" w:sz="0" w:space="0" w:color="auto"/>
            <w:bottom w:val="none" w:sz="0" w:space="0" w:color="auto"/>
            <w:right w:val="none" w:sz="0" w:space="0" w:color="auto"/>
          </w:divBdr>
        </w:div>
        <w:div w:id="190191060">
          <w:marLeft w:val="547"/>
          <w:marRight w:val="0"/>
          <w:marTop w:val="0"/>
          <w:marBottom w:val="0"/>
          <w:divBdr>
            <w:top w:val="none" w:sz="0" w:space="0" w:color="auto"/>
            <w:left w:val="none" w:sz="0" w:space="0" w:color="auto"/>
            <w:bottom w:val="none" w:sz="0" w:space="0" w:color="auto"/>
            <w:right w:val="none" w:sz="0" w:space="0" w:color="auto"/>
          </w:divBdr>
        </w:div>
      </w:divsChild>
    </w:div>
    <w:div w:id="2009748756">
      <w:bodyDiv w:val="1"/>
      <w:marLeft w:val="0"/>
      <w:marRight w:val="0"/>
      <w:marTop w:val="0"/>
      <w:marBottom w:val="0"/>
      <w:divBdr>
        <w:top w:val="none" w:sz="0" w:space="0" w:color="auto"/>
        <w:left w:val="none" w:sz="0" w:space="0" w:color="auto"/>
        <w:bottom w:val="none" w:sz="0" w:space="0" w:color="auto"/>
        <w:right w:val="none" w:sz="0" w:space="0" w:color="auto"/>
      </w:divBdr>
    </w:div>
    <w:div w:id="2104034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musyc.app.vanderbilt.edu/"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0"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049886-4052-47D9-B072-347987E732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52498</Words>
  <Characters>299240</Characters>
  <Application>Microsoft Office Word</Application>
  <DocSecurity>0</DocSecurity>
  <Lines>2493</Lines>
  <Paragraphs>702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Selim Cellek</dc:creator>
  <cp:keywords/>
  <dc:description/>
  <cp:lastModifiedBy>Marcus Ilg</cp:lastModifiedBy>
  <cp:revision>5</cp:revision>
  <dcterms:created xsi:type="dcterms:W3CDTF">2023-03-14T10:45:00Z</dcterms:created>
  <dcterms:modified xsi:type="dcterms:W3CDTF">2023-03-14T10:47:00Z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http://www.zotero.org/styles/harvard-cite-them-right</vt:lpwstr>
  </property>
  <property fmtid="{D5CDD505-2E9C-101B-9397-08002B2CF9AE}" pid="5" name="Mendeley Recent Style Name 1_1">
    <vt:lpwstr>Cite Them Right 10th edition - Harvard</vt:lpwstr>
  </property>
  <property fmtid="{D5CDD505-2E9C-101B-9397-08002B2CF9AE}" pid="6" name="Mendeley Recent Style Id 2_1">
    <vt:lpwstr>http://www.zotero.org/styles/european-urology</vt:lpwstr>
  </property>
  <property fmtid="{D5CDD505-2E9C-101B-9397-08002B2CF9AE}" pid="7" name="Mendeley Recent Style Name 2_1">
    <vt:lpwstr>European Urology</vt:lpwstr>
  </property>
  <property fmtid="{D5CDD505-2E9C-101B-9397-08002B2CF9AE}" pid="8" name="Mendeley Recent Style Id 3_1">
    <vt:lpwstr>http://www.zotero.org/styles/harvard1</vt:lpwstr>
  </property>
  <property fmtid="{D5CDD505-2E9C-101B-9397-08002B2CF9AE}" pid="9" name="Mendeley Recent Style Name 3_1">
    <vt:lpwstr>Harvard reference format 1 (deprecated)</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http://www.zotero.org/styles/national-library-of-medicine</vt:lpwstr>
  </property>
  <property fmtid="{D5CDD505-2E9C-101B-9397-08002B2CF9AE}" pid="13" name="Mendeley Recent Style Name 5_1">
    <vt:lpwstr>National Library of Medicine</vt:lpwstr>
  </property>
  <property fmtid="{D5CDD505-2E9C-101B-9397-08002B2CF9AE}" pid="14" name="Mendeley Recent Style Id 6_1">
    <vt:lpwstr>http://www.zotero.org/styles/nature</vt:lpwstr>
  </property>
  <property fmtid="{D5CDD505-2E9C-101B-9397-08002B2CF9AE}" pid="15" name="Mendeley Recent Style Name 6_1">
    <vt:lpwstr>Nature</vt:lpwstr>
  </property>
  <property fmtid="{D5CDD505-2E9C-101B-9397-08002B2CF9AE}" pid="16" name="Mendeley Recent Style Id 7_1">
    <vt:lpwstr>http://www.zotero.org/styles/plos-one</vt:lpwstr>
  </property>
  <property fmtid="{D5CDD505-2E9C-101B-9397-08002B2CF9AE}" pid="17" name="Mendeley Recent Style Name 7_1">
    <vt:lpwstr>PLOS ONE</vt:lpwstr>
  </property>
  <property fmtid="{D5CDD505-2E9C-101B-9397-08002B2CF9AE}" pid="18" name="Mendeley Recent Style Id 8_1">
    <vt:lpwstr>http://www.zotero.org/styles/the-journal-of-sexual-medicine</vt:lpwstr>
  </property>
  <property fmtid="{D5CDD505-2E9C-101B-9397-08002B2CF9AE}" pid="19" name="Mendeley Recent Style Name 8_1">
    <vt:lpwstr>The Journal of Sexual Medicine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Citation Style_1">
    <vt:lpwstr>http://www.zotero.org/styles/the-journal-of-sexual-medicine</vt:lpwstr>
  </property>
  <property fmtid="{D5CDD505-2E9C-101B-9397-08002B2CF9AE}" pid="23" name="Mendeley Document_1">
    <vt:lpwstr>True</vt:lpwstr>
  </property>
  <property fmtid="{D5CDD505-2E9C-101B-9397-08002B2CF9AE}" pid="24" name="Mendeley Unique User Id_1">
    <vt:lpwstr>38bc7ec4-bd6a-3dab-be10-4e1be6c978b2</vt:lpwstr>
  </property>
</Properties>
</file>