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8F362" w14:textId="77777777" w:rsidR="000F77EA" w:rsidRPr="00FF1F5E" w:rsidRDefault="000F77EA" w:rsidP="00681B3C">
      <w:pPr>
        <w:pStyle w:val="MDPI11articletype"/>
      </w:pPr>
      <w:r w:rsidRPr="00FF1F5E">
        <w:t>A</w:t>
      </w:r>
      <w:r w:rsidRPr="00FF1F5E">
        <w:rPr>
          <w:rFonts w:hint="eastAsia"/>
          <w:lang w:eastAsia="zh-CN"/>
        </w:rPr>
        <w:t>rt</w:t>
      </w:r>
      <w:r w:rsidRPr="00FF1F5E">
        <w:t xml:space="preserve">icle </w:t>
      </w:r>
    </w:p>
    <w:p w14:paraId="01FDB625" w14:textId="77777777" w:rsidR="000F77EA" w:rsidRPr="00FF1F5E" w:rsidRDefault="000F77EA" w:rsidP="00681B3C">
      <w:pPr>
        <w:pStyle w:val="MDPI12title"/>
      </w:pPr>
      <w:r w:rsidRPr="00FF1F5E">
        <w:t>Social representations of ‘tinnitus’ and ‘health’ among individuals with tinnitus seeking online psychological interventions</w:t>
      </w:r>
    </w:p>
    <w:p w14:paraId="7D415E1D" w14:textId="77777777" w:rsidR="000F77EA" w:rsidRPr="00FF1F5E" w:rsidRDefault="000F77EA" w:rsidP="00681B3C">
      <w:pPr>
        <w:pStyle w:val="MDPI13authornames"/>
      </w:pPr>
      <w:r w:rsidRPr="00FF1F5E">
        <w:t>Vinaya Manchaiah</w:t>
      </w:r>
      <w:r w:rsidRPr="00FF1F5E">
        <w:rPr>
          <w:vertAlign w:val="superscript"/>
        </w:rPr>
        <w:t>1,2,3,4,5</w:t>
      </w:r>
      <w:r w:rsidRPr="00FF1F5E">
        <w:t xml:space="preserve"> Srikanth Chundu,</w:t>
      </w:r>
      <w:r w:rsidRPr="00FF1F5E">
        <w:rPr>
          <w:vertAlign w:val="superscript"/>
        </w:rPr>
        <w:t>6</w:t>
      </w:r>
      <w:r w:rsidRPr="00FF1F5E">
        <w:t xml:space="preserve"> Pierre Ratinaud,</w:t>
      </w:r>
      <w:r w:rsidRPr="00FF1F5E">
        <w:rPr>
          <w:vertAlign w:val="superscript"/>
        </w:rPr>
        <w:t>7</w:t>
      </w:r>
      <w:r w:rsidRPr="00FF1F5E">
        <w:t xml:space="preserve"> Gerhard Andersson,</w:t>
      </w:r>
      <w:r w:rsidRPr="00FF1F5E">
        <w:rPr>
          <w:vertAlign w:val="superscript"/>
        </w:rPr>
        <w:t>8,9,10</w:t>
      </w:r>
      <w:r w:rsidRPr="00FF1F5E">
        <w:t xml:space="preserve"> &amp; Eldre W. Beukes</w:t>
      </w:r>
      <w:r w:rsidRPr="00FF1F5E">
        <w:rPr>
          <w:vertAlign w:val="superscript"/>
        </w:rPr>
        <w:t>3,6</w:t>
      </w:r>
    </w:p>
    <w:p w14:paraId="4FC472FA" w14:textId="77777777" w:rsidR="000F77EA" w:rsidRPr="00FF1F5E" w:rsidRDefault="000F77EA" w:rsidP="00681B3C">
      <w:pPr>
        <w:pStyle w:val="MDPI16affiliation"/>
        <w:numPr>
          <w:ilvl w:val="0"/>
          <w:numId w:val="41"/>
        </w:numPr>
        <w:ind w:left="2608" w:firstLine="0"/>
        <w:rPr>
          <w:shd w:val="clear" w:color="auto" w:fill="FFFFFF"/>
        </w:rPr>
      </w:pPr>
      <w:r w:rsidRPr="00FF1F5E">
        <w:t>Department of Otolaryngology–Head and Neck Surgery, University of Colorado School of Medicine, Aurora, Colorado, USA</w:t>
      </w:r>
    </w:p>
    <w:p w14:paraId="3E7BB5B7" w14:textId="77777777" w:rsidR="000F77EA" w:rsidRPr="00FF1F5E" w:rsidRDefault="000F77EA" w:rsidP="00681B3C">
      <w:pPr>
        <w:pStyle w:val="MDPI16affiliation"/>
        <w:numPr>
          <w:ilvl w:val="0"/>
          <w:numId w:val="41"/>
        </w:numPr>
        <w:ind w:left="2608" w:firstLine="0"/>
        <w:rPr>
          <w:shd w:val="clear" w:color="auto" w:fill="FFFFFF"/>
        </w:rPr>
      </w:pPr>
      <w:r w:rsidRPr="00FF1F5E">
        <w:t>UCHealth Hearing and Balance, University of Colorado Hospital, Aurora, Colorado, USA</w:t>
      </w:r>
    </w:p>
    <w:p w14:paraId="2AF6FF9A" w14:textId="77777777" w:rsidR="000F77EA" w:rsidRPr="00FF1F5E" w:rsidRDefault="000F77EA" w:rsidP="00681B3C">
      <w:pPr>
        <w:pStyle w:val="MDPI16affiliation"/>
        <w:numPr>
          <w:ilvl w:val="0"/>
          <w:numId w:val="41"/>
        </w:numPr>
        <w:ind w:left="2608" w:firstLine="0"/>
        <w:rPr>
          <w:shd w:val="clear" w:color="auto" w:fill="FFFFFF"/>
        </w:rPr>
      </w:pPr>
      <w:r w:rsidRPr="00FF1F5E">
        <w:t>Virtual Hearing Lab, Collaborative Initiative between University of Colorado School of Medicine and University of Pretoria, Aurora, Colorado, USA</w:t>
      </w:r>
    </w:p>
    <w:p w14:paraId="60B893C8" w14:textId="77777777" w:rsidR="000F77EA" w:rsidRPr="00FF1F5E" w:rsidRDefault="000F77EA" w:rsidP="00681B3C">
      <w:pPr>
        <w:pStyle w:val="MDPI16affiliation"/>
        <w:numPr>
          <w:ilvl w:val="0"/>
          <w:numId w:val="41"/>
        </w:numPr>
        <w:ind w:left="2608" w:firstLine="0"/>
        <w:rPr>
          <w:shd w:val="clear" w:color="auto" w:fill="FFFFFF"/>
        </w:rPr>
      </w:pPr>
      <w:r w:rsidRPr="00FF1F5E">
        <w:t>Department of Speech-Language Pathology and Audiology, University of Pretoria, Gauteng, South Africa</w:t>
      </w:r>
    </w:p>
    <w:p w14:paraId="240A3B85" w14:textId="77777777" w:rsidR="000F77EA" w:rsidRPr="00FF1F5E" w:rsidRDefault="000F77EA" w:rsidP="00681B3C">
      <w:pPr>
        <w:pStyle w:val="MDPI16affiliation"/>
        <w:numPr>
          <w:ilvl w:val="0"/>
          <w:numId w:val="41"/>
        </w:numPr>
        <w:ind w:left="2608" w:firstLine="0"/>
        <w:rPr>
          <w:shd w:val="clear" w:color="auto" w:fill="FFFFFF"/>
        </w:rPr>
      </w:pPr>
      <w:r w:rsidRPr="00FF1F5E">
        <w:t>Department of Speech and Hearing, Manipal College of Health Professions, Manipal Academy of Higher Education, Manipal, India</w:t>
      </w:r>
    </w:p>
    <w:p w14:paraId="379A2B51" w14:textId="77777777" w:rsidR="000F77EA" w:rsidRPr="00FF1F5E" w:rsidRDefault="000F77EA" w:rsidP="00681B3C">
      <w:pPr>
        <w:pStyle w:val="MDPI16affiliation"/>
        <w:numPr>
          <w:ilvl w:val="0"/>
          <w:numId w:val="41"/>
        </w:numPr>
        <w:ind w:left="2608" w:firstLine="0"/>
      </w:pPr>
      <w:r w:rsidRPr="00FF1F5E">
        <w:t>Vision and Hearing Sciences Research Group, School of Psychology and Sport Science, Anglia Ruskin University, Cambridge, United Kingdom</w:t>
      </w:r>
    </w:p>
    <w:p w14:paraId="307C9FA3" w14:textId="77777777" w:rsidR="000F77EA" w:rsidRPr="00FF1F5E" w:rsidRDefault="000F77EA" w:rsidP="00681B3C">
      <w:pPr>
        <w:pStyle w:val="MDPI16affiliation"/>
        <w:numPr>
          <w:ilvl w:val="0"/>
          <w:numId w:val="41"/>
        </w:numPr>
        <w:ind w:left="2608" w:firstLine="0"/>
      </w:pPr>
      <w:proofErr w:type="spellStart"/>
      <w:r w:rsidRPr="00FF1F5E">
        <w:t>Laboratoire</w:t>
      </w:r>
      <w:proofErr w:type="spellEnd"/>
      <w:r w:rsidRPr="00FF1F5E">
        <w:t xml:space="preserve"> </w:t>
      </w:r>
      <w:proofErr w:type="spellStart"/>
      <w:r w:rsidRPr="00FF1F5E">
        <w:t>d'Études</w:t>
      </w:r>
      <w:proofErr w:type="spellEnd"/>
      <w:r w:rsidRPr="00FF1F5E">
        <w:t xml:space="preserve"> et de </w:t>
      </w:r>
      <w:proofErr w:type="spellStart"/>
      <w:r w:rsidRPr="00FF1F5E">
        <w:t>Recherches</w:t>
      </w:r>
      <w:proofErr w:type="spellEnd"/>
      <w:r w:rsidRPr="00FF1F5E">
        <w:t xml:space="preserve"> </w:t>
      </w:r>
      <w:proofErr w:type="spellStart"/>
      <w:r w:rsidRPr="00FF1F5E">
        <w:t>Appliquées</w:t>
      </w:r>
      <w:proofErr w:type="spellEnd"/>
      <w:r w:rsidRPr="00FF1F5E">
        <w:t xml:space="preserve"> </w:t>
      </w:r>
      <w:proofErr w:type="spellStart"/>
      <w:r w:rsidRPr="00FF1F5E">
        <w:t>en</w:t>
      </w:r>
      <w:proofErr w:type="spellEnd"/>
      <w:r w:rsidRPr="00FF1F5E">
        <w:t xml:space="preserve"> Sciences </w:t>
      </w:r>
      <w:proofErr w:type="spellStart"/>
      <w:r w:rsidRPr="00FF1F5E">
        <w:t>Sociales</w:t>
      </w:r>
      <w:proofErr w:type="spellEnd"/>
      <w:r w:rsidRPr="00FF1F5E">
        <w:t xml:space="preserve"> (LERASS), University of Toulouse, Toulouse, France</w:t>
      </w:r>
    </w:p>
    <w:p w14:paraId="3805088E" w14:textId="77777777" w:rsidR="000F77EA" w:rsidRPr="00FF1F5E" w:rsidRDefault="000F77EA" w:rsidP="00681B3C">
      <w:pPr>
        <w:pStyle w:val="MDPI16affiliation"/>
        <w:numPr>
          <w:ilvl w:val="0"/>
          <w:numId w:val="41"/>
        </w:numPr>
        <w:ind w:left="2608" w:firstLine="0"/>
      </w:pPr>
      <w:r w:rsidRPr="00FF1F5E">
        <w:t>Department of Behavioral Sciences and Learning, Linköping University, Linköping, Sweden</w:t>
      </w:r>
    </w:p>
    <w:p w14:paraId="34260F58" w14:textId="77777777" w:rsidR="000F77EA" w:rsidRPr="00FF1F5E" w:rsidRDefault="000F77EA" w:rsidP="00681B3C">
      <w:pPr>
        <w:pStyle w:val="MDPI16affiliation"/>
        <w:numPr>
          <w:ilvl w:val="0"/>
          <w:numId w:val="41"/>
        </w:numPr>
        <w:ind w:left="2608" w:firstLine="0"/>
      </w:pPr>
      <w:r w:rsidRPr="00FF1F5E">
        <w:t>Department of Biomedical and Clinical Sciences, Linköping University, Linköping, Sweden</w:t>
      </w:r>
    </w:p>
    <w:p w14:paraId="3327820E" w14:textId="77777777" w:rsidR="000F77EA" w:rsidRPr="00FF1F5E" w:rsidRDefault="000F77EA" w:rsidP="00681B3C">
      <w:pPr>
        <w:pStyle w:val="MDPI16affiliation"/>
        <w:numPr>
          <w:ilvl w:val="0"/>
          <w:numId w:val="41"/>
        </w:numPr>
        <w:ind w:left="2608" w:firstLine="0"/>
      </w:pPr>
      <w:r w:rsidRPr="00FF1F5E">
        <w:t>Department of Clinical Neuroscience, Division of Psychiatry, Karolinska Institute, Stockholm, Sweden</w:t>
      </w:r>
    </w:p>
    <w:p w14:paraId="0DB519D2" w14:textId="77777777" w:rsidR="000F77EA" w:rsidRPr="00FF1F5E" w:rsidRDefault="000F77EA" w:rsidP="00681B3C">
      <w:pPr>
        <w:pStyle w:val="MDPI16affiliation"/>
        <w:ind w:left="2608" w:firstLine="0"/>
      </w:pPr>
      <w:r w:rsidRPr="00FF1F5E">
        <w:rPr>
          <w:b/>
        </w:rPr>
        <w:t>Corresponding author:</w:t>
      </w:r>
      <w:r w:rsidRPr="00FF1F5E">
        <w:t xml:space="preserve"> vinaya.manchaiah@cuanschutz.edu</w:t>
      </w:r>
    </w:p>
    <w:p w14:paraId="77AC52BF" w14:textId="4F46E5F7" w:rsidR="000F77EA" w:rsidRPr="00FF1F5E" w:rsidRDefault="000F77EA" w:rsidP="00681B3C">
      <w:pPr>
        <w:pStyle w:val="MDPI17abstract"/>
        <w:rPr>
          <w:sz w:val="20"/>
          <w:szCs w:val="20"/>
        </w:rPr>
      </w:pPr>
      <w:r w:rsidRPr="00FF1F5E">
        <w:rPr>
          <w:b/>
          <w:sz w:val="20"/>
          <w:szCs w:val="20"/>
        </w:rPr>
        <w:t>Abstract</w:t>
      </w:r>
      <w:r w:rsidR="00681B3C" w:rsidRPr="00FF1F5E">
        <w:rPr>
          <w:b/>
          <w:sz w:val="20"/>
          <w:szCs w:val="20"/>
        </w:rPr>
        <w:t xml:space="preserve">: </w:t>
      </w:r>
      <w:r w:rsidRPr="00FF1F5E">
        <w:rPr>
          <w:b/>
          <w:sz w:val="20"/>
          <w:szCs w:val="20"/>
        </w:rPr>
        <w:t xml:space="preserve">Objective: </w:t>
      </w:r>
      <w:r w:rsidR="00A64EFD" w:rsidRPr="00FF1F5E">
        <w:rPr>
          <w:color w:val="202124"/>
          <w:sz w:val="20"/>
          <w:szCs w:val="20"/>
          <w:shd w:val="clear" w:color="auto" w:fill="FFFFFF"/>
        </w:rPr>
        <w:t xml:space="preserve">Social representations theory (SRT) is a body of theory within social psychology concerned with how individuals, groups, and communities collectively make sense of socially relevant or problematic issues, ideas, and practices. SRT has been increasingly sued </w:t>
      </w:r>
      <w:proofErr w:type="gramStart"/>
      <w:r w:rsidR="00A64EFD" w:rsidRPr="00FF1F5E">
        <w:rPr>
          <w:color w:val="202124"/>
          <w:sz w:val="20"/>
          <w:szCs w:val="20"/>
          <w:shd w:val="clear" w:color="auto" w:fill="FFFFFF"/>
        </w:rPr>
        <w:t>in the area of</w:t>
      </w:r>
      <w:proofErr w:type="gramEnd"/>
      <w:r w:rsidR="00A64EFD" w:rsidRPr="00FF1F5E">
        <w:rPr>
          <w:color w:val="202124"/>
          <w:sz w:val="20"/>
          <w:szCs w:val="20"/>
          <w:shd w:val="clear" w:color="auto" w:fill="FFFFFF"/>
        </w:rPr>
        <w:t xml:space="preserve"> health and disability</w:t>
      </w:r>
      <w:r w:rsidR="00A64EFD" w:rsidRPr="00FF1F5E">
        <w:rPr>
          <w:bCs/>
          <w:sz w:val="20"/>
          <w:szCs w:val="20"/>
        </w:rPr>
        <w:t>.</w:t>
      </w:r>
      <w:r w:rsidR="00A64EFD" w:rsidRPr="00FF1F5E">
        <w:rPr>
          <w:b/>
          <w:sz w:val="20"/>
          <w:szCs w:val="20"/>
        </w:rPr>
        <w:t xml:space="preserve"> </w:t>
      </w:r>
      <w:r w:rsidRPr="00FF1F5E">
        <w:rPr>
          <w:sz w:val="20"/>
          <w:szCs w:val="20"/>
        </w:rPr>
        <w:t xml:space="preserve">The current study examined the social representations of ‘tinnitus’ and ‘health’ among individuals with tinnitus who are seeking online psychological interventions. </w:t>
      </w:r>
      <w:r w:rsidRPr="00FF1F5E">
        <w:rPr>
          <w:b/>
          <w:sz w:val="20"/>
          <w:szCs w:val="20"/>
        </w:rPr>
        <w:t>Materials/Method:</w:t>
      </w:r>
      <w:r w:rsidRPr="00FF1F5E">
        <w:rPr>
          <w:sz w:val="20"/>
          <w:szCs w:val="20"/>
        </w:rPr>
        <w:t xml:space="preserve"> The data were gathered using a free association task about their “tinnitus” and “health” from 399 individuals with tinnitus.  The data were analyzed using both qualitative and quantitative analyses methods. </w:t>
      </w:r>
      <w:r w:rsidRPr="00FF1F5E">
        <w:rPr>
          <w:b/>
          <w:sz w:val="20"/>
          <w:szCs w:val="20"/>
        </w:rPr>
        <w:t xml:space="preserve">Results: </w:t>
      </w:r>
      <w:r w:rsidRPr="00FF1F5E">
        <w:rPr>
          <w:sz w:val="20"/>
          <w:szCs w:val="20"/>
        </w:rPr>
        <w:t xml:space="preserve">The responses resulted in 39 and 30 categories respectively, for </w:t>
      </w:r>
      <w:r w:rsidR="00FF1F5E">
        <w:rPr>
          <w:sz w:val="20"/>
          <w:szCs w:val="20"/>
        </w:rPr>
        <w:t>‘</w:t>
      </w:r>
      <w:r w:rsidRPr="00FF1F5E">
        <w:rPr>
          <w:sz w:val="20"/>
          <w:szCs w:val="20"/>
        </w:rPr>
        <w:t>tinnitus</w:t>
      </w:r>
      <w:r w:rsidR="00FF1F5E">
        <w:rPr>
          <w:sz w:val="20"/>
          <w:szCs w:val="20"/>
        </w:rPr>
        <w:t>’</w:t>
      </w:r>
      <w:r w:rsidRPr="00FF1F5E">
        <w:rPr>
          <w:sz w:val="20"/>
          <w:szCs w:val="20"/>
        </w:rPr>
        <w:t xml:space="preserve"> and </w:t>
      </w:r>
      <w:r w:rsidR="00FF1F5E">
        <w:rPr>
          <w:sz w:val="20"/>
          <w:szCs w:val="20"/>
        </w:rPr>
        <w:t>‘</w:t>
      </w:r>
      <w:r w:rsidRPr="00FF1F5E">
        <w:rPr>
          <w:sz w:val="20"/>
          <w:szCs w:val="20"/>
        </w:rPr>
        <w:t>health</w:t>
      </w:r>
      <w:r w:rsidR="00FF1F5E">
        <w:rPr>
          <w:sz w:val="20"/>
          <w:szCs w:val="20"/>
        </w:rPr>
        <w:t>’</w:t>
      </w:r>
      <w:r w:rsidRPr="00FF1F5E">
        <w:rPr>
          <w:sz w:val="20"/>
          <w:szCs w:val="20"/>
        </w:rPr>
        <w:t xml:space="preserve">. The most commonly occurring categories for tinnitus included: </w:t>
      </w:r>
      <w:r w:rsidRPr="00FF1F5E">
        <w:rPr>
          <w:i/>
          <w:iCs/>
          <w:sz w:val="20"/>
          <w:szCs w:val="20"/>
        </w:rPr>
        <w:t>descriptions of tinnitus</w:t>
      </w:r>
      <w:r w:rsidRPr="00FF1F5E">
        <w:rPr>
          <w:sz w:val="20"/>
          <w:szCs w:val="20"/>
        </w:rPr>
        <w:t xml:space="preserve"> (18%), </w:t>
      </w:r>
      <w:r w:rsidRPr="00FF1F5E">
        <w:rPr>
          <w:i/>
          <w:iCs/>
          <w:sz w:val="20"/>
          <w:szCs w:val="20"/>
        </w:rPr>
        <w:t>annoying</w:t>
      </w:r>
      <w:r w:rsidRPr="00FF1F5E">
        <w:rPr>
          <w:sz w:val="20"/>
          <w:szCs w:val="20"/>
        </w:rPr>
        <w:t xml:space="preserve"> (13.5%), </w:t>
      </w:r>
      <w:r w:rsidRPr="00FF1F5E">
        <w:rPr>
          <w:i/>
          <w:iCs/>
          <w:sz w:val="20"/>
          <w:szCs w:val="20"/>
        </w:rPr>
        <w:t>persistent</w:t>
      </w:r>
      <w:r w:rsidRPr="00FF1F5E">
        <w:rPr>
          <w:sz w:val="20"/>
          <w:szCs w:val="20"/>
        </w:rPr>
        <w:t xml:space="preserve"> (8%), and </w:t>
      </w:r>
      <w:r w:rsidRPr="00FF1F5E">
        <w:rPr>
          <w:i/>
          <w:iCs/>
          <w:sz w:val="20"/>
          <w:szCs w:val="20"/>
        </w:rPr>
        <w:t>distracting</w:t>
      </w:r>
      <w:r w:rsidRPr="00FF1F5E">
        <w:rPr>
          <w:sz w:val="20"/>
          <w:szCs w:val="20"/>
        </w:rPr>
        <w:t xml:space="preserve"> (5%). The most commonly occurring categories for health included: </w:t>
      </w:r>
      <w:r w:rsidRPr="00FF1F5E">
        <w:rPr>
          <w:i/>
          <w:iCs/>
          <w:sz w:val="20"/>
          <w:szCs w:val="20"/>
        </w:rPr>
        <w:t xml:space="preserve">content </w:t>
      </w:r>
      <w:r w:rsidRPr="00FF1F5E">
        <w:rPr>
          <w:sz w:val="20"/>
          <w:szCs w:val="20"/>
        </w:rPr>
        <w:t xml:space="preserve">(12%), </w:t>
      </w:r>
      <w:r w:rsidRPr="00FF1F5E">
        <w:rPr>
          <w:i/>
          <w:iCs/>
          <w:sz w:val="20"/>
          <w:szCs w:val="20"/>
        </w:rPr>
        <w:t xml:space="preserve">conditions </w:t>
      </w:r>
      <w:r w:rsidRPr="00FF1F5E">
        <w:rPr>
          <w:sz w:val="20"/>
          <w:szCs w:val="20"/>
        </w:rPr>
        <w:t xml:space="preserve">(8%), </w:t>
      </w:r>
      <w:r w:rsidRPr="00FF1F5E">
        <w:rPr>
          <w:i/>
          <w:iCs/>
          <w:sz w:val="20"/>
          <w:szCs w:val="20"/>
        </w:rPr>
        <w:t>active</w:t>
      </w:r>
      <w:r w:rsidRPr="00FF1F5E">
        <w:rPr>
          <w:sz w:val="20"/>
          <w:szCs w:val="20"/>
        </w:rPr>
        <w:t xml:space="preserve"> (7%), </w:t>
      </w:r>
      <w:r w:rsidRPr="00FF1F5E">
        <w:rPr>
          <w:i/>
          <w:iCs/>
          <w:sz w:val="20"/>
          <w:szCs w:val="20"/>
        </w:rPr>
        <w:t>take control</w:t>
      </w:r>
      <w:r w:rsidRPr="00FF1F5E">
        <w:rPr>
          <w:sz w:val="20"/>
          <w:szCs w:val="20"/>
        </w:rPr>
        <w:t xml:space="preserve"> (6%), and </w:t>
      </w:r>
      <w:r w:rsidRPr="00FF1F5E">
        <w:rPr>
          <w:i/>
          <w:iCs/>
          <w:sz w:val="20"/>
          <w:szCs w:val="20"/>
        </w:rPr>
        <w:t>overweight</w:t>
      </w:r>
      <w:r w:rsidRPr="00FF1F5E">
        <w:rPr>
          <w:sz w:val="20"/>
          <w:szCs w:val="20"/>
        </w:rPr>
        <w:t xml:space="preserve"> (5%). The responses to tinnitus had predominantly negative connotations (i.e., 76.9%) whereas a larger proportion of responses towards their health was related to positive connotations (i.e., 46.4%). These frequently occurring items were also dominant in similarities analysis. Prototypical analysis of tinnitus responses identified categories </w:t>
      </w:r>
      <w:r w:rsidRPr="00FF1F5E">
        <w:rPr>
          <w:i/>
          <w:iCs/>
          <w:sz w:val="20"/>
          <w:szCs w:val="20"/>
        </w:rPr>
        <w:t>horrible</w:t>
      </w:r>
      <w:r w:rsidRPr="00FF1F5E">
        <w:rPr>
          <w:sz w:val="20"/>
          <w:szCs w:val="20"/>
        </w:rPr>
        <w:t xml:space="preserve"> and </w:t>
      </w:r>
      <w:r w:rsidRPr="00FF1F5E">
        <w:rPr>
          <w:i/>
          <w:iCs/>
          <w:sz w:val="20"/>
          <w:szCs w:val="20"/>
        </w:rPr>
        <w:t>bothersome</w:t>
      </w:r>
      <w:r w:rsidRPr="00FF1F5E">
        <w:rPr>
          <w:sz w:val="20"/>
          <w:szCs w:val="20"/>
        </w:rPr>
        <w:t xml:space="preserve"> to be key items in the central zone. The categories in central zone of health responses included: </w:t>
      </w:r>
      <w:r w:rsidRPr="00FF1F5E">
        <w:rPr>
          <w:i/>
          <w:iCs/>
          <w:sz w:val="20"/>
          <w:szCs w:val="20"/>
        </w:rPr>
        <w:t>content</w:t>
      </w:r>
      <w:r w:rsidRPr="00FF1F5E">
        <w:rPr>
          <w:sz w:val="20"/>
          <w:szCs w:val="20"/>
        </w:rPr>
        <w:t xml:space="preserve">, </w:t>
      </w:r>
      <w:r w:rsidRPr="00FF1F5E">
        <w:rPr>
          <w:i/>
          <w:iCs/>
          <w:sz w:val="20"/>
          <w:szCs w:val="20"/>
        </w:rPr>
        <w:t>active</w:t>
      </w:r>
      <w:r w:rsidRPr="00FF1F5E">
        <w:rPr>
          <w:sz w:val="20"/>
          <w:szCs w:val="20"/>
        </w:rPr>
        <w:t xml:space="preserve">, </w:t>
      </w:r>
      <w:r w:rsidRPr="00FF1F5E">
        <w:rPr>
          <w:i/>
          <w:iCs/>
          <w:sz w:val="20"/>
          <w:szCs w:val="20"/>
        </w:rPr>
        <w:t>healthy</w:t>
      </w:r>
      <w:r w:rsidRPr="00FF1F5E">
        <w:rPr>
          <w:sz w:val="20"/>
          <w:szCs w:val="20"/>
        </w:rPr>
        <w:t xml:space="preserve">, </w:t>
      </w:r>
      <w:r w:rsidRPr="00FF1F5E">
        <w:rPr>
          <w:i/>
          <w:iCs/>
          <w:sz w:val="20"/>
          <w:szCs w:val="20"/>
        </w:rPr>
        <w:t>grateful,</w:t>
      </w:r>
      <w:r w:rsidRPr="00FF1F5E">
        <w:rPr>
          <w:sz w:val="20"/>
          <w:szCs w:val="20"/>
        </w:rPr>
        <w:t xml:space="preserve"> and </w:t>
      </w:r>
      <w:r w:rsidRPr="00FF1F5E">
        <w:rPr>
          <w:i/>
          <w:iCs/>
          <w:sz w:val="20"/>
          <w:szCs w:val="20"/>
        </w:rPr>
        <w:t>overweight</w:t>
      </w:r>
      <w:r w:rsidRPr="00FF1F5E">
        <w:rPr>
          <w:sz w:val="20"/>
          <w:szCs w:val="20"/>
        </w:rPr>
        <w:t xml:space="preserve">. </w:t>
      </w:r>
      <w:r w:rsidRPr="00FF1F5E">
        <w:rPr>
          <w:b/>
          <w:sz w:val="20"/>
          <w:szCs w:val="20"/>
        </w:rPr>
        <w:t xml:space="preserve">Conclusion: </w:t>
      </w:r>
      <w:r w:rsidR="00A64EFD" w:rsidRPr="00FF1F5E">
        <w:rPr>
          <w:bCs/>
          <w:sz w:val="20"/>
          <w:szCs w:val="20"/>
        </w:rPr>
        <w:t xml:space="preserve">Individuals with tinnitus have very negative view of their tinnitus impacting their psychological status. Tinnitus </w:t>
      </w:r>
      <w:r w:rsidRPr="00FF1F5E">
        <w:rPr>
          <w:bCs/>
          <w:sz w:val="20"/>
          <w:szCs w:val="20"/>
        </w:rPr>
        <w:t xml:space="preserve">management should focus on </w:t>
      </w:r>
      <w:r w:rsidR="00A64EFD" w:rsidRPr="00FF1F5E">
        <w:rPr>
          <w:bCs/>
          <w:sz w:val="20"/>
          <w:szCs w:val="20"/>
        </w:rPr>
        <w:t>reducing</w:t>
      </w:r>
      <w:r w:rsidRPr="00FF1F5E">
        <w:rPr>
          <w:bCs/>
          <w:sz w:val="20"/>
          <w:szCs w:val="20"/>
        </w:rPr>
        <w:t xml:space="preserve"> the negative associations towards their tinnitus and strengthen the positive aspects related to their general health. </w:t>
      </w:r>
    </w:p>
    <w:p w14:paraId="28EF51D7" w14:textId="77777777" w:rsidR="000F77EA" w:rsidRPr="00FF1F5E" w:rsidRDefault="00681B3C" w:rsidP="00681B3C">
      <w:pPr>
        <w:pStyle w:val="MDPI18keywords"/>
        <w:rPr>
          <w:sz w:val="20"/>
          <w:szCs w:val="20"/>
        </w:rPr>
      </w:pPr>
      <w:r w:rsidRPr="00FF1F5E">
        <w:rPr>
          <w:b/>
          <w:sz w:val="20"/>
          <w:szCs w:val="20"/>
        </w:rPr>
        <w:t xml:space="preserve">Keywords: </w:t>
      </w:r>
      <w:r w:rsidR="000F77EA" w:rsidRPr="00FF1F5E">
        <w:rPr>
          <w:sz w:val="20"/>
          <w:szCs w:val="20"/>
        </w:rPr>
        <w:t>Tinnitus</w:t>
      </w:r>
      <w:r w:rsidRPr="00FF1F5E">
        <w:rPr>
          <w:sz w:val="20"/>
          <w:szCs w:val="20"/>
        </w:rPr>
        <w:t xml:space="preserve">; </w:t>
      </w:r>
      <w:r w:rsidR="000F77EA" w:rsidRPr="00FF1F5E">
        <w:rPr>
          <w:sz w:val="20"/>
          <w:szCs w:val="20"/>
        </w:rPr>
        <w:t>Health</w:t>
      </w:r>
      <w:r w:rsidRPr="00FF1F5E">
        <w:rPr>
          <w:sz w:val="20"/>
          <w:szCs w:val="20"/>
        </w:rPr>
        <w:t xml:space="preserve">; </w:t>
      </w:r>
      <w:r w:rsidR="000F77EA" w:rsidRPr="00FF1F5E">
        <w:rPr>
          <w:sz w:val="20"/>
          <w:szCs w:val="20"/>
        </w:rPr>
        <w:t>Social representations</w:t>
      </w:r>
      <w:r w:rsidRPr="00FF1F5E">
        <w:rPr>
          <w:sz w:val="20"/>
          <w:szCs w:val="20"/>
        </w:rPr>
        <w:t xml:space="preserve">; </w:t>
      </w:r>
      <w:r w:rsidR="000F77EA" w:rsidRPr="00FF1F5E">
        <w:rPr>
          <w:sz w:val="20"/>
          <w:szCs w:val="20"/>
        </w:rPr>
        <w:t>Attitude</w:t>
      </w:r>
      <w:r w:rsidRPr="00FF1F5E">
        <w:rPr>
          <w:sz w:val="20"/>
          <w:szCs w:val="20"/>
        </w:rPr>
        <w:t xml:space="preserve">; </w:t>
      </w:r>
      <w:r w:rsidR="000F77EA" w:rsidRPr="00FF1F5E">
        <w:rPr>
          <w:sz w:val="20"/>
          <w:szCs w:val="20"/>
        </w:rPr>
        <w:t>Free association</w:t>
      </w:r>
    </w:p>
    <w:p w14:paraId="002360AD" w14:textId="77777777" w:rsidR="000F77EA" w:rsidRPr="00FF1F5E" w:rsidRDefault="000F77EA" w:rsidP="00681B3C">
      <w:pPr>
        <w:pStyle w:val="MDPI19line"/>
        <w:pBdr>
          <w:bottom w:val="single" w:sz="4" w:space="1" w:color="000000"/>
        </w:pBdr>
      </w:pPr>
    </w:p>
    <w:p w14:paraId="68408FD5" w14:textId="77777777" w:rsidR="000F77EA" w:rsidRPr="00FF1F5E" w:rsidRDefault="00681B3C" w:rsidP="00681B3C">
      <w:pPr>
        <w:pStyle w:val="MDPI21heading1"/>
      </w:pPr>
      <w:r w:rsidRPr="00FF1F5E">
        <w:t xml:space="preserve">1. </w:t>
      </w:r>
      <w:r w:rsidR="000F77EA" w:rsidRPr="00FF1F5E">
        <w:t>Introduction</w:t>
      </w:r>
    </w:p>
    <w:p w14:paraId="0FDAC70F" w14:textId="77777777" w:rsidR="000F77EA" w:rsidRPr="00FF1F5E" w:rsidRDefault="000F77EA" w:rsidP="00681B3C">
      <w:pPr>
        <w:pStyle w:val="MDPI31text"/>
      </w:pPr>
      <w:r w:rsidRPr="00FF1F5E">
        <w:lastRenderedPageBreak/>
        <w:t>Tinnitus is a common condition and is experienced by 10-15% of the adult population, although only a small percentage (roughly 2%) are severely annoyed by this condition (</w:t>
      </w:r>
      <w:proofErr w:type="spellStart"/>
      <w:r w:rsidRPr="00FF1F5E">
        <w:rPr>
          <w:color w:val="212121"/>
          <w:shd w:val="clear" w:color="auto" w:fill="FFFFFF"/>
        </w:rPr>
        <w:t>Shargorodsky</w:t>
      </w:r>
      <w:proofErr w:type="spellEnd"/>
      <w:r w:rsidRPr="00FF1F5E">
        <w:rPr>
          <w:color w:val="212121"/>
          <w:shd w:val="clear" w:color="auto" w:fill="FFFFFF"/>
        </w:rPr>
        <w:t>, et al., 2010</w:t>
      </w:r>
      <w:r w:rsidRPr="00FF1F5E">
        <w:t>). While various factors including pathophysiological aspects may contribute to the experience, it is still unclear why some people state that tinnitus does not interfere with everyday life whereas others find it extremely debilitating (</w:t>
      </w:r>
      <w:proofErr w:type="spellStart"/>
      <w:r w:rsidRPr="00FF1F5E">
        <w:t>Baguely</w:t>
      </w:r>
      <w:proofErr w:type="spellEnd"/>
      <w:r w:rsidRPr="00FF1F5E">
        <w:t xml:space="preserve"> et al., 2013a; Beukes et al., 2021a, 2021b). One possible explanation for this comes from the psychological model of tinnitus which suggests that cognitive factors to play a crucial role in tinnitus experiences (Andersson et al., 2016). Moreover, that tinnitus should be viewed as a multidimensional symptom which can only be understood fully from the biopsychosocial perspective (Manchaiah et al., 2018a). For these reasons, all theories including biological underpinnings, psychological mechanisms as well as social aspects need to be examined to better understand the tinnitus experience (</w:t>
      </w:r>
      <w:proofErr w:type="spellStart"/>
      <w:r w:rsidRPr="00FF1F5E">
        <w:t>Baugley</w:t>
      </w:r>
      <w:proofErr w:type="spellEnd"/>
      <w:r w:rsidRPr="00FF1F5E">
        <w:t xml:space="preserve"> et al., 2013b; Beukes et al., 2021a, 2021b). </w:t>
      </w:r>
    </w:p>
    <w:p w14:paraId="67939C01" w14:textId="77777777" w:rsidR="00647511" w:rsidRPr="00FF1F5E" w:rsidRDefault="000F77EA" w:rsidP="00681B3C">
      <w:pPr>
        <w:pStyle w:val="MDPI31text"/>
      </w:pPr>
      <w:r w:rsidRPr="00FF1F5E">
        <w:t>In clinical settings, questioning about tinnitus experiences almost always carry a negative connotation. For example, clinicians may ask their tinnitus patients to make a list of difficulties or life changes they have experienced because of their tinnitus (</w:t>
      </w:r>
      <w:proofErr w:type="spellStart"/>
      <w:r w:rsidRPr="00FF1F5E">
        <w:t>Mancheiah</w:t>
      </w:r>
      <w:proofErr w:type="spellEnd"/>
      <w:r w:rsidRPr="00FF1F5E">
        <w:t xml:space="preserve"> et al., 2018a). Naturally, such questions generally produce negative responses due to the resulting difficulties related to bothered tinnitus. However, in some studies individuals with tinnitus have also reported positive experiences </w:t>
      </w:r>
      <w:proofErr w:type="gramStart"/>
      <w:r w:rsidRPr="00FF1F5E">
        <w:t>as a result of</w:t>
      </w:r>
      <w:proofErr w:type="gramEnd"/>
      <w:r w:rsidRPr="00FF1F5E">
        <w:t xml:space="preserve"> their tinnitus when probed specifically about these (Beukes et al., 2018</w:t>
      </w:r>
      <w:r w:rsidR="00647511" w:rsidRPr="00FF1F5E">
        <w:t xml:space="preserve">; </w:t>
      </w:r>
      <w:r w:rsidR="00647511" w:rsidRPr="00FF1F5E">
        <w:rPr>
          <w:szCs w:val="20"/>
        </w:rPr>
        <w:t>Loughlin et al., 2023</w:t>
      </w:r>
      <w:r w:rsidRPr="00FF1F5E">
        <w:t xml:space="preserve">). Such reports of positive experiences are not unique to tinnitus as a condition but can be seen in various chronic conditions including cancer, hearing loss and balance problems (Manchaiah et al., 2015a). These findings demonstrate that a broader theoretical framework is needed to examine the wider consequences of tinnitus without prompting them towards either positive or negative experiences. </w:t>
      </w:r>
    </w:p>
    <w:p w14:paraId="571342CB" w14:textId="2CA78A96" w:rsidR="000F77EA" w:rsidRPr="00FF1F5E" w:rsidRDefault="00647511" w:rsidP="00C44008">
      <w:pPr>
        <w:pStyle w:val="MDPI31text"/>
      </w:pPr>
      <w:r w:rsidRPr="00FF1F5E">
        <w:t>There are various health behavior theories such as Health Belief Model or Theory of Reasoned Action which examines which provide understanding of a health condition from an individual level (</w:t>
      </w:r>
      <w:proofErr w:type="spellStart"/>
      <w:r w:rsidR="00C44008" w:rsidRPr="00FF1F5E">
        <w:t>Beyera</w:t>
      </w:r>
      <w:proofErr w:type="spellEnd"/>
      <w:r w:rsidR="00C44008" w:rsidRPr="00FF1F5E">
        <w:t xml:space="preserve"> et al., 2022</w:t>
      </w:r>
      <w:r w:rsidRPr="00FF1F5E">
        <w:t xml:space="preserve">). However, in recent years the </w:t>
      </w:r>
      <w:r w:rsidR="000F77EA" w:rsidRPr="00FF1F5E">
        <w:t xml:space="preserve">Social Representations Theory (SRT) </w:t>
      </w:r>
      <w:r w:rsidRPr="00FF1F5E">
        <w:t xml:space="preserve">has become more popular in disability studies </w:t>
      </w:r>
      <w:r w:rsidR="00C44008" w:rsidRPr="00FF1F5E">
        <w:t>to get an understanding of a health condition from a social or a collective level (Manchaiah et al., 2019). Moreover, the methodology used in SRT tend to examine the issue in question in a more neutral way</w:t>
      </w:r>
      <w:r w:rsidR="000F77EA" w:rsidRPr="00FF1F5E">
        <w:t xml:space="preserve"> (Wagner, 2020). </w:t>
      </w:r>
      <w:r w:rsidR="00C44008" w:rsidRPr="00FF1F5E">
        <w:t xml:space="preserve">For example, </w:t>
      </w:r>
      <w:r w:rsidR="00A34E6C" w:rsidRPr="00FF1F5E">
        <w:t xml:space="preserve">often the participants are asked to report what comes to mind when they think about a phenomenon (e.g., a health condition). Such a spontaneous response without providing any cue is likely to provide a better understanding of shared ideas and values people have within the sociocultural context (Manchaiah et al., 2019). Hence, SRT could help better understand how individuals with tinnitus think about their condition in a more neutral way.    </w:t>
      </w:r>
    </w:p>
    <w:p w14:paraId="18F6565E" w14:textId="77777777" w:rsidR="000F77EA" w:rsidRPr="00FF1F5E" w:rsidRDefault="000F77EA" w:rsidP="00681B3C">
      <w:pPr>
        <w:pStyle w:val="MDPI31text"/>
      </w:pPr>
      <w:r w:rsidRPr="00FF1F5E">
        <w:t>The concept of SRT was formulated by Serge Moscovici in 1961 who described “social representations” as “social psychological approach articulating individual thinking and feeling with collective interaction and communication” (Wagner, 2020). Social representations are formed during our daily interactions and communications, and they define how we interact with each other.  The name ‘social’ indicates that representations created are social and accommodate multifactorial factors including cultural, economic, political, and religious beliefs (Moscovici, 1988). The key difference between this and the psychological theories is that the SRT tends to provide an understanding of collective thinking, whereas the psychological theories often target the attitude of the individual.  For this reason, the SRT is seen as an alternative theoretical framework in understanding health and disability and has been increasingly used in disability literature (Manchaiah et al., 2019). Although SRT has been subjected to its critiques due to its broad nature as well as for not having a hypothesis driven approach (</w:t>
      </w:r>
      <w:proofErr w:type="spellStart"/>
      <w:r w:rsidRPr="00FF1F5E">
        <w:t>Voelklein</w:t>
      </w:r>
      <w:proofErr w:type="spellEnd"/>
      <w:r w:rsidRPr="00FF1F5E">
        <w:t xml:space="preserve"> &amp; Howarth, 2005), we believe that there is value in applying SRT to examine various chronic conditions such as tinnitus to get a multidimensional understanding. </w:t>
      </w:r>
    </w:p>
    <w:p w14:paraId="3D5C07D9" w14:textId="6F4D10BA" w:rsidR="000F77EA" w:rsidRPr="00FF1F5E" w:rsidRDefault="000F77EA" w:rsidP="00681B3C">
      <w:pPr>
        <w:pStyle w:val="MDPI31text"/>
      </w:pPr>
      <w:r w:rsidRPr="00FF1F5E">
        <w:t xml:space="preserve">The current exploratory study was aimed at understanding the social representations of </w:t>
      </w:r>
      <w:r w:rsidR="00FF1F5E">
        <w:t>‘</w:t>
      </w:r>
      <w:r w:rsidRPr="00FF1F5E">
        <w:t xml:space="preserve">tinnitus’ and ‘health’ in individuals with tinnitus who are seeking online psychological </w:t>
      </w:r>
      <w:r w:rsidRPr="00FF1F5E">
        <w:lastRenderedPageBreak/>
        <w:t xml:space="preserve">treatment. This group are often those who are bothered by their tinnitus and are looking for clinical management. For this reason, their perspectives may be more important when planning rehabilitation. In addition, in this study we included the exploration about their general health in addition to their tinnitus to see if there is any relation between these two concepts of interest. </w:t>
      </w:r>
    </w:p>
    <w:p w14:paraId="0EA5F66A" w14:textId="77777777" w:rsidR="000F77EA" w:rsidRPr="00FF1F5E" w:rsidRDefault="00681B3C" w:rsidP="00681B3C">
      <w:pPr>
        <w:pStyle w:val="MDPI21heading1"/>
      </w:pPr>
      <w:r w:rsidRPr="00FF1F5E">
        <w:t xml:space="preserve">2. </w:t>
      </w:r>
      <w:r w:rsidR="000F77EA" w:rsidRPr="00FF1F5E">
        <w:t>Method</w:t>
      </w:r>
    </w:p>
    <w:p w14:paraId="0FEAE72D" w14:textId="77777777" w:rsidR="000F77EA" w:rsidRPr="00FF1F5E" w:rsidRDefault="00681B3C" w:rsidP="00681B3C">
      <w:pPr>
        <w:pStyle w:val="MDPI22heading2"/>
      </w:pPr>
      <w:r w:rsidRPr="00FF1F5E">
        <w:t xml:space="preserve">2.1. </w:t>
      </w:r>
      <w:r w:rsidR="000F77EA" w:rsidRPr="00FF1F5E">
        <w:t>Study Design and Ethical Considerations</w:t>
      </w:r>
    </w:p>
    <w:p w14:paraId="41B35255" w14:textId="77777777" w:rsidR="000F77EA" w:rsidRPr="00FF1F5E" w:rsidRDefault="000F77EA" w:rsidP="00681B3C">
      <w:pPr>
        <w:pStyle w:val="MDPI31text"/>
      </w:pPr>
      <w:r w:rsidRPr="00FF1F5E">
        <w:t xml:space="preserve">The current study used an exploratory cross-sectional survey design. Individuals with tinnitus who were seeking online psychological treatment (i.e., internet-based cognitive behavioral therapy for tinnitus; ICBT) by registering to three separate clinical trials (Clinical Trials.gov registration numbers </w:t>
      </w:r>
      <w:r w:rsidRPr="00FF1F5E">
        <w:rPr>
          <w:shd w:val="clear" w:color="auto" w:fill="FFFFFF"/>
        </w:rPr>
        <w:t>NCT04004260, NCT04335812</w:t>
      </w:r>
      <w:r w:rsidRPr="00FF1F5E">
        <w:t xml:space="preserve">) were included (Beukes et al., 2021c; 2021d, 2021e). Ethical approval (IRB-FY17-209 and IRB-FY20-200-1) was obtained from the Institutional Review Board at Lamar University, Beaumont, Texas, United States.  </w:t>
      </w:r>
    </w:p>
    <w:p w14:paraId="176A6E6F" w14:textId="77777777" w:rsidR="000F77EA" w:rsidRPr="00FF1F5E" w:rsidRDefault="00681B3C" w:rsidP="00681B3C">
      <w:pPr>
        <w:pStyle w:val="MDPI22heading2"/>
        <w:spacing w:before="240"/>
      </w:pPr>
      <w:r w:rsidRPr="00FF1F5E">
        <w:t xml:space="preserve">2.2. </w:t>
      </w:r>
      <w:r w:rsidR="000F77EA" w:rsidRPr="00FF1F5E">
        <w:t>Data Collection</w:t>
      </w:r>
    </w:p>
    <w:p w14:paraId="691B4CD9" w14:textId="77777777" w:rsidR="000F77EA" w:rsidRPr="00FF1F5E" w:rsidRDefault="000F77EA" w:rsidP="00681B3C">
      <w:pPr>
        <w:pStyle w:val="MDPI31text"/>
      </w:pPr>
      <w:r w:rsidRPr="00FF1F5E">
        <w:t xml:space="preserve">The data were gathered pre-intervention using a secure platform for online questionnaires consisting of demographic and tinnitus related questions, standardized patient-reported outcome measures (PROMs), and response to free association tasks. </w:t>
      </w:r>
    </w:p>
    <w:p w14:paraId="57600755" w14:textId="0936AB7A" w:rsidR="000F77EA" w:rsidRPr="00FF1F5E" w:rsidRDefault="000F77EA" w:rsidP="00681B3C">
      <w:pPr>
        <w:pStyle w:val="MDPI31text"/>
      </w:pPr>
      <w:r w:rsidRPr="00FF1F5E">
        <w:t xml:space="preserve">The standardized PROMs included Tinnitus Functional Index (TFI; </w:t>
      </w:r>
      <w:r w:rsidRPr="00FF1F5E">
        <w:rPr>
          <w:color w:val="212121"/>
          <w:shd w:val="clear" w:color="auto" w:fill="FFFFFF"/>
        </w:rPr>
        <w:t>Meikle et al., 2012</w:t>
      </w:r>
      <w:r w:rsidRPr="00FF1F5E">
        <w:t xml:space="preserve">) as a measure of tinnitus distress, Generalized Anxiety Disorder – 7 (GAD7; Spitzer et al., 2006) as a measure of anxiety, Patient Health Questionnaire – 9 (PHQ-9; </w:t>
      </w:r>
      <w:r w:rsidRPr="00FF1F5E">
        <w:rPr>
          <w:color w:val="303030"/>
          <w:shd w:val="clear" w:color="auto" w:fill="FFFFFF"/>
        </w:rPr>
        <w:t>Kroenke et al., 2011</w:t>
      </w:r>
      <w:r w:rsidRPr="00FF1F5E">
        <w:t xml:space="preserve">) as a measure of depression, Insomnia Severity Index (ISI; </w:t>
      </w:r>
      <w:r w:rsidRPr="00FF1F5E">
        <w:rPr>
          <w:color w:val="212121"/>
          <w:shd w:val="clear" w:color="auto" w:fill="FFFFFF"/>
        </w:rPr>
        <w:t xml:space="preserve">Bastien et al., 2001) as a measure of insomnia, and the EQ-5D-5L VAS scale (Rabin &amp; de Charro, 2001) as a measure of general health-related quality of life. In addition, participants were asked to provide answers to a free association task about tinnitus and health. In this task, participants were prompted to come up with 5 words or phrases that spontaneously come to mind when they thought about their tinnitus and to write them in the order or importance (i.e., most important being the first word/phrase and the least important being the fifth word/phrase). In the next step, they were asked to consider each of the words or phrases they came up with and indicate if it had positive, neutral, or negative connotations. The same task was repeated when they thought about their health as the object of interest. The free association task </w:t>
      </w:r>
      <w:r w:rsidR="00D75BC2" w:rsidRPr="00FF1F5E">
        <w:rPr>
          <w:color w:val="212121"/>
          <w:shd w:val="clear" w:color="auto" w:fill="FFFFFF"/>
        </w:rPr>
        <w:t xml:space="preserve">described above </w:t>
      </w:r>
      <w:r w:rsidRPr="00FF1F5E">
        <w:rPr>
          <w:color w:val="212121"/>
          <w:shd w:val="clear" w:color="auto" w:fill="FFFFFF"/>
        </w:rPr>
        <w:t xml:space="preserve">has been commonly used in gathering data for social representation studies especially </w:t>
      </w:r>
      <w:proofErr w:type="gramStart"/>
      <w:r w:rsidRPr="00FF1F5E">
        <w:rPr>
          <w:color w:val="212121"/>
          <w:shd w:val="clear" w:color="auto" w:fill="FFFFFF"/>
        </w:rPr>
        <w:t>in the area of</w:t>
      </w:r>
      <w:proofErr w:type="gramEnd"/>
      <w:r w:rsidRPr="00FF1F5E">
        <w:rPr>
          <w:color w:val="212121"/>
          <w:shd w:val="clear" w:color="auto" w:fill="FFFFFF"/>
        </w:rPr>
        <w:t xml:space="preserve"> health and disability (</w:t>
      </w:r>
      <w:proofErr w:type="spellStart"/>
      <w:r w:rsidRPr="00FF1F5E">
        <w:rPr>
          <w:color w:val="212121"/>
          <w:shd w:val="clear" w:color="auto" w:fill="FFFFFF"/>
        </w:rPr>
        <w:t>Chundu</w:t>
      </w:r>
      <w:proofErr w:type="spellEnd"/>
      <w:r w:rsidRPr="00FF1F5E">
        <w:rPr>
          <w:color w:val="212121"/>
          <w:shd w:val="clear" w:color="auto" w:fill="FFFFFF"/>
        </w:rPr>
        <w:t xml:space="preserve"> et al., 2020, 2021; </w:t>
      </w:r>
      <w:proofErr w:type="spellStart"/>
      <w:r w:rsidRPr="00FF1F5E">
        <w:rPr>
          <w:color w:val="212121"/>
          <w:shd w:val="clear" w:color="auto" w:fill="FFFFFF"/>
        </w:rPr>
        <w:t>Danermark</w:t>
      </w:r>
      <w:proofErr w:type="spellEnd"/>
      <w:r w:rsidRPr="00FF1F5E">
        <w:rPr>
          <w:color w:val="212121"/>
          <w:shd w:val="clear" w:color="auto" w:fill="FFFFFF"/>
        </w:rPr>
        <w:t xml:space="preserve"> et al., 2014; Manchaiah et al., 2015b, 2015c, 2017a, 2017b, 2019). Due to the spontaneous nature of th</w:t>
      </w:r>
      <w:r w:rsidR="005144D8" w:rsidRPr="00FF1F5E">
        <w:rPr>
          <w:color w:val="212121"/>
          <w:shd w:val="clear" w:color="auto" w:fill="FFFFFF"/>
        </w:rPr>
        <w:t>e free association</w:t>
      </w:r>
      <w:r w:rsidRPr="00FF1F5E">
        <w:rPr>
          <w:color w:val="212121"/>
          <w:shd w:val="clear" w:color="auto" w:fill="FFFFFF"/>
        </w:rPr>
        <w:t xml:space="preserve"> task, it is suggested that this will </w:t>
      </w:r>
      <w:r w:rsidRPr="00FF1F5E">
        <w:rPr>
          <w:shd w:val="clear" w:color="auto" w:fill="FFFFFF"/>
        </w:rPr>
        <w:t>help tap into the sematic universe of participants and minimize social desirability bias (</w:t>
      </w:r>
      <w:proofErr w:type="spellStart"/>
      <w:r w:rsidRPr="00FF1F5E">
        <w:t>Hovardas</w:t>
      </w:r>
      <w:proofErr w:type="spellEnd"/>
      <w:r w:rsidRPr="00FF1F5E">
        <w:t xml:space="preserve"> &amp; </w:t>
      </w:r>
      <w:proofErr w:type="spellStart"/>
      <w:r w:rsidRPr="00FF1F5E">
        <w:t>Korfiatis</w:t>
      </w:r>
      <w:proofErr w:type="spellEnd"/>
      <w:r w:rsidRPr="00FF1F5E">
        <w:t>, 2006).</w:t>
      </w:r>
    </w:p>
    <w:p w14:paraId="1A06344E" w14:textId="77777777" w:rsidR="000F77EA" w:rsidRPr="00FF1F5E" w:rsidRDefault="00681B3C" w:rsidP="00681B3C">
      <w:pPr>
        <w:pStyle w:val="MDPI22heading2"/>
        <w:spacing w:before="240"/>
      </w:pPr>
      <w:r w:rsidRPr="00FF1F5E">
        <w:t xml:space="preserve">2.3. </w:t>
      </w:r>
      <w:r w:rsidR="000F77EA" w:rsidRPr="00FF1F5E">
        <w:t>Participants</w:t>
      </w:r>
    </w:p>
    <w:p w14:paraId="7B114171" w14:textId="77777777" w:rsidR="000F77EA" w:rsidRPr="00FF1F5E" w:rsidRDefault="000F77EA" w:rsidP="00681B3C">
      <w:pPr>
        <w:pStyle w:val="MDPI31text"/>
      </w:pPr>
      <w:r w:rsidRPr="00FF1F5E">
        <w:t>Of the 440 people who initiated the registration for ICBT clinical trials, 41 did not complete the questionnaire relevant to this study and were excluded; the remaining 399 participants were included. The demographic and clinical variables are shown in Table 1. The participants were well balance for gender with 52% being female (Table 1). Their mean age was 55 years, and they had an average duration of tinnitus of 12 years. The majority were educated with a college or a university degree (89%</w:t>
      </w:r>
      <w:proofErr w:type="gramStart"/>
      <w:r w:rsidRPr="00FF1F5E">
        <w:t>), and</w:t>
      </w:r>
      <w:proofErr w:type="gramEnd"/>
      <w:r w:rsidRPr="00FF1F5E">
        <w:t xml:space="preserve"> performed skilled or professional work (61%). The level of tinnitus distress indicated severe tinnitus indicating the need for a tinnitus intervention. </w:t>
      </w:r>
    </w:p>
    <w:p w14:paraId="6008733A" w14:textId="77777777" w:rsidR="000F77EA" w:rsidRPr="00FF1F5E" w:rsidRDefault="00681B3C" w:rsidP="00681B3C">
      <w:pPr>
        <w:pStyle w:val="MDPI41tablecaption"/>
      </w:pPr>
      <w:r w:rsidRPr="00FF1F5E">
        <w:rPr>
          <w:b/>
        </w:rPr>
        <w:t xml:space="preserve">Table 1. </w:t>
      </w:r>
      <w:r w:rsidR="000F77EA" w:rsidRPr="00FF1F5E">
        <w:t>Demographic details (n=399)</w:t>
      </w:r>
      <w:r w:rsidRPr="00FF1F5E">
        <w:t>.</w:t>
      </w:r>
    </w:p>
    <w:tbl>
      <w:tblPr>
        <w:tblW w:w="7857" w:type="dxa"/>
        <w:tblInd w:w="2608" w:type="dxa"/>
        <w:tblBorders>
          <w:top w:val="single" w:sz="8" w:space="0" w:color="auto"/>
          <w:bottom w:val="single" w:sz="8" w:space="0" w:color="auto"/>
          <w:insideH w:val="single" w:sz="4" w:space="0" w:color="000000"/>
        </w:tblBorders>
        <w:tblLayout w:type="fixed"/>
        <w:tblCellMar>
          <w:left w:w="0" w:type="dxa"/>
          <w:right w:w="0" w:type="dxa"/>
        </w:tblCellMar>
        <w:tblLook w:val="0000" w:firstRow="0" w:lastRow="0" w:firstColumn="0" w:lastColumn="0" w:noHBand="0" w:noVBand="0"/>
      </w:tblPr>
      <w:tblGrid>
        <w:gridCol w:w="2619"/>
        <w:gridCol w:w="2619"/>
        <w:gridCol w:w="2619"/>
      </w:tblGrid>
      <w:tr w:rsidR="00681B3C" w:rsidRPr="00FF1F5E" w14:paraId="15D049BA" w14:textId="77777777" w:rsidTr="00681B3C">
        <w:tc>
          <w:tcPr>
            <w:tcW w:w="20" w:type="dxa"/>
            <w:tcBorders>
              <w:top w:val="single" w:sz="8" w:space="0" w:color="auto"/>
              <w:bottom w:val="single" w:sz="4" w:space="0" w:color="000000"/>
            </w:tcBorders>
            <w:shd w:val="clear" w:color="auto" w:fill="auto"/>
            <w:vAlign w:val="center"/>
          </w:tcPr>
          <w:p w14:paraId="3F39568E" w14:textId="77777777" w:rsidR="000F77EA" w:rsidRPr="00FF1F5E" w:rsidRDefault="000F77EA" w:rsidP="00681B3C">
            <w:pPr>
              <w:autoSpaceDE w:val="0"/>
              <w:autoSpaceDN w:val="0"/>
              <w:adjustRightInd w:val="0"/>
              <w:snapToGrid w:val="0"/>
              <w:spacing w:line="240" w:lineRule="auto"/>
              <w:jc w:val="center"/>
              <w:rPr>
                <w:b/>
                <w:noProof w:val="0"/>
              </w:rPr>
            </w:pPr>
            <w:r w:rsidRPr="00FF1F5E">
              <w:rPr>
                <w:b/>
                <w:noProof w:val="0"/>
              </w:rPr>
              <w:t>Variable</w:t>
            </w:r>
          </w:p>
        </w:tc>
        <w:tc>
          <w:tcPr>
            <w:tcW w:w="20" w:type="dxa"/>
            <w:tcBorders>
              <w:top w:val="single" w:sz="8" w:space="0" w:color="auto"/>
              <w:bottom w:val="single" w:sz="4" w:space="0" w:color="000000"/>
            </w:tcBorders>
            <w:shd w:val="clear" w:color="auto" w:fill="auto"/>
            <w:vAlign w:val="center"/>
          </w:tcPr>
          <w:p w14:paraId="15BA614D" w14:textId="77777777" w:rsidR="000F77EA" w:rsidRPr="00FF1F5E" w:rsidRDefault="000F77EA" w:rsidP="00681B3C">
            <w:pPr>
              <w:autoSpaceDE w:val="0"/>
              <w:autoSpaceDN w:val="0"/>
              <w:adjustRightInd w:val="0"/>
              <w:snapToGrid w:val="0"/>
              <w:spacing w:line="240" w:lineRule="auto"/>
              <w:jc w:val="center"/>
              <w:rPr>
                <w:b/>
                <w:noProof w:val="0"/>
              </w:rPr>
            </w:pPr>
            <w:r w:rsidRPr="00FF1F5E">
              <w:rPr>
                <w:b/>
                <w:noProof w:val="0"/>
              </w:rPr>
              <w:t>N (%)</w:t>
            </w:r>
          </w:p>
        </w:tc>
        <w:tc>
          <w:tcPr>
            <w:tcW w:w="20" w:type="dxa"/>
            <w:tcBorders>
              <w:top w:val="single" w:sz="8" w:space="0" w:color="auto"/>
              <w:bottom w:val="single" w:sz="4" w:space="0" w:color="000000"/>
            </w:tcBorders>
            <w:shd w:val="clear" w:color="auto" w:fill="auto"/>
            <w:vAlign w:val="center"/>
          </w:tcPr>
          <w:p w14:paraId="2A33870A" w14:textId="77777777" w:rsidR="000F77EA" w:rsidRPr="00FF1F5E" w:rsidRDefault="000F77EA" w:rsidP="00681B3C">
            <w:pPr>
              <w:autoSpaceDE w:val="0"/>
              <w:autoSpaceDN w:val="0"/>
              <w:adjustRightInd w:val="0"/>
              <w:snapToGrid w:val="0"/>
              <w:spacing w:line="240" w:lineRule="auto"/>
              <w:jc w:val="center"/>
              <w:rPr>
                <w:b/>
                <w:noProof w:val="0"/>
              </w:rPr>
            </w:pPr>
            <w:r w:rsidRPr="00FF1F5E">
              <w:rPr>
                <w:b/>
                <w:noProof w:val="0"/>
              </w:rPr>
              <w:t>Mean (SD); Range</w:t>
            </w:r>
          </w:p>
        </w:tc>
      </w:tr>
      <w:tr w:rsidR="00681B3C" w:rsidRPr="00FF1F5E" w14:paraId="2D36ADC1" w14:textId="77777777" w:rsidTr="00681B3C">
        <w:tc>
          <w:tcPr>
            <w:tcW w:w="20" w:type="dxa"/>
            <w:tcBorders>
              <w:top w:val="single" w:sz="4" w:space="0" w:color="000000"/>
            </w:tcBorders>
            <w:shd w:val="clear" w:color="auto" w:fill="auto"/>
            <w:vAlign w:val="center"/>
          </w:tcPr>
          <w:p w14:paraId="72A915CC"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lastRenderedPageBreak/>
              <w:t>Age (in years)</w:t>
            </w:r>
          </w:p>
        </w:tc>
        <w:tc>
          <w:tcPr>
            <w:tcW w:w="20" w:type="dxa"/>
            <w:tcBorders>
              <w:top w:val="single" w:sz="4" w:space="0" w:color="000000"/>
            </w:tcBorders>
            <w:shd w:val="clear" w:color="auto" w:fill="auto"/>
            <w:vAlign w:val="center"/>
          </w:tcPr>
          <w:p w14:paraId="5BB619E9" w14:textId="77777777" w:rsidR="000F77EA" w:rsidRPr="00FF1F5E" w:rsidRDefault="000F77EA" w:rsidP="00681B3C">
            <w:pPr>
              <w:autoSpaceDE w:val="0"/>
              <w:autoSpaceDN w:val="0"/>
              <w:adjustRightInd w:val="0"/>
              <w:snapToGrid w:val="0"/>
              <w:spacing w:line="240" w:lineRule="auto"/>
              <w:jc w:val="center"/>
              <w:rPr>
                <w:bCs/>
                <w:noProof w:val="0"/>
              </w:rPr>
            </w:pPr>
          </w:p>
        </w:tc>
        <w:tc>
          <w:tcPr>
            <w:tcW w:w="20" w:type="dxa"/>
            <w:tcBorders>
              <w:top w:val="single" w:sz="4" w:space="0" w:color="000000"/>
            </w:tcBorders>
            <w:shd w:val="clear" w:color="auto" w:fill="auto"/>
            <w:vAlign w:val="center"/>
          </w:tcPr>
          <w:p w14:paraId="740CE193"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54.8 (12.9); 19 to 84</w:t>
            </w:r>
          </w:p>
        </w:tc>
      </w:tr>
      <w:tr w:rsidR="00681B3C" w:rsidRPr="00FF1F5E" w14:paraId="41B3C36A" w14:textId="77777777" w:rsidTr="00681B3C">
        <w:tc>
          <w:tcPr>
            <w:tcW w:w="20" w:type="dxa"/>
            <w:shd w:val="clear" w:color="auto" w:fill="auto"/>
            <w:vAlign w:val="center"/>
          </w:tcPr>
          <w:p w14:paraId="25B48794"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Gender</w:t>
            </w:r>
          </w:p>
          <w:p w14:paraId="19C1F0AA" w14:textId="77777777" w:rsidR="000F77EA" w:rsidRPr="00FF1F5E" w:rsidRDefault="000F77EA" w:rsidP="00681B3C">
            <w:pPr>
              <w:numPr>
                <w:ilvl w:val="0"/>
                <w:numId w:val="31"/>
              </w:numPr>
              <w:autoSpaceDE w:val="0"/>
              <w:autoSpaceDN w:val="0"/>
              <w:adjustRightInd w:val="0"/>
              <w:snapToGrid w:val="0"/>
              <w:spacing w:line="240" w:lineRule="auto"/>
              <w:ind w:left="0" w:firstLine="0"/>
              <w:jc w:val="center"/>
              <w:rPr>
                <w:noProof w:val="0"/>
              </w:rPr>
            </w:pPr>
            <w:r w:rsidRPr="00FF1F5E">
              <w:rPr>
                <w:bCs/>
                <w:noProof w:val="0"/>
              </w:rPr>
              <w:t>Female</w:t>
            </w:r>
          </w:p>
          <w:p w14:paraId="403A7091" w14:textId="77777777" w:rsidR="000F77EA" w:rsidRPr="00FF1F5E" w:rsidRDefault="000F77EA" w:rsidP="00681B3C">
            <w:pPr>
              <w:numPr>
                <w:ilvl w:val="0"/>
                <w:numId w:val="31"/>
              </w:numPr>
              <w:autoSpaceDE w:val="0"/>
              <w:autoSpaceDN w:val="0"/>
              <w:adjustRightInd w:val="0"/>
              <w:snapToGrid w:val="0"/>
              <w:spacing w:line="240" w:lineRule="auto"/>
              <w:ind w:left="0" w:firstLine="0"/>
              <w:jc w:val="center"/>
              <w:rPr>
                <w:noProof w:val="0"/>
              </w:rPr>
            </w:pPr>
            <w:r w:rsidRPr="00FF1F5E">
              <w:rPr>
                <w:bCs/>
                <w:noProof w:val="0"/>
              </w:rPr>
              <w:t>Male</w:t>
            </w:r>
          </w:p>
        </w:tc>
        <w:tc>
          <w:tcPr>
            <w:tcW w:w="20" w:type="dxa"/>
            <w:shd w:val="clear" w:color="auto" w:fill="auto"/>
            <w:vAlign w:val="center"/>
          </w:tcPr>
          <w:p w14:paraId="1CFD371B" w14:textId="77777777" w:rsidR="000F77EA" w:rsidRPr="00FF1F5E" w:rsidRDefault="000F77EA" w:rsidP="00681B3C">
            <w:pPr>
              <w:autoSpaceDE w:val="0"/>
              <w:autoSpaceDN w:val="0"/>
              <w:adjustRightInd w:val="0"/>
              <w:snapToGrid w:val="0"/>
              <w:spacing w:line="240" w:lineRule="auto"/>
              <w:jc w:val="center"/>
              <w:rPr>
                <w:bCs/>
                <w:noProof w:val="0"/>
              </w:rPr>
            </w:pPr>
          </w:p>
          <w:p w14:paraId="3937C4C6"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208 (52.1%)</w:t>
            </w:r>
          </w:p>
          <w:p w14:paraId="2B84C216"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191 (47.9%)</w:t>
            </w:r>
          </w:p>
        </w:tc>
        <w:tc>
          <w:tcPr>
            <w:tcW w:w="20" w:type="dxa"/>
            <w:shd w:val="clear" w:color="auto" w:fill="auto"/>
            <w:vAlign w:val="center"/>
          </w:tcPr>
          <w:p w14:paraId="1F169DE3" w14:textId="77777777" w:rsidR="000F77EA" w:rsidRPr="00FF1F5E" w:rsidRDefault="000F77EA" w:rsidP="00681B3C">
            <w:pPr>
              <w:autoSpaceDE w:val="0"/>
              <w:autoSpaceDN w:val="0"/>
              <w:adjustRightInd w:val="0"/>
              <w:snapToGrid w:val="0"/>
              <w:spacing w:line="240" w:lineRule="auto"/>
              <w:jc w:val="center"/>
              <w:rPr>
                <w:bCs/>
                <w:noProof w:val="0"/>
              </w:rPr>
            </w:pPr>
          </w:p>
        </w:tc>
      </w:tr>
      <w:tr w:rsidR="00681B3C" w:rsidRPr="00FF1F5E" w14:paraId="0FE6EFEB" w14:textId="77777777" w:rsidTr="00681B3C">
        <w:tc>
          <w:tcPr>
            <w:tcW w:w="20" w:type="dxa"/>
            <w:shd w:val="clear" w:color="auto" w:fill="auto"/>
            <w:vAlign w:val="center"/>
          </w:tcPr>
          <w:p w14:paraId="285C8AF5"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Education</w:t>
            </w:r>
          </w:p>
          <w:p w14:paraId="014B9D7E" w14:textId="77777777" w:rsidR="000F77EA" w:rsidRPr="00FF1F5E" w:rsidRDefault="000F77EA" w:rsidP="00681B3C">
            <w:pPr>
              <w:numPr>
                <w:ilvl w:val="0"/>
                <w:numId w:val="33"/>
              </w:numPr>
              <w:autoSpaceDE w:val="0"/>
              <w:autoSpaceDN w:val="0"/>
              <w:adjustRightInd w:val="0"/>
              <w:snapToGrid w:val="0"/>
              <w:spacing w:line="240" w:lineRule="auto"/>
              <w:ind w:left="0" w:firstLine="0"/>
              <w:jc w:val="center"/>
              <w:rPr>
                <w:noProof w:val="0"/>
              </w:rPr>
            </w:pPr>
            <w:r w:rsidRPr="00FF1F5E">
              <w:rPr>
                <w:bCs/>
                <w:noProof w:val="0"/>
              </w:rPr>
              <w:t>Less than high school</w:t>
            </w:r>
          </w:p>
          <w:p w14:paraId="4CE59EFF" w14:textId="77777777" w:rsidR="000F77EA" w:rsidRPr="00FF1F5E" w:rsidRDefault="000F77EA" w:rsidP="00681B3C">
            <w:pPr>
              <w:numPr>
                <w:ilvl w:val="0"/>
                <w:numId w:val="33"/>
              </w:numPr>
              <w:autoSpaceDE w:val="0"/>
              <w:autoSpaceDN w:val="0"/>
              <w:adjustRightInd w:val="0"/>
              <w:snapToGrid w:val="0"/>
              <w:spacing w:line="240" w:lineRule="auto"/>
              <w:ind w:left="0" w:firstLine="0"/>
              <w:jc w:val="center"/>
              <w:rPr>
                <w:noProof w:val="0"/>
              </w:rPr>
            </w:pPr>
            <w:r w:rsidRPr="00FF1F5E">
              <w:rPr>
                <w:bCs/>
                <w:noProof w:val="0"/>
              </w:rPr>
              <w:t>High school</w:t>
            </w:r>
          </w:p>
          <w:p w14:paraId="20118DA2" w14:textId="77777777" w:rsidR="000F77EA" w:rsidRPr="00FF1F5E" w:rsidRDefault="000F77EA" w:rsidP="00681B3C">
            <w:pPr>
              <w:numPr>
                <w:ilvl w:val="0"/>
                <w:numId w:val="33"/>
              </w:numPr>
              <w:autoSpaceDE w:val="0"/>
              <w:autoSpaceDN w:val="0"/>
              <w:adjustRightInd w:val="0"/>
              <w:snapToGrid w:val="0"/>
              <w:spacing w:line="240" w:lineRule="auto"/>
              <w:ind w:left="0" w:firstLine="0"/>
              <w:jc w:val="center"/>
              <w:rPr>
                <w:noProof w:val="0"/>
              </w:rPr>
            </w:pPr>
            <w:r w:rsidRPr="00FF1F5E">
              <w:rPr>
                <w:bCs/>
                <w:noProof w:val="0"/>
              </w:rPr>
              <w:t>Some college but not a degree</w:t>
            </w:r>
          </w:p>
          <w:p w14:paraId="5C733B7E" w14:textId="77777777" w:rsidR="000F77EA" w:rsidRPr="00FF1F5E" w:rsidRDefault="000F77EA" w:rsidP="00681B3C">
            <w:pPr>
              <w:numPr>
                <w:ilvl w:val="0"/>
                <w:numId w:val="33"/>
              </w:numPr>
              <w:autoSpaceDE w:val="0"/>
              <w:autoSpaceDN w:val="0"/>
              <w:adjustRightInd w:val="0"/>
              <w:snapToGrid w:val="0"/>
              <w:spacing w:line="240" w:lineRule="auto"/>
              <w:ind w:left="0" w:firstLine="0"/>
              <w:jc w:val="center"/>
              <w:rPr>
                <w:noProof w:val="0"/>
              </w:rPr>
            </w:pPr>
            <w:r w:rsidRPr="00FF1F5E">
              <w:rPr>
                <w:bCs/>
                <w:noProof w:val="0"/>
              </w:rPr>
              <w:t>A university degree</w:t>
            </w:r>
          </w:p>
        </w:tc>
        <w:tc>
          <w:tcPr>
            <w:tcW w:w="20" w:type="dxa"/>
            <w:shd w:val="clear" w:color="auto" w:fill="auto"/>
            <w:vAlign w:val="center"/>
          </w:tcPr>
          <w:p w14:paraId="4BBE4117" w14:textId="77777777" w:rsidR="000F77EA" w:rsidRPr="00FF1F5E" w:rsidRDefault="000F77EA" w:rsidP="00681B3C">
            <w:pPr>
              <w:autoSpaceDE w:val="0"/>
              <w:autoSpaceDN w:val="0"/>
              <w:adjustRightInd w:val="0"/>
              <w:snapToGrid w:val="0"/>
              <w:spacing w:line="240" w:lineRule="auto"/>
              <w:jc w:val="center"/>
              <w:rPr>
                <w:bCs/>
                <w:noProof w:val="0"/>
              </w:rPr>
            </w:pPr>
          </w:p>
          <w:p w14:paraId="5CD3F3E8"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5 (1.2%)</w:t>
            </w:r>
          </w:p>
          <w:p w14:paraId="4A410258"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41 (10.3%)</w:t>
            </w:r>
          </w:p>
          <w:p w14:paraId="3B03B57F"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115 (28.8%)</w:t>
            </w:r>
          </w:p>
          <w:p w14:paraId="1856A693"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238 (59.7%)</w:t>
            </w:r>
          </w:p>
        </w:tc>
        <w:tc>
          <w:tcPr>
            <w:tcW w:w="20" w:type="dxa"/>
            <w:shd w:val="clear" w:color="auto" w:fill="auto"/>
            <w:vAlign w:val="center"/>
          </w:tcPr>
          <w:p w14:paraId="4F411C49" w14:textId="77777777" w:rsidR="000F77EA" w:rsidRPr="00FF1F5E" w:rsidRDefault="000F77EA" w:rsidP="00681B3C">
            <w:pPr>
              <w:autoSpaceDE w:val="0"/>
              <w:autoSpaceDN w:val="0"/>
              <w:adjustRightInd w:val="0"/>
              <w:snapToGrid w:val="0"/>
              <w:spacing w:line="240" w:lineRule="auto"/>
              <w:jc w:val="center"/>
              <w:rPr>
                <w:bCs/>
                <w:noProof w:val="0"/>
              </w:rPr>
            </w:pPr>
          </w:p>
        </w:tc>
      </w:tr>
      <w:tr w:rsidR="00681B3C" w:rsidRPr="00FF1F5E" w14:paraId="79C90ED4" w14:textId="77777777" w:rsidTr="00681B3C">
        <w:tc>
          <w:tcPr>
            <w:tcW w:w="20" w:type="dxa"/>
            <w:shd w:val="clear" w:color="auto" w:fill="auto"/>
            <w:vAlign w:val="center"/>
          </w:tcPr>
          <w:p w14:paraId="298EC438"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Work status</w:t>
            </w:r>
          </w:p>
          <w:p w14:paraId="650A5482" w14:textId="77777777" w:rsidR="000F77EA" w:rsidRPr="00FF1F5E" w:rsidRDefault="000F77EA" w:rsidP="00681B3C">
            <w:pPr>
              <w:numPr>
                <w:ilvl w:val="0"/>
                <w:numId w:val="32"/>
              </w:numPr>
              <w:autoSpaceDE w:val="0"/>
              <w:autoSpaceDN w:val="0"/>
              <w:adjustRightInd w:val="0"/>
              <w:snapToGrid w:val="0"/>
              <w:spacing w:line="240" w:lineRule="auto"/>
              <w:ind w:left="0" w:firstLine="0"/>
              <w:jc w:val="center"/>
              <w:rPr>
                <w:noProof w:val="0"/>
              </w:rPr>
            </w:pPr>
            <w:r w:rsidRPr="00FF1F5E">
              <w:rPr>
                <w:bCs/>
                <w:noProof w:val="0"/>
              </w:rPr>
              <w:t>Entry level or unskilled</w:t>
            </w:r>
          </w:p>
          <w:p w14:paraId="5858F9F5" w14:textId="77777777" w:rsidR="000F77EA" w:rsidRPr="00FF1F5E" w:rsidRDefault="000F77EA" w:rsidP="00681B3C">
            <w:pPr>
              <w:numPr>
                <w:ilvl w:val="0"/>
                <w:numId w:val="32"/>
              </w:numPr>
              <w:autoSpaceDE w:val="0"/>
              <w:autoSpaceDN w:val="0"/>
              <w:adjustRightInd w:val="0"/>
              <w:snapToGrid w:val="0"/>
              <w:spacing w:line="240" w:lineRule="auto"/>
              <w:ind w:left="0" w:firstLine="0"/>
              <w:jc w:val="center"/>
              <w:rPr>
                <w:noProof w:val="0"/>
              </w:rPr>
            </w:pPr>
            <w:r w:rsidRPr="00FF1F5E">
              <w:rPr>
                <w:bCs/>
                <w:noProof w:val="0"/>
              </w:rPr>
              <w:t>Skilled or professional work</w:t>
            </w:r>
          </w:p>
          <w:p w14:paraId="687A1A12" w14:textId="77777777" w:rsidR="000F77EA" w:rsidRPr="00FF1F5E" w:rsidRDefault="000F77EA" w:rsidP="00681B3C">
            <w:pPr>
              <w:numPr>
                <w:ilvl w:val="0"/>
                <w:numId w:val="32"/>
              </w:numPr>
              <w:autoSpaceDE w:val="0"/>
              <w:autoSpaceDN w:val="0"/>
              <w:adjustRightInd w:val="0"/>
              <w:snapToGrid w:val="0"/>
              <w:spacing w:line="240" w:lineRule="auto"/>
              <w:ind w:left="0" w:firstLine="0"/>
              <w:jc w:val="center"/>
              <w:rPr>
                <w:noProof w:val="0"/>
              </w:rPr>
            </w:pPr>
            <w:r w:rsidRPr="00FF1F5E">
              <w:rPr>
                <w:bCs/>
                <w:noProof w:val="0"/>
              </w:rPr>
              <w:t>Retired</w:t>
            </w:r>
          </w:p>
          <w:p w14:paraId="2F471E39" w14:textId="77777777" w:rsidR="000F77EA" w:rsidRPr="00FF1F5E" w:rsidRDefault="000F77EA" w:rsidP="00681B3C">
            <w:pPr>
              <w:numPr>
                <w:ilvl w:val="0"/>
                <w:numId w:val="32"/>
              </w:numPr>
              <w:autoSpaceDE w:val="0"/>
              <w:autoSpaceDN w:val="0"/>
              <w:adjustRightInd w:val="0"/>
              <w:snapToGrid w:val="0"/>
              <w:spacing w:line="240" w:lineRule="auto"/>
              <w:ind w:left="0" w:firstLine="0"/>
              <w:jc w:val="center"/>
              <w:rPr>
                <w:noProof w:val="0"/>
              </w:rPr>
            </w:pPr>
            <w:r w:rsidRPr="00FF1F5E">
              <w:rPr>
                <w:bCs/>
                <w:noProof w:val="0"/>
              </w:rPr>
              <w:t>Not working</w:t>
            </w:r>
          </w:p>
        </w:tc>
        <w:tc>
          <w:tcPr>
            <w:tcW w:w="20" w:type="dxa"/>
            <w:shd w:val="clear" w:color="auto" w:fill="auto"/>
            <w:vAlign w:val="center"/>
          </w:tcPr>
          <w:p w14:paraId="565F49F2" w14:textId="77777777" w:rsidR="000F77EA" w:rsidRPr="00FF1F5E" w:rsidRDefault="000F77EA" w:rsidP="00681B3C">
            <w:pPr>
              <w:autoSpaceDE w:val="0"/>
              <w:autoSpaceDN w:val="0"/>
              <w:adjustRightInd w:val="0"/>
              <w:snapToGrid w:val="0"/>
              <w:spacing w:line="240" w:lineRule="auto"/>
              <w:jc w:val="center"/>
              <w:rPr>
                <w:bCs/>
                <w:noProof w:val="0"/>
              </w:rPr>
            </w:pPr>
          </w:p>
          <w:p w14:paraId="20A4AF91"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13 (3.3%)</w:t>
            </w:r>
          </w:p>
          <w:p w14:paraId="68F021AB"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242 (60.6%)</w:t>
            </w:r>
          </w:p>
          <w:p w14:paraId="5F488EB6"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112 (28.1%)</w:t>
            </w:r>
          </w:p>
          <w:p w14:paraId="7D97C40A"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32 (8%)</w:t>
            </w:r>
          </w:p>
        </w:tc>
        <w:tc>
          <w:tcPr>
            <w:tcW w:w="20" w:type="dxa"/>
            <w:shd w:val="clear" w:color="auto" w:fill="auto"/>
            <w:vAlign w:val="center"/>
          </w:tcPr>
          <w:p w14:paraId="4248B15D" w14:textId="77777777" w:rsidR="000F77EA" w:rsidRPr="00FF1F5E" w:rsidRDefault="000F77EA" w:rsidP="00681B3C">
            <w:pPr>
              <w:autoSpaceDE w:val="0"/>
              <w:autoSpaceDN w:val="0"/>
              <w:adjustRightInd w:val="0"/>
              <w:snapToGrid w:val="0"/>
              <w:spacing w:line="240" w:lineRule="auto"/>
              <w:jc w:val="center"/>
              <w:rPr>
                <w:bCs/>
                <w:noProof w:val="0"/>
              </w:rPr>
            </w:pPr>
          </w:p>
        </w:tc>
      </w:tr>
      <w:tr w:rsidR="00681B3C" w:rsidRPr="00FF1F5E" w14:paraId="44CF7CBB" w14:textId="77777777" w:rsidTr="00681B3C">
        <w:tc>
          <w:tcPr>
            <w:tcW w:w="20" w:type="dxa"/>
            <w:shd w:val="clear" w:color="auto" w:fill="auto"/>
            <w:vAlign w:val="center"/>
          </w:tcPr>
          <w:p w14:paraId="314AD73F"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Tinnitus duration (in years)</w:t>
            </w:r>
          </w:p>
        </w:tc>
        <w:tc>
          <w:tcPr>
            <w:tcW w:w="20" w:type="dxa"/>
            <w:shd w:val="clear" w:color="auto" w:fill="auto"/>
            <w:vAlign w:val="center"/>
          </w:tcPr>
          <w:p w14:paraId="1F306C06" w14:textId="77777777" w:rsidR="000F77EA" w:rsidRPr="00FF1F5E" w:rsidRDefault="000F77EA" w:rsidP="00681B3C">
            <w:pPr>
              <w:autoSpaceDE w:val="0"/>
              <w:autoSpaceDN w:val="0"/>
              <w:adjustRightInd w:val="0"/>
              <w:snapToGrid w:val="0"/>
              <w:spacing w:line="240" w:lineRule="auto"/>
              <w:jc w:val="center"/>
              <w:rPr>
                <w:bCs/>
                <w:noProof w:val="0"/>
              </w:rPr>
            </w:pPr>
          </w:p>
        </w:tc>
        <w:tc>
          <w:tcPr>
            <w:tcW w:w="20" w:type="dxa"/>
            <w:shd w:val="clear" w:color="auto" w:fill="auto"/>
            <w:vAlign w:val="center"/>
          </w:tcPr>
          <w:p w14:paraId="1FACD762"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11.9 (12.9); 0.08 to 70</w:t>
            </w:r>
          </w:p>
        </w:tc>
      </w:tr>
      <w:tr w:rsidR="00681B3C" w:rsidRPr="00FF1F5E" w14:paraId="7EA52461" w14:textId="77777777" w:rsidTr="00681B3C">
        <w:tc>
          <w:tcPr>
            <w:tcW w:w="20" w:type="dxa"/>
            <w:shd w:val="clear" w:color="auto" w:fill="auto"/>
            <w:vAlign w:val="center"/>
          </w:tcPr>
          <w:p w14:paraId="66F0D943"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Tinnitus severity (TFI)</w:t>
            </w:r>
          </w:p>
        </w:tc>
        <w:tc>
          <w:tcPr>
            <w:tcW w:w="20" w:type="dxa"/>
            <w:shd w:val="clear" w:color="auto" w:fill="auto"/>
            <w:vAlign w:val="center"/>
          </w:tcPr>
          <w:p w14:paraId="40CBDC8C" w14:textId="77777777" w:rsidR="000F77EA" w:rsidRPr="00FF1F5E" w:rsidRDefault="000F77EA" w:rsidP="00681B3C">
            <w:pPr>
              <w:autoSpaceDE w:val="0"/>
              <w:autoSpaceDN w:val="0"/>
              <w:adjustRightInd w:val="0"/>
              <w:snapToGrid w:val="0"/>
              <w:spacing w:line="240" w:lineRule="auto"/>
              <w:jc w:val="center"/>
              <w:rPr>
                <w:bCs/>
                <w:noProof w:val="0"/>
              </w:rPr>
            </w:pPr>
          </w:p>
        </w:tc>
        <w:tc>
          <w:tcPr>
            <w:tcW w:w="20" w:type="dxa"/>
            <w:shd w:val="clear" w:color="auto" w:fill="auto"/>
            <w:vAlign w:val="center"/>
          </w:tcPr>
          <w:p w14:paraId="67D8AE57"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53.1 (21.8); 4.4 to 100</w:t>
            </w:r>
          </w:p>
        </w:tc>
      </w:tr>
      <w:tr w:rsidR="00681B3C" w:rsidRPr="00FF1F5E" w14:paraId="5155C6A4" w14:textId="77777777" w:rsidTr="00681B3C">
        <w:tc>
          <w:tcPr>
            <w:tcW w:w="20" w:type="dxa"/>
            <w:shd w:val="clear" w:color="auto" w:fill="auto"/>
            <w:vAlign w:val="center"/>
          </w:tcPr>
          <w:p w14:paraId="2071A935"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Anxiety (GAD-7)</w:t>
            </w:r>
          </w:p>
        </w:tc>
        <w:tc>
          <w:tcPr>
            <w:tcW w:w="20" w:type="dxa"/>
            <w:shd w:val="clear" w:color="auto" w:fill="auto"/>
            <w:vAlign w:val="center"/>
          </w:tcPr>
          <w:p w14:paraId="4375156B" w14:textId="77777777" w:rsidR="000F77EA" w:rsidRPr="00FF1F5E" w:rsidRDefault="000F77EA" w:rsidP="00681B3C">
            <w:pPr>
              <w:autoSpaceDE w:val="0"/>
              <w:autoSpaceDN w:val="0"/>
              <w:adjustRightInd w:val="0"/>
              <w:snapToGrid w:val="0"/>
              <w:spacing w:line="240" w:lineRule="auto"/>
              <w:jc w:val="center"/>
              <w:rPr>
                <w:bCs/>
                <w:noProof w:val="0"/>
              </w:rPr>
            </w:pPr>
          </w:p>
        </w:tc>
        <w:tc>
          <w:tcPr>
            <w:tcW w:w="20" w:type="dxa"/>
            <w:shd w:val="clear" w:color="auto" w:fill="auto"/>
            <w:vAlign w:val="center"/>
          </w:tcPr>
          <w:p w14:paraId="7DC3886D"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7.4 (5.7); 0 to 21</w:t>
            </w:r>
          </w:p>
        </w:tc>
      </w:tr>
      <w:tr w:rsidR="00681B3C" w:rsidRPr="00FF1F5E" w14:paraId="704153E1" w14:textId="77777777" w:rsidTr="00681B3C">
        <w:tc>
          <w:tcPr>
            <w:tcW w:w="20" w:type="dxa"/>
            <w:shd w:val="clear" w:color="auto" w:fill="auto"/>
            <w:vAlign w:val="center"/>
          </w:tcPr>
          <w:p w14:paraId="62B263F5"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Depression (PHQ-9)</w:t>
            </w:r>
          </w:p>
        </w:tc>
        <w:tc>
          <w:tcPr>
            <w:tcW w:w="20" w:type="dxa"/>
            <w:shd w:val="clear" w:color="auto" w:fill="auto"/>
            <w:vAlign w:val="center"/>
          </w:tcPr>
          <w:p w14:paraId="70B19ACC" w14:textId="77777777" w:rsidR="000F77EA" w:rsidRPr="00FF1F5E" w:rsidRDefault="000F77EA" w:rsidP="00681B3C">
            <w:pPr>
              <w:autoSpaceDE w:val="0"/>
              <w:autoSpaceDN w:val="0"/>
              <w:adjustRightInd w:val="0"/>
              <w:snapToGrid w:val="0"/>
              <w:spacing w:line="240" w:lineRule="auto"/>
              <w:jc w:val="center"/>
              <w:rPr>
                <w:bCs/>
                <w:noProof w:val="0"/>
              </w:rPr>
            </w:pPr>
          </w:p>
        </w:tc>
        <w:tc>
          <w:tcPr>
            <w:tcW w:w="20" w:type="dxa"/>
            <w:shd w:val="clear" w:color="auto" w:fill="auto"/>
            <w:vAlign w:val="center"/>
          </w:tcPr>
          <w:p w14:paraId="688C7A6B"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7.5 (6); 0 to 27</w:t>
            </w:r>
          </w:p>
        </w:tc>
      </w:tr>
      <w:tr w:rsidR="00681B3C" w:rsidRPr="00FF1F5E" w14:paraId="25705E92" w14:textId="77777777" w:rsidTr="00681B3C">
        <w:tc>
          <w:tcPr>
            <w:tcW w:w="20" w:type="dxa"/>
            <w:shd w:val="clear" w:color="auto" w:fill="auto"/>
            <w:vAlign w:val="center"/>
          </w:tcPr>
          <w:p w14:paraId="153BC5FE"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 xml:space="preserve">Insomnia (ISI) </w:t>
            </w:r>
          </w:p>
        </w:tc>
        <w:tc>
          <w:tcPr>
            <w:tcW w:w="20" w:type="dxa"/>
            <w:shd w:val="clear" w:color="auto" w:fill="auto"/>
            <w:vAlign w:val="center"/>
          </w:tcPr>
          <w:p w14:paraId="31276070" w14:textId="77777777" w:rsidR="000F77EA" w:rsidRPr="00FF1F5E" w:rsidRDefault="000F77EA" w:rsidP="00681B3C">
            <w:pPr>
              <w:autoSpaceDE w:val="0"/>
              <w:autoSpaceDN w:val="0"/>
              <w:adjustRightInd w:val="0"/>
              <w:snapToGrid w:val="0"/>
              <w:spacing w:line="240" w:lineRule="auto"/>
              <w:jc w:val="center"/>
              <w:rPr>
                <w:bCs/>
                <w:noProof w:val="0"/>
              </w:rPr>
            </w:pPr>
          </w:p>
        </w:tc>
        <w:tc>
          <w:tcPr>
            <w:tcW w:w="20" w:type="dxa"/>
            <w:shd w:val="clear" w:color="auto" w:fill="auto"/>
            <w:vAlign w:val="center"/>
          </w:tcPr>
          <w:p w14:paraId="4EAB873F"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11.5 (6.8); 0 to 28</w:t>
            </w:r>
          </w:p>
        </w:tc>
      </w:tr>
      <w:tr w:rsidR="00681B3C" w:rsidRPr="00FF1F5E" w14:paraId="75EB6717" w14:textId="77777777" w:rsidTr="00681B3C">
        <w:tc>
          <w:tcPr>
            <w:tcW w:w="20" w:type="dxa"/>
            <w:shd w:val="clear" w:color="auto" w:fill="auto"/>
            <w:vAlign w:val="center"/>
          </w:tcPr>
          <w:p w14:paraId="62E8C2FB"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Quality of life (EQ-5D-5L VAS)</w:t>
            </w:r>
          </w:p>
        </w:tc>
        <w:tc>
          <w:tcPr>
            <w:tcW w:w="20" w:type="dxa"/>
            <w:shd w:val="clear" w:color="auto" w:fill="auto"/>
            <w:vAlign w:val="center"/>
          </w:tcPr>
          <w:p w14:paraId="168CFD04" w14:textId="77777777" w:rsidR="000F77EA" w:rsidRPr="00FF1F5E" w:rsidRDefault="000F77EA" w:rsidP="00681B3C">
            <w:pPr>
              <w:autoSpaceDE w:val="0"/>
              <w:autoSpaceDN w:val="0"/>
              <w:adjustRightInd w:val="0"/>
              <w:snapToGrid w:val="0"/>
              <w:spacing w:line="240" w:lineRule="auto"/>
              <w:jc w:val="center"/>
              <w:rPr>
                <w:bCs/>
                <w:noProof w:val="0"/>
              </w:rPr>
            </w:pPr>
          </w:p>
        </w:tc>
        <w:tc>
          <w:tcPr>
            <w:tcW w:w="20" w:type="dxa"/>
            <w:shd w:val="clear" w:color="auto" w:fill="auto"/>
            <w:vAlign w:val="center"/>
          </w:tcPr>
          <w:p w14:paraId="39D33029" w14:textId="77777777" w:rsidR="000F77EA" w:rsidRPr="00FF1F5E" w:rsidRDefault="000F77EA" w:rsidP="00681B3C">
            <w:pPr>
              <w:autoSpaceDE w:val="0"/>
              <w:autoSpaceDN w:val="0"/>
              <w:adjustRightInd w:val="0"/>
              <w:snapToGrid w:val="0"/>
              <w:spacing w:line="240" w:lineRule="auto"/>
              <w:jc w:val="center"/>
              <w:rPr>
                <w:noProof w:val="0"/>
              </w:rPr>
            </w:pPr>
            <w:r w:rsidRPr="00FF1F5E">
              <w:rPr>
                <w:bCs/>
                <w:noProof w:val="0"/>
              </w:rPr>
              <w:t>74.3 (15.9); 9 to 100</w:t>
            </w:r>
          </w:p>
        </w:tc>
      </w:tr>
    </w:tbl>
    <w:p w14:paraId="62DEC128" w14:textId="77777777" w:rsidR="000F77EA" w:rsidRPr="00FF1F5E" w:rsidRDefault="00681B3C" w:rsidP="00681B3C">
      <w:pPr>
        <w:pStyle w:val="MDPI21heading1"/>
      </w:pPr>
      <w:r w:rsidRPr="00FF1F5E">
        <w:t xml:space="preserve">3. </w:t>
      </w:r>
      <w:r w:rsidR="000F77EA" w:rsidRPr="00FF1F5E">
        <w:t>Data Analysis</w:t>
      </w:r>
    </w:p>
    <w:p w14:paraId="16A519A3" w14:textId="77777777" w:rsidR="000F77EA" w:rsidRPr="00FF1F5E" w:rsidRDefault="000F77EA" w:rsidP="00681B3C">
      <w:pPr>
        <w:pStyle w:val="MDPI31text"/>
      </w:pPr>
      <w:r w:rsidRPr="00FF1F5E">
        <w:t xml:space="preserve">The data were analyzed using various qualitative (content analysis) and quantitative (i.e., Chi square analysis, similarities analysis, and prototypical analysis) methods which are detailed below. However, a more detailed description of these methods can be found in our earlier publications (Manchaiah et al., 2015b, 2015c, 2019). The similarities and prototypical analysis were conducted using the open-source text analysis software, </w:t>
      </w:r>
      <w:proofErr w:type="spellStart"/>
      <w:r w:rsidRPr="00FF1F5E">
        <w:t>IraMuTeQ</w:t>
      </w:r>
      <w:proofErr w:type="spellEnd"/>
      <w:r w:rsidRPr="00FF1F5E">
        <w:t xml:space="preserve">. It is noteworthy that the studies on social representations generally apply multiple types of analyses to get multidimensional understanding of the data (Manchaiah et al., 2019). </w:t>
      </w:r>
    </w:p>
    <w:p w14:paraId="56D55097" w14:textId="77777777" w:rsidR="000F77EA" w:rsidRPr="00FF1F5E" w:rsidRDefault="000F77EA" w:rsidP="00681B3C">
      <w:pPr>
        <w:pStyle w:val="MDPI31text"/>
      </w:pPr>
      <w:r w:rsidRPr="00FF1F5E">
        <w:rPr>
          <w:b/>
          <w:bCs/>
          <w:i/>
          <w:iCs/>
        </w:rPr>
        <w:t>Content analysis:</w:t>
      </w:r>
      <w:r w:rsidRPr="00FF1F5E">
        <w:t xml:space="preserve"> The response to free-association task were analyzed using qualitative content analysis (</w:t>
      </w:r>
      <w:proofErr w:type="spellStart"/>
      <w:r w:rsidRPr="00FF1F5E">
        <w:rPr>
          <w:color w:val="212121"/>
          <w:shd w:val="clear" w:color="auto" w:fill="FFFFFF"/>
        </w:rPr>
        <w:t>Graneheim</w:t>
      </w:r>
      <w:proofErr w:type="spellEnd"/>
      <w:r w:rsidRPr="00FF1F5E">
        <w:rPr>
          <w:color w:val="212121"/>
          <w:shd w:val="clear" w:color="auto" w:fill="FFFFFF"/>
        </w:rPr>
        <w:t xml:space="preserve"> &amp; </w:t>
      </w:r>
      <w:proofErr w:type="spellStart"/>
      <w:r w:rsidRPr="00FF1F5E">
        <w:rPr>
          <w:color w:val="212121"/>
          <w:shd w:val="clear" w:color="auto" w:fill="FFFFFF"/>
        </w:rPr>
        <w:t>Lundman</w:t>
      </w:r>
      <w:proofErr w:type="spellEnd"/>
      <w:r w:rsidRPr="00FF1F5E">
        <w:rPr>
          <w:color w:val="212121"/>
          <w:shd w:val="clear" w:color="auto" w:fill="FFFFFF"/>
        </w:rPr>
        <w:t xml:space="preserve">, 2004). This involved the grouping of similar words (e.g., </w:t>
      </w:r>
      <w:r w:rsidRPr="00FF1F5E">
        <w:t>anger, rage, hate) into a category (e.g., angering).</w:t>
      </w:r>
    </w:p>
    <w:p w14:paraId="50818A8B" w14:textId="77777777" w:rsidR="000F77EA" w:rsidRPr="00FF1F5E" w:rsidRDefault="000F77EA" w:rsidP="00681B3C">
      <w:pPr>
        <w:pStyle w:val="MDPI31text"/>
      </w:pPr>
      <w:r w:rsidRPr="00FF1F5E">
        <w:rPr>
          <w:b/>
          <w:bCs/>
          <w:i/>
          <w:iCs/>
        </w:rPr>
        <w:t>Chi square analysis:</w:t>
      </w:r>
      <w:r w:rsidRPr="00FF1F5E">
        <w:t xml:space="preserve"> The frequency of positive, neutral, and negative connotations for tinnitus and health were counted. Chi square analysis (3 x 2) was performed to examine the association between connotations and the object of interest. </w:t>
      </w:r>
    </w:p>
    <w:p w14:paraId="14ACE099" w14:textId="77777777" w:rsidR="000F77EA" w:rsidRPr="00FF1F5E" w:rsidRDefault="000F77EA" w:rsidP="00681B3C">
      <w:pPr>
        <w:pStyle w:val="MDPI31text"/>
      </w:pPr>
      <w:r w:rsidRPr="00FF1F5E">
        <w:rPr>
          <w:b/>
          <w:bCs/>
          <w:i/>
          <w:iCs/>
        </w:rPr>
        <w:t>Similarities analysis:</w:t>
      </w:r>
      <w:r w:rsidRPr="00FF1F5E">
        <w:t xml:space="preserve"> The similarities analysis involves understanding most important categories and </w:t>
      </w:r>
      <w:proofErr w:type="gramStart"/>
      <w:r w:rsidRPr="00FF1F5E">
        <w:t>there</w:t>
      </w:r>
      <w:proofErr w:type="gramEnd"/>
      <w:r w:rsidRPr="00FF1F5E">
        <w:t xml:space="preserve"> interrelation to each other. This analysis was based on the mathematical graph theory (</w:t>
      </w:r>
      <w:proofErr w:type="spellStart"/>
      <w:r w:rsidRPr="00FF1F5E">
        <w:t>Flament</w:t>
      </w:r>
      <w:proofErr w:type="spellEnd"/>
      <w:r w:rsidRPr="00FF1F5E">
        <w:t>, 1965), and the output is presented in a two-dimensional graph with nodes and connections (i.e.,</w:t>
      </w:r>
      <w:r w:rsidRPr="00FF1F5E">
        <w:rPr>
          <w:rFonts w:eastAsia="Noto Serif CJK SC"/>
          <w:kern w:val="2"/>
          <w:lang w:bidi="hi-IN"/>
        </w:rPr>
        <w:t xml:space="preserve"> Jaccard index)</w:t>
      </w:r>
      <w:r w:rsidRPr="00FF1F5E">
        <w:t xml:space="preserve">. Each node represents a category, and the size of the node represents the frequency of the category with bigger nodes representing higher frequency. The lines linking the nodes represent the interconnections between categories and the thickness of the line indicate strength of these connections. This analysis only considers the categories and its association, but not the ranking of each word or association listed. </w:t>
      </w:r>
    </w:p>
    <w:p w14:paraId="473108DA" w14:textId="5BE4B31C" w:rsidR="000F77EA" w:rsidRPr="00FF1F5E" w:rsidRDefault="000F77EA" w:rsidP="00681B3C">
      <w:pPr>
        <w:pStyle w:val="MDPI31text"/>
      </w:pPr>
      <w:r w:rsidRPr="00FF1F5E">
        <w:rPr>
          <w:b/>
          <w:bCs/>
          <w:i/>
          <w:iCs/>
        </w:rPr>
        <w:t>Prototypical analysis:</w:t>
      </w:r>
      <w:r w:rsidRPr="00FF1F5E">
        <w:t xml:space="preserve"> This analysis considers both frequency as well as importance ratings (or ranking) of words or expressions provided in the free association task and offers content and structure of social representations. The results are presented in a 2 x 2 matrix with four elements (</w:t>
      </w:r>
      <w:proofErr w:type="spellStart"/>
      <w:r w:rsidRPr="00FF1F5E">
        <w:t>Abric</w:t>
      </w:r>
      <w:proofErr w:type="spellEnd"/>
      <w:r w:rsidRPr="00FF1F5E">
        <w:t xml:space="preserve">, 1994). The “central zone” of the most important of these </w:t>
      </w:r>
      <w:r w:rsidRPr="00FF1F5E">
        <w:lastRenderedPageBreak/>
        <w:t>are represented by the most frequently occurring as well as most important categories. The “first peripheral zone” includes the second most important categories which are the most frequently occurring categories but less important in terms of its ranking. The “second peripheral zone” represents the categories that are less frequent as well as less important in terms of ranking</w:t>
      </w:r>
      <w:r w:rsidR="00227DE8" w:rsidRPr="00FF1F5E">
        <w:t xml:space="preserve"> in the free association task</w:t>
      </w:r>
      <w:r w:rsidRPr="00FF1F5E">
        <w:t>. Finally, the “contrasted elements” include the categories low frequency categories but rated as most important in terms of its rankings. Generally, the categories in the central zone are considered as the core of social representations and are very stable (</w:t>
      </w:r>
      <w:proofErr w:type="spellStart"/>
      <w:r w:rsidRPr="00FF1F5E">
        <w:t>Abric</w:t>
      </w:r>
      <w:proofErr w:type="spellEnd"/>
      <w:r w:rsidRPr="00FF1F5E">
        <w:t xml:space="preserve">, 2003). On the other hand, the peripheral elements are considered less stable as they vary across people and environments. The contrasted elements highlight a sub-group of population that has a different priority than the general (majority) of the population. </w:t>
      </w:r>
    </w:p>
    <w:p w14:paraId="3F2D60AC" w14:textId="77777777" w:rsidR="000F77EA" w:rsidRPr="00FF1F5E" w:rsidRDefault="00681B3C" w:rsidP="00681B3C">
      <w:pPr>
        <w:pStyle w:val="MDPI21heading1"/>
      </w:pPr>
      <w:r w:rsidRPr="00FF1F5E">
        <w:t xml:space="preserve">4. </w:t>
      </w:r>
      <w:r w:rsidR="000F77EA" w:rsidRPr="00FF1F5E">
        <w:t>Results</w:t>
      </w:r>
    </w:p>
    <w:p w14:paraId="4AE27948" w14:textId="77777777" w:rsidR="000F77EA" w:rsidRPr="00FF1F5E" w:rsidRDefault="00681B3C" w:rsidP="00681B3C">
      <w:pPr>
        <w:pStyle w:val="MDPI22heading2"/>
      </w:pPr>
      <w:r w:rsidRPr="00FF1F5E">
        <w:t xml:space="preserve">4.1. </w:t>
      </w:r>
      <w:r w:rsidR="000F77EA" w:rsidRPr="00FF1F5E">
        <w:t>Content Analysis</w:t>
      </w:r>
    </w:p>
    <w:p w14:paraId="6D538DFA" w14:textId="7AC78698" w:rsidR="000F77EA" w:rsidRPr="00FF1F5E" w:rsidRDefault="000F77EA" w:rsidP="00681B3C">
      <w:pPr>
        <w:pStyle w:val="MDPI31text"/>
      </w:pPr>
      <w:r w:rsidRPr="00FF1F5E">
        <w:t xml:space="preserve">Tables 2 and 3 provide a summary of key categories and the frequency for responses related to </w:t>
      </w:r>
      <w:r w:rsidR="00FF1F5E">
        <w:t>‘</w:t>
      </w:r>
      <w:r w:rsidRPr="00FF1F5E">
        <w:t>tinnitus</w:t>
      </w:r>
      <w:r w:rsidR="00FF1F5E">
        <w:t>’</w:t>
      </w:r>
      <w:r w:rsidRPr="00FF1F5E">
        <w:t xml:space="preserve"> and </w:t>
      </w:r>
      <w:r w:rsidR="00FF1F5E">
        <w:t>‘</w:t>
      </w:r>
      <w:r w:rsidRPr="00FF1F5E">
        <w:t>health</w:t>
      </w:r>
      <w:r w:rsidR="00FF1F5E">
        <w:t>’</w:t>
      </w:r>
      <w:r w:rsidRPr="00FF1F5E">
        <w:t xml:space="preserve">, respectively. Using the content analysis, similar responses (i.e., words or expressions) were grouped to produce a small number of meaningful categories. The responses for </w:t>
      </w:r>
      <w:r w:rsidR="00FF1F5E">
        <w:t>‘</w:t>
      </w:r>
      <w:r w:rsidRPr="00FF1F5E">
        <w:t>tinnitus</w:t>
      </w:r>
      <w:r w:rsidR="00FF1F5E">
        <w:t>’</w:t>
      </w:r>
      <w:r w:rsidRPr="00FF1F5E">
        <w:t xml:space="preserve"> resulted in 39 unique categories. Out of these the most commonly occurring categories for </w:t>
      </w:r>
      <w:r w:rsidR="00FF1F5E">
        <w:t>‘</w:t>
      </w:r>
      <w:r w:rsidRPr="00FF1F5E">
        <w:t>tinnitus</w:t>
      </w:r>
      <w:r w:rsidR="00FF1F5E">
        <w:t>’</w:t>
      </w:r>
      <w:r w:rsidRPr="00FF1F5E">
        <w:t xml:space="preserve"> </w:t>
      </w:r>
      <w:proofErr w:type="gramStart"/>
      <w:r w:rsidRPr="00FF1F5E">
        <w:t>were:</w:t>
      </w:r>
      <w:proofErr w:type="gramEnd"/>
      <w:r w:rsidRPr="00FF1F5E">
        <w:t xml:space="preserve"> a term describing the nature of the tinnitus (18%), annoying (13.5%), persistent (8%), distracting (5%), and distressing (4%). The responses for health resulted in 30 unique categories. The most commonly occurring categories for </w:t>
      </w:r>
      <w:r w:rsidR="00FF1F5E">
        <w:t>‘</w:t>
      </w:r>
      <w:r w:rsidRPr="00FF1F5E">
        <w:t>health</w:t>
      </w:r>
      <w:r w:rsidR="00FF1F5E">
        <w:t>’</w:t>
      </w:r>
      <w:r w:rsidRPr="00FF1F5E">
        <w:t xml:space="preserve"> included: content (12%), conditions (8%), active (7%), take control (6%), overweight (5%), and distressing (4%). These frequently occurring items were also dominant in similarities analysis.</w:t>
      </w:r>
    </w:p>
    <w:p w14:paraId="397AB352" w14:textId="77777777" w:rsidR="000F77EA" w:rsidRPr="00FF1F5E" w:rsidRDefault="00681B3C" w:rsidP="00681B3C">
      <w:pPr>
        <w:pStyle w:val="MDPI41tablecaption"/>
      </w:pPr>
      <w:r w:rsidRPr="00FF1F5E">
        <w:rPr>
          <w:b/>
        </w:rPr>
        <w:t xml:space="preserve">Table 2. </w:t>
      </w:r>
      <w:r w:rsidR="000F77EA" w:rsidRPr="00FF1F5E">
        <w:t>Percentage of categories for tinnitus</w:t>
      </w:r>
      <w:r w:rsidRPr="00FF1F5E">
        <w:t>.</w:t>
      </w:r>
    </w:p>
    <w:tbl>
      <w:tblPr>
        <w:tblW w:w="0" w:type="auto"/>
        <w:tblInd w:w="-5" w:type="dxa"/>
        <w:tblLayout w:type="fixed"/>
        <w:tblLook w:val="0000" w:firstRow="0" w:lastRow="0" w:firstColumn="0" w:lastColumn="0" w:noHBand="0" w:noVBand="0"/>
      </w:tblPr>
      <w:tblGrid>
        <w:gridCol w:w="7578"/>
        <w:gridCol w:w="990"/>
        <w:gridCol w:w="820"/>
      </w:tblGrid>
      <w:tr w:rsidR="000F77EA" w:rsidRPr="00FF1F5E" w14:paraId="2B6D8E88" w14:textId="77777777" w:rsidTr="0011363A">
        <w:trPr>
          <w:trHeight w:val="300"/>
        </w:trPr>
        <w:tc>
          <w:tcPr>
            <w:tcW w:w="7578" w:type="dxa"/>
            <w:vMerge w:val="restart"/>
            <w:tcBorders>
              <w:top w:val="single" w:sz="4" w:space="0" w:color="000000"/>
              <w:left w:val="single" w:sz="4" w:space="0" w:color="000000"/>
              <w:bottom w:val="single" w:sz="4" w:space="0" w:color="000000"/>
            </w:tcBorders>
            <w:shd w:val="clear" w:color="auto" w:fill="auto"/>
          </w:tcPr>
          <w:p w14:paraId="333E223D" w14:textId="77777777" w:rsidR="000F77EA" w:rsidRPr="00FF1F5E" w:rsidRDefault="000F77EA" w:rsidP="000F77EA">
            <w:pPr>
              <w:adjustRightInd w:val="0"/>
              <w:snapToGrid w:val="0"/>
              <w:rPr>
                <w:noProof w:val="0"/>
              </w:rPr>
            </w:pPr>
            <w:r w:rsidRPr="00FF1F5E">
              <w:rPr>
                <w:b/>
                <w:bCs/>
                <w:noProof w:val="0"/>
              </w:rPr>
              <w:t>Category (examples)</w: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14:paraId="71B442A4" w14:textId="77777777" w:rsidR="000F77EA" w:rsidRPr="00FF1F5E" w:rsidRDefault="000F77EA" w:rsidP="000F77EA">
            <w:pPr>
              <w:adjustRightInd w:val="0"/>
              <w:snapToGrid w:val="0"/>
              <w:rPr>
                <w:noProof w:val="0"/>
              </w:rPr>
            </w:pPr>
            <w:r w:rsidRPr="00FF1F5E">
              <w:rPr>
                <w:b/>
                <w:bCs/>
                <w:noProof w:val="0"/>
              </w:rPr>
              <w:t>Frequencies</w:t>
            </w:r>
          </w:p>
        </w:tc>
      </w:tr>
      <w:tr w:rsidR="000F77EA" w:rsidRPr="00FF1F5E" w14:paraId="4B6540DF" w14:textId="77777777" w:rsidTr="0011363A">
        <w:trPr>
          <w:trHeight w:val="300"/>
        </w:trPr>
        <w:tc>
          <w:tcPr>
            <w:tcW w:w="7578" w:type="dxa"/>
            <w:vMerge/>
            <w:tcBorders>
              <w:top w:val="single" w:sz="4" w:space="0" w:color="000000"/>
              <w:left w:val="single" w:sz="4" w:space="0" w:color="000000"/>
              <w:bottom w:val="single" w:sz="4" w:space="0" w:color="000000"/>
            </w:tcBorders>
            <w:shd w:val="clear" w:color="auto" w:fill="auto"/>
          </w:tcPr>
          <w:p w14:paraId="2501C21D" w14:textId="77777777" w:rsidR="000F77EA" w:rsidRPr="00FF1F5E" w:rsidRDefault="000F77EA" w:rsidP="000F77EA">
            <w:pPr>
              <w:adjustRightInd w:val="0"/>
              <w:snapToGrid w:val="0"/>
              <w:rPr>
                <w:b/>
                <w:bCs/>
                <w:noProof w:val="0"/>
              </w:rPr>
            </w:pPr>
          </w:p>
        </w:tc>
        <w:tc>
          <w:tcPr>
            <w:tcW w:w="990" w:type="dxa"/>
            <w:tcBorders>
              <w:top w:val="single" w:sz="4" w:space="0" w:color="000000"/>
              <w:left w:val="single" w:sz="4" w:space="0" w:color="000000"/>
              <w:bottom w:val="single" w:sz="4" w:space="0" w:color="000000"/>
            </w:tcBorders>
            <w:shd w:val="clear" w:color="auto" w:fill="auto"/>
          </w:tcPr>
          <w:p w14:paraId="4F8089AF" w14:textId="77777777" w:rsidR="000F77EA" w:rsidRPr="00FF1F5E" w:rsidRDefault="000F77EA" w:rsidP="000F77EA">
            <w:pPr>
              <w:adjustRightInd w:val="0"/>
              <w:snapToGrid w:val="0"/>
              <w:rPr>
                <w:noProof w:val="0"/>
              </w:rPr>
            </w:pPr>
            <w:r w:rsidRPr="00FF1F5E">
              <w:rPr>
                <w:b/>
                <w:bCs/>
                <w:noProof w:val="0"/>
              </w:rPr>
              <w:t>N</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12ECC6E" w14:textId="77777777" w:rsidR="000F77EA" w:rsidRPr="00FF1F5E" w:rsidRDefault="000F77EA" w:rsidP="000F77EA">
            <w:pPr>
              <w:adjustRightInd w:val="0"/>
              <w:snapToGrid w:val="0"/>
              <w:rPr>
                <w:noProof w:val="0"/>
              </w:rPr>
            </w:pPr>
            <w:r w:rsidRPr="00FF1F5E">
              <w:rPr>
                <w:b/>
                <w:bCs/>
                <w:noProof w:val="0"/>
              </w:rPr>
              <w:t>%</w:t>
            </w:r>
          </w:p>
        </w:tc>
      </w:tr>
      <w:tr w:rsidR="000F77EA" w:rsidRPr="00FF1F5E" w14:paraId="6ECA561B"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06768B99" w14:textId="77777777" w:rsidR="000F77EA" w:rsidRPr="00FF1F5E" w:rsidRDefault="000F77EA" w:rsidP="000F77EA">
            <w:pPr>
              <w:adjustRightInd w:val="0"/>
              <w:snapToGrid w:val="0"/>
              <w:rPr>
                <w:noProof w:val="0"/>
              </w:rPr>
            </w:pPr>
            <w:r w:rsidRPr="00FF1F5E">
              <w:rPr>
                <w:noProof w:val="0"/>
              </w:rPr>
              <w:t>Accepting (e.g., just deal with it, it is what it is, don’t think much)</w:t>
            </w:r>
          </w:p>
        </w:tc>
        <w:tc>
          <w:tcPr>
            <w:tcW w:w="990" w:type="dxa"/>
            <w:tcBorders>
              <w:top w:val="single" w:sz="4" w:space="0" w:color="000000"/>
              <w:left w:val="single" w:sz="4" w:space="0" w:color="000000"/>
              <w:bottom w:val="single" w:sz="4" w:space="0" w:color="000000"/>
            </w:tcBorders>
            <w:shd w:val="clear" w:color="auto" w:fill="auto"/>
          </w:tcPr>
          <w:p w14:paraId="0CD6253B" w14:textId="77777777" w:rsidR="000F77EA" w:rsidRPr="00FF1F5E" w:rsidRDefault="000F77EA" w:rsidP="000F77EA">
            <w:pPr>
              <w:adjustRightInd w:val="0"/>
              <w:snapToGrid w:val="0"/>
              <w:jc w:val="right"/>
              <w:rPr>
                <w:noProof w:val="0"/>
              </w:rPr>
            </w:pPr>
            <w:r w:rsidRPr="00FF1F5E">
              <w:rPr>
                <w:noProof w:val="0"/>
              </w:rPr>
              <w:t>45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E5F0833" w14:textId="77777777" w:rsidR="000F77EA" w:rsidRPr="00FF1F5E" w:rsidRDefault="000F77EA" w:rsidP="000F77EA">
            <w:pPr>
              <w:adjustRightInd w:val="0"/>
              <w:snapToGrid w:val="0"/>
              <w:jc w:val="right"/>
              <w:rPr>
                <w:noProof w:val="0"/>
              </w:rPr>
            </w:pPr>
            <w:r w:rsidRPr="00FF1F5E">
              <w:rPr>
                <w:noProof w:val="0"/>
              </w:rPr>
              <w:t>2.37</w:t>
            </w:r>
          </w:p>
        </w:tc>
      </w:tr>
      <w:tr w:rsidR="000F77EA" w:rsidRPr="00FF1F5E" w14:paraId="1D718E4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35631E2" w14:textId="77777777" w:rsidR="000F77EA" w:rsidRPr="00FF1F5E" w:rsidRDefault="000F77EA" w:rsidP="000F77EA">
            <w:pPr>
              <w:adjustRightInd w:val="0"/>
              <w:snapToGrid w:val="0"/>
              <w:rPr>
                <w:noProof w:val="0"/>
              </w:rPr>
            </w:pPr>
            <w:r w:rsidRPr="00FF1F5E">
              <w:rPr>
                <w:noProof w:val="0"/>
              </w:rPr>
              <w:t>Angering (e.g., anger, rage, hate)</w:t>
            </w:r>
          </w:p>
        </w:tc>
        <w:tc>
          <w:tcPr>
            <w:tcW w:w="990" w:type="dxa"/>
            <w:tcBorders>
              <w:top w:val="single" w:sz="4" w:space="0" w:color="000000"/>
              <w:left w:val="single" w:sz="4" w:space="0" w:color="000000"/>
              <w:bottom w:val="single" w:sz="4" w:space="0" w:color="000000"/>
            </w:tcBorders>
            <w:shd w:val="clear" w:color="auto" w:fill="auto"/>
          </w:tcPr>
          <w:p w14:paraId="7CC4907A" w14:textId="77777777" w:rsidR="000F77EA" w:rsidRPr="00FF1F5E" w:rsidRDefault="000F77EA" w:rsidP="000F77EA">
            <w:pPr>
              <w:adjustRightInd w:val="0"/>
              <w:snapToGrid w:val="0"/>
              <w:jc w:val="right"/>
              <w:rPr>
                <w:noProof w:val="0"/>
              </w:rPr>
            </w:pPr>
            <w:r w:rsidRPr="00FF1F5E">
              <w:rPr>
                <w:noProof w:val="0"/>
              </w:rPr>
              <w:t>46</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BE78F4F" w14:textId="77777777" w:rsidR="000F77EA" w:rsidRPr="00FF1F5E" w:rsidRDefault="000F77EA" w:rsidP="000F77EA">
            <w:pPr>
              <w:adjustRightInd w:val="0"/>
              <w:snapToGrid w:val="0"/>
              <w:jc w:val="right"/>
              <w:rPr>
                <w:noProof w:val="0"/>
              </w:rPr>
            </w:pPr>
            <w:r w:rsidRPr="00FF1F5E">
              <w:rPr>
                <w:noProof w:val="0"/>
              </w:rPr>
              <w:t>2.42</w:t>
            </w:r>
          </w:p>
        </w:tc>
      </w:tr>
      <w:tr w:rsidR="000F77EA" w:rsidRPr="00FF1F5E" w14:paraId="2EB86B92"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86B5B89" w14:textId="77777777" w:rsidR="000F77EA" w:rsidRPr="00FF1F5E" w:rsidRDefault="000F77EA" w:rsidP="000F77EA">
            <w:pPr>
              <w:adjustRightInd w:val="0"/>
              <w:snapToGrid w:val="0"/>
              <w:rPr>
                <w:noProof w:val="0"/>
              </w:rPr>
            </w:pPr>
            <w:r w:rsidRPr="00FF1F5E">
              <w:rPr>
                <w:noProof w:val="0"/>
              </w:rPr>
              <w:t xml:space="preserve">Annoying (e.g., annoying, irritation, nuisance) </w:t>
            </w:r>
          </w:p>
        </w:tc>
        <w:tc>
          <w:tcPr>
            <w:tcW w:w="990" w:type="dxa"/>
            <w:tcBorders>
              <w:top w:val="single" w:sz="4" w:space="0" w:color="000000"/>
              <w:left w:val="single" w:sz="4" w:space="0" w:color="000000"/>
              <w:bottom w:val="single" w:sz="4" w:space="0" w:color="000000"/>
            </w:tcBorders>
            <w:shd w:val="clear" w:color="auto" w:fill="auto"/>
          </w:tcPr>
          <w:p w14:paraId="39A35D47" w14:textId="77777777" w:rsidR="000F77EA" w:rsidRPr="00FF1F5E" w:rsidRDefault="000F77EA" w:rsidP="000F77EA">
            <w:pPr>
              <w:adjustRightInd w:val="0"/>
              <w:snapToGrid w:val="0"/>
              <w:jc w:val="right"/>
              <w:rPr>
                <w:noProof w:val="0"/>
              </w:rPr>
            </w:pPr>
            <w:r w:rsidRPr="00FF1F5E">
              <w:rPr>
                <w:noProof w:val="0"/>
              </w:rPr>
              <w:t>257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B3E43B6" w14:textId="77777777" w:rsidR="000F77EA" w:rsidRPr="00FF1F5E" w:rsidRDefault="000F77EA" w:rsidP="000F77EA">
            <w:pPr>
              <w:adjustRightInd w:val="0"/>
              <w:snapToGrid w:val="0"/>
              <w:jc w:val="right"/>
              <w:rPr>
                <w:noProof w:val="0"/>
              </w:rPr>
            </w:pPr>
            <w:r w:rsidRPr="00FF1F5E">
              <w:rPr>
                <w:noProof w:val="0"/>
              </w:rPr>
              <w:t>13.53</w:t>
            </w:r>
          </w:p>
        </w:tc>
      </w:tr>
      <w:tr w:rsidR="000F77EA" w:rsidRPr="00FF1F5E" w14:paraId="5E6CFF80"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4037A55" w14:textId="77777777" w:rsidR="000F77EA" w:rsidRPr="00FF1F5E" w:rsidRDefault="000F77EA" w:rsidP="000F77EA">
            <w:pPr>
              <w:adjustRightInd w:val="0"/>
              <w:snapToGrid w:val="0"/>
              <w:rPr>
                <w:noProof w:val="0"/>
              </w:rPr>
            </w:pPr>
            <w:r w:rsidRPr="00FF1F5E">
              <w:rPr>
                <w:noProof w:val="0"/>
              </w:rPr>
              <w:t>Bothersome (e.g., bothersome, bothered, bothers me)</w:t>
            </w:r>
          </w:p>
        </w:tc>
        <w:tc>
          <w:tcPr>
            <w:tcW w:w="990" w:type="dxa"/>
            <w:tcBorders>
              <w:top w:val="single" w:sz="4" w:space="0" w:color="000000"/>
              <w:left w:val="single" w:sz="4" w:space="0" w:color="000000"/>
              <w:bottom w:val="single" w:sz="4" w:space="0" w:color="000000"/>
            </w:tcBorders>
            <w:shd w:val="clear" w:color="auto" w:fill="auto"/>
          </w:tcPr>
          <w:p w14:paraId="4478F4DB" w14:textId="77777777" w:rsidR="000F77EA" w:rsidRPr="00FF1F5E" w:rsidRDefault="000F77EA" w:rsidP="000F77EA">
            <w:pPr>
              <w:adjustRightInd w:val="0"/>
              <w:snapToGrid w:val="0"/>
              <w:jc w:val="right"/>
              <w:rPr>
                <w:noProof w:val="0"/>
              </w:rPr>
            </w:pPr>
            <w:r w:rsidRPr="00FF1F5E">
              <w:rPr>
                <w:noProof w:val="0"/>
              </w:rPr>
              <w:t>52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F5657A3" w14:textId="77777777" w:rsidR="000F77EA" w:rsidRPr="00FF1F5E" w:rsidRDefault="000F77EA" w:rsidP="000F77EA">
            <w:pPr>
              <w:adjustRightInd w:val="0"/>
              <w:snapToGrid w:val="0"/>
              <w:jc w:val="right"/>
              <w:rPr>
                <w:noProof w:val="0"/>
              </w:rPr>
            </w:pPr>
            <w:r w:rsidRPr="00FF1F5E">
              <w:rPr>
                <w:noProof w:val="0"/>
              </w:rPr>
              <w:t>2.74</w:t>
            </w:r>
          </w:p>
        </w:tc>
      </w:tr>
      <w:tr w:rsidR="000F77EA" w:rsidRPr="00FF1F5E" w14:paraId="4BD71E24"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1692B1F0" w14:textId="77777777" w:rsidR="000F77EA" w:rsidRPr="00FF1F5E" w:rsidRDefault="000F77EA" w:rsidP="000F77EA">
            <w:pPr>
              <w:adjustRightInd w:val="0"/>
              <w:snapToGrid w:val="0"/>
              <w:rPr>
                <w:noProof w:val="0"/>
              </w:rPr>
            </w:pPr>
            <w:r w:rsidRPr="00FF1F5E">
              <w:rPr>
                <w:noProof w:val="0"/>
              </w:rPr>
              <w:t>Calming (e.g., relax, relief, prayer)</w:t>
            </w:r>
          </w:p>
        </w:tc>
        <w:tc>
          <w:tcPr>
            <w:tcW w:w="990" w:type="dxa"/>
            <w:tcBorders>
              <w:top w:val="single" w:sz="4" w:space="0" w:color="000000"/>
              <w:left w:val="single" w:sz="4" w:space="0" w:color="000000"/>
              <w:bottom w:val="single" w:sz="4" w:space="0" w:color="000000"/>
            </w:tcBorders>
            <w:shd w:val="clear" w:color="auto" w:fill="auto"/>
          </w:tcPr>
          <w:p w14:paraId="14C0EEE6" w14:textId="77777777" w:rsidR="000F77EA" w:rsidRPr="00FF1F5E" w:rsidRDefault="000F77EA" w:rsidP="000F77EA">
            <w:pPr>
              <w:adjustRightInd w:val="0"/>
              <w:snapToGrid w:val="0"/>
              <w:jc w:val="right"/>
              <w:rPr>
                <w:noProof w:val="0"/>
              </w:rPr>
            </w:pPr>
            <w:r w:rsidRPr="00FF1F5E">
              <w:rPr>
                <w:noProof w:val="0"/>
              </w:rPr>
              <w:t>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899B590" w14:textId="77777777" w:rsidR="000F77EA" w:rsidRPr="00FF1F5E" w:rsidRDefault="000F77EA" w:rsidP="000F77EA">
            <w:pPr>
              <w:adjustRightInd w:val="0"/>
              <w:snapToGrid w:val="0"/>
              <w:jc w:val="right"/>
              <w:rPr>
                <w:noProof w:val="0"/>
              </w:rPr>
            </w:pPr>
            <w:r w:rsidRPr="00FF1F5E">
              <w:rPr>
                <w:noProof w:val="0"/>
              </w:rPr>
              <w:t>0.37</w:t>
            </w:r>
          </w:p>
        </w:tc>
      </w:tr>
      <w:tr w:rsidR="000F77EA" w:rsidRPr="00FF1F5E" w14:paraId="5EBB85C6"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16AC3A33" w14:textId="77777777" w:rsidR="000F77EA" w:rsidRPr="00FF1F5E" w:rsidRDefault="000F77EA" w:rsidP="000F77EA">
            <w:pPr>
              <w:adjustRightInd w:val="0"/>
              <w:snapToGrid w:val="0"/>
              <w:rPr>
                <w:noProof w:val="0"/>
              </w:rPr>
            </w:pPr>
            <w:r w:rsidRPr="00FF1F5E">
              <w:rPr>
                <w:noProof w:val="0"/>
              </w:rPr>
              <w:t>Challenging (e.g., challenge, difficult, a struggle)</w:t>
            </w:r>
          </w:p>
        </w:tc>
        <w:tc>
          <w:tcPr>
            <w:tcW w:w="990" w:type="dxa"/>
            <w:tcBorders>
              <w:top w:val="single" w:sz="4" w:space="0" w:color="000000"/>
              <w:left w:val="single" w:sz="4" w:space="0" w:color="000000"/>
              <w:bottom w:val="single" w:sz="4" w:space="0" w:color="000000"/>
            </w:tcBorders>
            <w:shd w:val="clear" w:color="auto" w:fill="auto"/>
          </w:tcPr>
          <w:p w14:paraId="68417850" w14:textId="77777777" w:rsidR="000F77EA" w:rsidRPr="00FF1F5E" w:rsidRDefault="000F77EA" w:rsidP="000F77EA">
            <w:pPr>
              <w:adjustRightInd w:val="0"/>
              <w:snapToGrid w:val="0"/>
              <w:jc w:val="right"/>
              <w:rPr>
                <w:noProof w:val="0"/>
              </w:rPr>
            </w:pPr>
            <w:r w:rsidRPr="00FF1F5E">
              <w:rPr>
                <w:noProof w:val="0"/>
              </w:rPr>
              <w:t>28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2B18156" w14:textId="77777777" w:rsidR="000F77EA" w:rsidRPr="00FF1F5E" w:rsidRDefault="000F77EA" w:rsidP="000F77EA">
            <w:pPr>
              <w:adjustRightInd w:val="0"/>
              <w:snapToGrid w:val="0"/>
              <w:jc w:val="right"/>
              <w:rPr>
                <w:noProof w:val="0"/>
              </w:rPr>
            </w:pPr>
            <w:r w:rsidRPr="00FF1F5E">
              <w:rPr>
                <w:noProof w:val="0"/>
              </w:rPr>
              <w:t>1.47</w:t>
            </w:r>
          </w:p>
        </w:tc>
      </w:tr>
      <w:tr w:rsidR="000F77EA" w:rsidRPr="00FF1F5E" w14:paraId="33578FD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5B07EC59" w14:textId="77777777" w:rsidR="000F77EA" w:rsidRPr="00FF1F5E" w:rsidRDefault="000F77EA" w:rsidP="000F77EA">
            <w:pPr>
              <w:adjustRightInd w:val="0"/>
              <w:snapToGrid w:val="0"/>
              <w:rPr>
                <w:noProof w:val="0"/>
              </w:rPr>
            </w:pPr>
            <w:r w:rsidRPr="00FF1F5E">
              <w:rPr>
                <w:noProof w:val="0"/>
              </w:rPr>
              <w:t>Debilitating (e.g., disability, illness, handicap, impairing)</w:t>
            </w:r>
          </w:p>
        </w:tc>
        <w:tc>
          <w:tcPr>
            <w:tcW w:w="990" w:type="dxa"/>
            <w:tcBorders>
              <w:top w:val="single" w:sz="4" w:space="0" w:color="000000"/>
              <w:left w:val="single" w:sz="4" w:space="0" w:color="000000"/>
              <w:bottom w:val="single" w:sz="4" w:space="0" w:color="000000"/>
            </w:tcBorders>
            <w:shd w:val="clear" w:color="auto" w:fill="auto"/>
          </w:tcPr>
          <w:p w14:paraId="5A02EFFE" w14:textId="77777777" w:rsidR="000F77EA" w:rsidRPr="00FF1F5E" w:rsidRDefault="000F77EA" w:rsidP="000F77EA">
            <w:pPr>
              <w:adjustRightInd w:val="0"/>
              <w:snapToGrid w:val="0"/>
              <w:jc w:val="right"/>
              <w:rPr>
                <w:noProof w:val="0"/>
              </w:rPr>
            </w:pPr>
            <w:r w:rsidRPr="00FF1F5E">
              <w:rPr>
                <w:noProof w:val="0"/>
              </w:rPr>
              <w:t>45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DBDBF10" w14:textId="77777777" w:rsidR="000F77EA" w:rsidRPr="00FF1F5E" w:rsidRDefault="000F77EA" w:rsidP="000F77EA">
            <w:pPr>
              <w:adjustRightInd w:val="0"/>
              <w:snapToGrid w:val="0"/>
              <w:jc w:val="right"/>
              <w:rPr>
                <w:noProof w:val="0"/>
              </w:rPr>
            </w:pPr>
            <w:r w:rsidRPr="00FF1F5E">
              <w:rPr>
                <w:noProof w:val="0"/>
              </w:rPr>
              <w:t>2.37</w:t>
            </w:r>
          </w:p>
        </w:tc>
      </w:tr>
      <w:tr w:rsidR="000F77EA" w:rsidRPr="00FF1F5E" w14:paraId="1DFE206C"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13632CD" w14:textId="77777777" w:rsidR="000F77EA" w:rsidRPr="00FF1F5E" w:rsidRDefault="000F77EA" w:rsidP="000F77EA">
            <w:pPr>
              <w:adjustRightInd w:val="0"/>
              <w:snapToGrid w:val="0"/>
              <w:rPr>
                <w:noProof w:val="0"/>
              </w:rPr>
            </w:pPr>
            <w:r w:rsidRPr="00FF1F5E">
              <w:rPr>
                <w:noProof w:val="0"/>
              </w:rPr>
              <w:t>Depressing (e.g., depression, depressing, suicide)</w:t>
            </w:r>
          </w:p>
        </w:tc>
        <w:tc>
          <w:tcPr>
            <w:tcW w:w="990" w:type="dxa"/>
            <w:tcBorders>
              <w:top w:val="single" w:sz="4" w:space="0" w:color="000000"/>
              <w:left w:val="single" w:sz="4" w:space="0" w:color="000000"/>
              <w:bottom w:val="single" w:sz="4" w:space="0" w:color="000000"/>
            </w:tcBorders>
            <w:shd w:val="clear" w:color="auto" w:fill="auto"/>
          </w:tcPr>
          <w:p w14:paraId="5747BA70" w14:textId="77777777" w:rsidR="000F77EA" w:rsidRPr="00FF1F5E" w:rsidRDefault="000F77EA" w:rsidP="000F77EA">
            <w:pPr>
              <w:adjustRightInd w:val="0"/>
              <w:snapToGrid w:val="0"/>
              <w:jc w:val="right"/>
              <w:rPr>
                <w:noProof w:val="0"/>
              </w:rPr>
            </w:pPr>
            <w:r w:rsidRPr="00FF1F5E">
              <w:rPr>
                <w:noProof w:val="0"/>
              </w:rPr>
              <w:t>29</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5C83DF7" w14:textId="77777777" w:rsidR="000F77EA" w:rsidRPr="00FF1F5E" w:rsidRDefault="000F77EA" w:rsidP="000F77EA">
            <w:pPr>
              <w:adjustRightInd w:val="0"/>
              <w:snapToGrid w:val="0"/>
              <w:jc w:val="right"/>
              <w:rPr>
                <w:noProof w:val="0"/>
              </w:rPr>
            </w:pPr>
            <w:r w:rsidRPr="00FF1F5E">
              <w:rPr>
                <w:noProof w:val="0"/>
              </w:rPr>
              <w:t>1.53</w:t>
            </w:r>
          </w:p>
        </w:tc>
      </w:tr>
      <w:tr w:rsidR="000F77EA" w:rsidRPr="00FF1F5E" w14:paraId="0B5EA83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92E9418" w14:textId="77777777" w:rsidR="000F77EA" w:rsidRPr="00FF1F5E" w:rsidRDefault="000F77EA" w:rsidP="000F77EA">
            <w:pPr>
              <w:adjustRightInd w:val="0"/>
              <w:snapToGrid w:val="0"/>
              <w:rPr>
                <w:noProof w:val="0"/>
              </w:rPr>
            </w:pPr>
            <w:r w:rsidRPr="00FF1F5E">
              <w:rPr>
                <w:noProof w:val="0"/>
              </w:rPr>
              <w:t>Description of tinnitus (e.g., ringing, high-pitched, noise, buzz, loud)</w:t>
            </w:r>
          </w:p>
        </w:tc>
        <w:tc>
          <w:tcPr>
            <w:tcW w:w="990" w:type="dxa"/>
            <w:tcBorders>
              <w:top w:val="single" w:sz="4" w:space="0" w:color="000000"/>
              <w:left w:val="single" w:sz="4" w:space="0" w:color="000000"/>
              <w:bottom w:val="single" w:sz="4" w:space="0" w:color="000000"/>
            </w:tcBorders>
            <w:shd w:val="clear" w:color="auto" w:fill="auto"/>
          </w:tcPr>
          <w:p w14:paraId="4AF433C9" w14:textId="77777777" w:rsidR="000F77EA" w:rsidRPr="00FF1F5E" w:rsidRDefault="000F77EA" w:rsidP="000F77EA">
            <w:pPr>
              <w:adjustRightInd w:val="0"/>
              <w:snapToGrid w:val="0"/>
              <w:jc w:val="right"/>
              <w:rPr>
                <w:noProof w:val="0"/>
              </w:rPr>
            </w:pPr>
            <w:r w:rsidRPr="00FF1F5E">
              <w:rPr>
                <w:noProof w:val="0"/>
              </w:rPr>
              <w:t>342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5738269" w14:textId="77777777" w:rsidR="000F77EA" w:rsidRPr="00FF1F5E" w:rsidRDefault="000F77EA" w:rsidP="000F77EA">
            <w:pPr>
              <w:adjustRightInd w:val="0"/>
              <w:snapToGrid w:val="0"/>
              <w:jc w:val="right"/>
              <w:rPr>
                <w:noProof w:val="0"/>
              </w:rPr>
            </w:pPr>
            <w:r w:rsidRPr="00FF1F5E">
              <w:rPr>
                <w:noProof w:val="0"/>
              </w:rPr>
              <w:t>18</w:t>
            </w:r>
          </w:p>
        </w:tc>
      </w:tr>
      <w:tr w:rsidR="000F77EA" w:rsidRPr="00FF1F5E" w14:paraId="6C4BC67E"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9676CE4" w14:textId="77777777" w:rsidR="000F77EA" w:rsidRPr="00FF1F5E" w:rsidRDefault="000F77EA" w:rsidP="000F77EA">
            <w:pPr>
              <w:adjustRightInd w:val="0"/>
              <w:snapToGrid w:val="0"/>
              <w:rPr>
                <w:noProof w:val="0"/>
              </w:rPr>
            </w:pPr>
            <w:r w:rsidRPr="00FF1F5E">
              <w:rPr>
                <w:noProof w:val="0"/>
              </w:rPr>
              <w:t>Determination (e.g., cope, beatable with right mindset, I can overcome this)</w:t>
            </w:r>
          </w:p>
        </w:tc>
        <w:tc>
          <w:tcPr>
            <w:tcW w:w="990" w:type="dxa"/>
            <w:tcBorders>
              <w:top w:val="single" w:sz="4" w:space="0" w:color="000000"/>
              <w:left w:val="single" w:sz="4" w:space="0" w:color="000000"/>
              <w:bottom w:val="single" w:sz="4" w:space="0" w:color="000000"/>
            </w:tcBorders>
            <w:shd w:val="clear" w:color="auto" w:fill="auto"/>
          </w:tcPr>
          <w:p w14:paraId="1FC941CB" w14:textId="77777777" w:rsidR="000F77EA" w:rsidRPr="00FF1F5E" w:rsidRDefault="000F77EA" w:rsidP="000F77EA">
            <w:pPr>
              <w:adjustRightInd w:val="0"/>
              <w:snapToGrid w:val="0"/>
              <w:jc w:val="right"/>
              <w:rPr>
                <w:noProof w:val="0"/>
              </w:rPr>
            </w:pPr>
            <w:r w:rsidRPr="00FF1F5E">
              <w:rPr>
                <w:noProof w:val="0"/>
              </w:rPr>
              <w:t>14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6EDCFDB" w14:textId="77777777" w:rsidR="000F77EA" w:rsidRPr="00FF1F5E" w:rsidRDefault="000F77EA" w:rsidP="000F77EA">
            <w:pPr>
              <w:adjustRightInd w:val="0"/>
              <w:snapToGrid w:val="0"/>
              <w:jc w:val="right"/>
              <w:rPr>
                <w:noProof w:val="0"/>
              </w:rPr>
            </w:pPr>
            <w:r w:rsidRPr="00FF1F5E">
              <w:rPr>
                <w:noProof w:val="0"/>
              </w:rPr>
              <w:t>0.74</w:t>
            </w:r>
          </w:p>
        </w:tc>
      </w:tr>
      <w:tr w:rsidR="000F77EA" w:rsidRPr="00FF1F5E" w14:paraId="4C59F527"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20AC9FC" w14:textId="77777777" w:rsidR="000F77EA" w:rsidRPr="00FF1F5E" w:rsidRDefault="000F77EA" w:rsidP="000F77EA">
            <w:pPr>
              <w:adjustRightInd w:val="0"/>
              <w:snapToGrid w:val="0"/>
              <w:rPr>
                <w:noProof w:val="0"/>
              </w:rPr>
            </w:pPr>
            <w:r w:rsidRPr="00FF1F5E">
              <w:rPr>
                <w:noProof w:val="0"/>
              </w:rPr>
              <w:t xml:space="preserve">Distracting (e.g., distraction, hard to concentrate, focusing </w:t>
            </w:r>
          </w:p>
        </w:tc>
        <w:tc>
          <w:tcPr>
            <w:tcW w:w="990" w:type="dxa"/>
            <w:tcBorders>
              <w:top w:val="single" w:sz="4" w:space="0" w:color="000000"/>
              <w:left w:val="single" w:sz="4" w:space="0" w:color="000000"/>
              <w:bottom w:val="single" w:sz="4" w:space="0" w:color="000000"/>
            </w:tcBorders>
            <w:shd w:val="clear" w:color="auto" w:fill="auto"/>
          </w:tcPr>
          <w:p w14:paraId="62F385E9" w14:textId="77777777" w:rsidR="000F77EA" w:rsidRPr="00FF1F5E" w:rsidRDefault="000F77EA" w:rsidP="000F77EA">
            <w:pPr>
              <w:adjustRightInd w:val="0"/>
              <w:snapToGrid w:val="0"/>
              <w:jc w:val="right"/>
              <w:rPr>
                <w:noProof w:val="0"/>
              </w:rPr>
            </w:pPr>
            <w:r w:rsidRPr="00FF1F5E">
              <w:rPr>
                <w:noProof w:val="0"/>
              </w:rPr>
              <w:t>96</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36532C8" w14:textId="77777777" w:rsidR="000F77EA" w:rsidRPr="00FF1F5E" w:rsidRDefault="000F77EA" w:rsidP="000F77EA">
            <w:pPr>
              <w:adjustRightInd w:val="0"/>
              <w:snapToGrid w:val="0"/>
              <w:jc w:val="right"/>
              <w:rPr>
                <w:noProof w:val="0"/>
              </w:rPr>
            </w:pPr>
            <w:r w:rsidRPr="00FF1F5E">
              <w:rPr>
                <w:noProof w:val="0"/>
              </w:rPr>
              <w:t>5.05</w:t>
            </w:r>
          </w:p>
        </w:tc>
      </w:tr>
      <w:tr w:rsidR="000F77EA" w:rsidRPr="00FF1F5E" w14:paraId="5830193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21EB27C" w14:textId="77777777" w:rsidR="000F77EA" w:rsidRPr="00FF1F5E" w:rsidRDefault="000F77EA" w:rsidP="000F77EA">
            <w:pPr>
              <w:adjustRightInd w:val="0"/>
              <w:snapToGrid w:val="0"/>
              <w:rPr>
                <w:noProof w:val="0"/>
              </w:rPr>
            </w:pPr>
            <w:r w:rsidRPr="00FF1F5E">
              <w:rPr>
                <w:noProof w:val="0"/>
              </w:rPr>
              <w:t>Distressing (e.g., overwhelming, anxiety, panic)</w:t>
            </w:r>
          </w:p>
        </w:tc>
        <w:tc>
          <w:tcPr>
            <w:tcW w:w="990" w:type="dxa"/>
            <w:tcBorders>
              <w:top w:val="single" w:sz="4" w:space="0" w:color="000000"/>
              <w:left w:val="single" w:sz="4" w:space="0" w:color="000000"/>
              <w:bottom w:val="single" w:sz="4" w:space="0" w:color="000000"/>
            </w:tcBorders>
            <w:shd w:val="clear" w:color="auto" w:fill="auto"/>
          </w:tcPr>
          <w:p w14:paraId="5EB2064D" w14:textId="77777777" w:rsidR="000F77EA" w:rsidRPr="00FF1F5E" w:rsidRDefault="000F77EA" w:rsidP="000F77EA">
            <w:pPr>
              <w:adjustRightInd w:val="0"/>
              <w:snapToGrid w:val="0"/>
              <w:jc w:val="right"/>
              <w:rPr>
                <w:noProof w:val="0"/>
              </w:rPr>
            </w:pPr>
            <w:r w:rsidRPr="00FF1F5E">
              <w:rPr>
                <w:noProof w:val="0"/>
              </w:rPr>
              <w:t>83</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EA8AE35" w14:textId="77777777" w:rsidR="000F77EA" w:rsidRPr="00FF1F5E" w:rsidRDefault="000F77EA" w:rsidP="000F77EA">
            <w:pPr>
              <w:adjustRightInd w:val="0"/>
              <w:snapToGrid w:val="0"/>
              <w:jc w:val="right"/>
              <w:rPr>
                <w:noProof w:val="0"/>
              </w:rPr>
            </w:pPr>
            <w:r w:rsidRPr="00FF1F5E">
              <w:rPr>
                <w:noProof w:val="0"/>
              </w:rPr>
              <w:t>4.37</w:t>
            </w:r>
          </w:p>
        </w:tc>
      </w:tr>
      <w:tr w:rsidR="000F77EA" w:rsidRPr="00FF1F5E" w14:paraId="38911050"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8445DD3" w14:textId="77777777" w:rsidR="000F77EA" w:rsidRPr="00FF1F5E" w:rsidRDefault="000F77EA" w:rsidP="000F77EA">
            <w:pPr>
              <w:adjustRightInd w:val="0"/>
              <w:snapToGrid w:val="0"/>
              <w:rPr>
                <w:noProof w:val="0"/>
              </w:rPr>
            </w:pPr>
            <w:r w:rsidRPr="00FF1F5E">
              <w:rPr>
                <w:noProof w:val="0"/>
              </w:rPr>
              <w:t xml:space="preserve">Disturbing (e.g., noise in my head, noise </w:t>
            </w:r>
            <w:proofErr w:type="gramStart"/>
            <w:r w:rsidRPr="00FF1F5E">
              <w:rPr>
                <w:noProof w:val="0"/>
              </w:rPr>
              <w:t>really bad</w:t>
            </w:r>
            <w:proofErr w:type="gramEnd"/>
            <w:r w:rsidRPr="00FF1F5E">
              <w:rPr>
                <w:noProof w:val="0"/>
              </w:rPr>
              <w:t>, screaming)</w:t>
            </w:r>
          </w:p>
        </w:tc>
        <w:tc>
          <w:tcPr>
            <w:tcW w:w="990" w:type="dxa"/>
            <w:tcBorders>
              <w:top w:val="single" w:sz="4" w:space="0" w:color="000000"/>
              <w:left w:val="single" w:sz="4" w:space="0" w:color="000000"/>
              <w:bottom w:val="single" w:sz="4" w:space="0" w:color="000000"/>
            </w:tcBorders>
            <w:shd w:val="clear" w:color="auto" w:fill="auto"/>
          </w:tcPr>
          <w:p w14:paraId="01D03163" w14:textId="77777777" w:rsidR="000F77EA" w:rsidRPr="00FF1F5E" w:rsidRDefault="000F77EA" w:rsidP="000F77EA">
            <w:pPr>
              <w:adjustRightInd w:val="0"/>
              <w:snapToGrid w:val="0"/>
              <w:jc w:val="right"/>
              <w:rPr>
                <w:noProof w:val="0"/>
              </w:rPr>
            </w:pPr>
            <w:r w:rsidRPr="00FF1F5E">
              <w:rPr>
                <w:noProof w:val="0"/>
              </w:rPr>
              <w:t>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2B034C40" w14:textId="77777777" w:rsidR="000F77EA" w:rsidRPr="00FF1F5E" w:rsidRDefault="000F77EA" w:rsidP="000F77EA">
            <w:pPr>
              <w:adjustRightInd w:val="0"/>
              <w:snapToGrid w:val="0"/>
              <w:jc w:val="right"/>
              <w:rPr>
                <w:noProof w:val="0"/>
              </w:rPr>
            </w:pPr>
            <w:r w:rsidRPr="00FF1F5E">
              <w:rPr>
                <w:noProof w:val="0"/>
              </w:rPr>
              <w:t>0.26</w:t>
            </w:r>
          </w:p>
        </w:tc>
      </w:tr>
      <w:tr w:rsidR="000F77EA" w:rsidRPr="00FF1F5E" w14:paraId="12EC9A9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02BAE78" w14:textId="77777777" w:rsidR="000F77EA" w:rsidRPr="00FF1F5E" w:rsidRDefault="000F77EA" w:rsidP="000F77EA">
            <w:pPr>
              <w:adjustRightInd w:val="0"/>
              <w:snapToGrid w:val="0"/>
              <w:rPr>
                <w:noProof w:val="0"/>
              </w:rPr>
            </w:pPr>
            <w:r w:rsidRPr="00FF1F5E">
              <w:rPr>
                <w:noProof w:val="0"/>
              </w:rPr>
              <w:t>Exhausting (e.g., exhaustion, wearing, tiresome)</w:t>
            </w:r>
          </w:p>
        </w:tc>
        <w:tc>
          <w:tcPr>
            <w:tcW w:w="990" w:type="dxa"/>
            <w:tcBorders>
              <w:top w:val="single" w:sz="4" w:space="0" w:color="000000"/>
              <w:left w:val="single" w:sz="4" w:space="0" w:color="000000"/>
              <w:bottom w:val="single" w:sz="4" w:space="0" w:color="000000"/>
            </w:tcBorders>
            <w:shd w:val="clear" w:color="auto" w:fill="auto"/>
          </w:tcPr>
          <w:p w14:paraId="16D11088" w14:textId="77777777" w:rsidR="000F77EA" w:rsidRPr="00FF1F5E" w:rsidRDefault="000F77EA" w:rsidP="000F77EA">
            <w:pPr>
              <w:adjustRightInd w:val="0"/>
              <w:snapToGrid w:val="0"/>
              <w:jc w:val="right"/>
              <w:rPr>
                <w:noProof w:val="0"/>
              </w:rPr>
            </w:pPr>
            <w:r w:rsidRPr="00FF1F5E">
              <w:rPr>
                <w:noProof w:val="0"/>
              </w:rPr>
              <w:t>35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D73EA33" w14:textId="77777777" w:rsidR="000F77EA" w:rsidRPr="00FF1F5E" w:rsidRDefault="000F77EA" w:rsidP="000F77EA">
            <w:pPr>
              <w:adjustRightInd w:val="0"/>
              <w:snapToGrid w:val="0"/>
              <w:jc w:val="right"/>
              <w:rPr>
                <w:noProof w:val="0"/>
              </w:rPr>
            </w:pPr>
            <w:r w:rsidRPr="00FF1F5E">
              <w:rPr>
                <w:noProof w:val="0"/>
              </w:rPr>
              <w:t>1.84</w:t>
            </w:r>
          </w:p>
        </w:tc>
      </w:tr>
      <w:tr w:rsidR="000F77EA" w:rsidRPr="00FF1F5E" w14:paraId="5901B0CA"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19F37AA2" w14:textId="77777777" w:rsidR="000F77EA" w:rsidRPr="00FF1F5E" w:rsidRDefault="000F77EA" w:rsidP="000F77EA">
            <w:pPr>
              <w:adjustRightInd w:val="0"/>
              <w:snapToGrid w:val="0"/>
              <w:rPr>
                <w:noProof w:val="0"/>
              </w:rPr>
            </w:pPr>
            <w:r w:rsidRPr="00FF1F5E">
              <w:rPr>
                <w:noProof w:val="0"/>
              </w:rPr>
              <w:t>Frightening (e.g., worry some, claustrophobic, scary)</w:t>
            </w:r>
          </w:p>
        </w:tc>
        <w:tc>
          <w:tcPr>
            <w:tcW w:w="990" w:type="dxa"/>
            <w:tcBorders>
              <w:top w:val="single" w:sz="4" w:space="0" w:color="000000"/>
              <w:left w:val="single" w:sz="4" w:space="0" w:color="000000"/>
              <w:bottom w:val="single" w:sz="4" w:space="0" w:color="000000"/>
            </w:tcBorders>
            <w:shd w:val="clear" w:color="auto" w:fill="auto"/>
          </w:tcPr>
          <w:p w14:paraId="2CB46248" w14:textId="77777777" w:rsidR="000F77EA" w:rsidRPr="00FF1F5E" w:rsidRDefault="000F77EA" w:rsidP="000F77EA">
            <w:pPr>
              <w:adjustRightInd w:val="0"/>
              <w:snapToGrid w:val="0"/>
              <w:jc w:val="right"/>
              <w:rPr>
                <w:noProof w:val="0"/>
              </w:rPr>
            </w:pPr>
            <w:r w:rsidRPr="00FF1F5E">
              <w:rPr>
                <w:noProof w:val="0"/>
              </w:rPr>
              <w:t>36</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F2B3E4C" w14:textId="77777777" w:rsidR="000F77EA" w:rsidRPr="00FF1F5E" w:rsidRDefault="000F77EA" w:rsidP="000F77EA">
            <w:pPr>
              <w:adjustRightInd w:val="0"/>
              <w:snapToGrid w:val="0"/>
              <w:jc w:val="right"/>
              <w:rPr>
                <w:noProof w:val="0"/>
              </w:rPr>
            </w:pPr>
            <w:r w:rsidRPr="00FF1F5E">
              <w:rPr>
                <w:noProof w:val="0"/>
              </w:rPr>
              <w:t>1.89</w:t>
            </w:r>
          </w:p>
        </w:tc>
      </w:tr>
      <w:tr w:rsidR="000F77EA" w:rsidRPr="00FF1F5E" w14:paraId="7DD6A9B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0E824A7" w14:textId="77777777" w:rsidR="000F77EA" w:rsidRPr="00FF1F5E" w:rsidRDefault="000F77EA" w:rsidP="000F77EA">
            <w:pPr>
              <w:adjustRightInd w:val="0"/>
              <w:snapToGrid w:val="0"/>
              <w:rPr>
                <w:noProof w:val="0"/>
              </w:rPr>
            </w:pPr>
            <w:r w:rsidRPr="00FF1F5E">
              <w:rPr>
                <w:noProof w:val="0"/>
              </w:rPr>
              <w:t>Frustrating (e.g., frustrated, frustrating, maddening)</w:t>
            </w:r>
          </w:p>
        </w:tc>
        <w:tc>
          <w:tcPr>
            <w:tcW w:w="990" w:type="dxa"/>
            <w:tcBorders>
              <w:top w:val="single" w:sz="4" w:space="0" w:color="000000"/>
              <w:left w:val="single" w:sz="4" w:space="0" w:color="000000"/>
              <w:bottom w:val="single" w:sz="4" w:space="0" w:color="000000"/>
            </w:tcBorders>
            <w:shd w:val="clear" w:color="auto" w:fill="auto"/>
          </w:tcPr>
          <w:p w14:paraId="54D2EA64" w14:textId="77777777" w:rsidR="000F77EA" w:rsidRPr="00FF1F5E" w:rsidRDefault="000F77EA" w:rsidP="000F77EA">
            <w:pPr>
              <w:adjustRightInd w:val="0"/>
              <w:snapToGrid w:val="0"/>
              <w:jc w:val="right"/>
              <w:rPr>
                <w:noProof w:val="0"/>
              </w:rPr>
            </w:pPr>
            <w:r w:rsidRPr="00FF1F5E">
              <w:rPr>
                <w:noProof w:val="0"/>
              </w:rPr>
              <w:t>68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A76E25C" w14:textId="77777777" w:rsidR="000F77EA" w:rsidRPr="00FF1F5E" w:rsidRDefault="000F77EA" w:rsidP="000F77EA">
            <w:pPr>
              <w:adjustRightInd w:val="0"/>
              <w:snapToGrid w:val="0"/>
              <w:jc w:val="right"/>
              <w:rPr>
                <w:noProof w:val="0"/>
              </w:rPr>
            </w:pPr>
            <w:r w:rsidRPr="00FF1F5E">
              <w:rPr>
                <w:noProof w:val="0"/>
              </w:rPr>
              <w:t>3.58</w:t>
            </w:r>
          </w:p>
        </w:tc>
      </w:tr>
      <w:tr w:rsidR="000F77EA" w:rsidRPr="00FF1F5E" w14:paraId="00F59DFC"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F3946C4" w14:textId="77777777" w:rsidR="000F77EA" w:rsidRPr="00FF1F5E" w:rsidRDefault="000F77EA" w:rsidP="000F77EA">
            <w:pPr>
              <w:adjustRightInd w:val="0"/>
              <w:snapToGrid w:val="0"/>
              <w:rPr>
                <w:noProof w:val="0"/>
              </w:rPr>
            </w:pPr>
            <w:r w:rsidRPr="00FF1F5E">
              <w:rPr>
                <w:noProof w:val="0"/>
              </w:rPr>
              <w:t>Healthy (e.g., healthy, relax, stability)</w:t>
            </w:r>
          </w:p>
        </w:tc>
        <w:tc>
          <w:tcPr>
            <w:tcW w:w="990" w:type="dxa"/>
            <w:tcBorders>
              <w:top w:val="single" w:sz="4" w:space="0" w:color="000000"/>
              <w:left w:val="single" w:sz="4" w:space="0" w:color="000000"/>
              <w:bottom w:val="single" w:sz="4" w:space="0" w:color="000000"/>
            </w:tcBorders>
            <w:shd w:val="clear" w:color="auto" w:fill="auto"/>
          </w:tcPr>
          <w:p w14:paraId="435CA817" w14:textId="77777777" w:rsidR="000F77EA" w:rsidRPr="00FF1F5E" w:rsidRDefault="000F77EA" w:rsidP="000F77EA">
            <w:pPr>
              <w:adjustRightInd w:val="0"/>
              <w:snapToGrid w:val="0"/>
              <w:jc w:val="right"/>
              <w:rPr>
                <w:noProof w:val="0"/>
              </w:rPr>
            </w:pPr>
            <w:r w:rsidRPr="00FF1F5E">
              <w:rPr>
                <w:noProof w:val="0"/>
              </w:rPr>
              <w:t>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54A960DB" w14:textId="77777777" w:rsidR="000F77EA" w:rsidRPr="00FF1F5E" w:rsidRDefault="000F77EA" w:rsidP="000F77EA">
            <w:pPr>
              <w:adjustRightInd w:val="0"/>
              <w:snapToGrid w:val="0"/>
              <w:jc w:val="right"/>
              <w:rPr>
                <w:noProof w:val="0"/>
              </w:rPr>
            </w:pPr>
            <w:r w:rsidRPr="00FF1F5E">
              <w:rPr>
                <w:noProof w:val="0"/>
              </w:rPr>
              <w:t>0.21</w:t>
            </w:r>
          </w:p>
        </w:tc>
      </w:tr>
      <w:tr w:rsidR="000F77EA" w:rsidRPr="00FF1F5E" w14:paraId="512996B2"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9BA79A7" w14:textId="77777777" w:rsidR="000F77EA" w:rsidRPr="00FF1F5E" w:rsidRDefault="000F77EA" w:rsidP="000F77EA">
            <w:pPr>
              <w:adjustRightInd w:val="0"/>
              <w:snapToGrid w:val="0"/>
              <w:rPr>
                <w:noProof w:val="0"/>
              </w:rPr>
            </w:pPr>
            <w:r w:rsidRPr="00FF1F5E">
              <w:rPr>
                <w:noProof w:val="0"/>
              </w:rPr>
              <w:t>Hearing difficulties (e.g., can’t hear, hard to hear, repeat)</w:t>
            </w:r>
          </w:p>
        </w:tc>
        <w:tc>
          <w:tcPr>
            <w:tcW w:w="990" w:type="dxa"/>
            <w:tcBorders>
              <w:top w:val="single" w:sz="4" w:space="0" w:color="000000"/>
              <w:left w:val="single" w:sz="4" w:space="0" w:color="000000"/>
              <w:bottom w:val="single" w:sz="4" w:space="0" w:color="000000"/>
            </w:tcBorders>
            <w:shd w:val="clear" w:color="auto" w:fill="auto"/>
          </w:tcPr>
          <w:p w14:paraId="31D9E2D9" w14:textId="77777777" w:rsidR="000F77EA" w:rsidRPr="00FF1F5E" w:rsidRDefault="000F77EA" w:rsidP="000F77EA">
            <w:pPr>
              <w:adjustRightInd w:val="0"/>
              <w:snapToGrid w:val="0"/>
              <w:jc w:val="right"/>
              <w:rPr>
                <w:noProof w:val="0"/>
              </w:rPr>
            </w:pPr>
            <w:r w:rsidRPr="00FF1F5E">
              <w:rPr>
                <w:noProof w:val="0"/>
              </w:rPr>
              <w:t>73</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EE06259" w14:textId="77777777" w:rsidR="000F77EA" w:rsidRPr="00FF1F5E" w:rsidRDefault="000F77EA" w:rsidP="000F77EA">
            <w:pPr>
              <w:adjustRightInd w:val="0"/>
              <w:snapToGrid w:val="0"/>
              <w:jc w:val="right"/>
              <w:rPr>
                <w:noProof w:val="0"/>
              </w:rPr>
            </w:pPr>
            <w:r w:rsidRPr="00FF1F5E">
              <w:rPr>
                <w:noProof w:val="0"/>
              </w:rPr>
              <w:t>3.84</w:t>
            </w:r>
          </w:p>
        </w:tc>
      </w:tr>
      <w:tr w:rsidR="000F77EA" w:rsidRPr="00FF1F5E" w14:paraId="65A81A1E"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3870481" w14:textId="77777777" w:rsidR="000F77EA" w:rsidRPr="00FF1F5E" w:rsidRDefault="000F77EA" w:rsidP="000F77EA">
            <w:pPr>
              <w:adjustRightInd w:val="0"/>
              <w:snapToGrid w:val="0"/>
              <w:rPr>
                <w:noProof w:val="0"/>
              </w:rPr>
            </w:pPr>
            <w:r w:rsidRPr="00FF1F5E">
              <w:rPr>
                <w:noProof w:val="0"/>
              </w:rPr>
              <w:t>Helped (e.g., helped, helpful)</w:t>
            </w:r>
          </w:p>
        </w:tc>
        <w:tc>
          <w:tcPr>
            <w:tcW w:w="990" w:type="dxa"/>
            <w:tcBorders>
              <w:top w:val="single" w:sz="4" w:space="0" w:color="000000"/>
              <w:left w:val="single" w:sz="4" w:space="0" w:color="000000"/>
              <w:bottom w:val="single" w:sz="4" w:space="0" w:color="000000"/>
            </w:tcBorders>
            <w:shd w:val="clear" w:color="auto" w:fill="auto"/>
          </w:tcPr>
          <w:p w14:paraId="2DC49A89" w14:textId="77777777" w:rsidR="000F77EA" w:rsidRPr="00FF1F5E" w:rsidRDefault="000F77EA" w:rsidP="000F77EA">
            <w:pPr>
              <w:adjustRightInd w:val="0"/>
              <w:snapToGrid w:val="0"/>
              <w:jc w:val="right"/>
              <w:rPr>
                <w:noProof w:val="0"/>
              </w:rPr>
            </w:pPr>
            <w:r w:rsidRPr="00FF1F5E">
              <w:rPr>
                <w:noProof w:val="0"/>
              </w:rPr>
              <w:t>6</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A695328" w14:textId="77777777" w:rsidR="000F77EA" w:rsidRPr="00FF1F5E" w:rsidRDefault="000F77EA" w:rsidP="000F77EA">
            <w:pPr>
              <w:adjustRightInd w:val="0"/>
              <w:snapToGrid w:val="0"/>
              <w:jc w:val="right"/>
              <w:rPr>
                <w:noProof w:val="0"/>
              </w:rPr>
            </w:pPr>
            <w:r w:rsidRPr="00FF1F5E">
              <w:rPr>
                <w:noProof w:val="0"/>
              </w:rPr>
              <w:t>0.32</w:t>
            </w:r>
          </w:p>
        </w:tc>
      </w:tr>
      <w:tr w:rsidR="000F77EA" w:rsidRPr="00FF1F5E" w14:paraId="77ED1ABA"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CFEE303" w14:textId="77777777" w:rsidR="000F77EA" w:rsidRPr="00FF1F5E" w:rsidRDefault="000F77EA" w:rsidP="000F77EA">
            <w:pPr>
              <w:adjustRightInd w:val="0"/>
              <w:snapToGrid w:val="0"/>
              <w:rPr>
                <w:noProof w:val="0"/>
              </w:rPr>
            </w:pPr>
            <w:r w:rsidRPr="00FF1F5E">
              <w:rPr>
                <w:noProof w:val="0"/>
              </w:rPr>
              <w:t>Helplessness (e.g., helpless, no cure, incurable)</w:t>
            </w:r>
          </w:p>
        </w:tc>
        <w:tc>
          <w:tcPr>
            <w:tcW w:w="990" w:type="dxa"/>
            <w:tcBorders>
              <w:top w:val="single" w:sz="4" w:space="0" w:color="000000"/>
              <w:left w:val="single" w:sz="4" w:space="0" w:color="000000"/>
              <w:bottom w:val="single" w:sz="4" w:space="0" w:color="000000"/>
            </w:tcBorders>
            <w:shd w:val="clear" w:color="auto" w:fill="auto"/>
          </w:tcPr>
          <w:p w14:paraId="5957DC6E" w14:textId="77777777" w:rsidR="000F77EA" w:rsidRPr="00FF1F5E" w:rsidRDefault="000F77EA" w:rsidP="000F77EA">
            <w:pPr>
              <w:adjustRightInd w:val="0"/>
              <w:snapToGrid w:val="0"/>
              <w:jc w:val="right"/>
              <w:rPr>
                <w:noProof w:val="0"/>
              </w:rPr>
            </w:pPr>
            <w:r w:rsidRPr="00FF1F5E">
              <w:rPr>
                <w:noProof w:val="0"/>
              </w:rPr>
              <w:t>48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AB048FF" w14:textId="77777777" w:rsidR="000F77EA" w:rsidRPr="00FF1F5E" w:rsidRDefault="000F77EA" w:rsidP="000F77EA">
            <w:pPr>
              <w:adjustRightInd w:val="0"/>
              <w:snapToGrid w:val="0"/>
              <w:jc w:val="right"/>
              <w:rPr>
                <w:noProof w:val="0"/>
              </w:rPr>
            </w:pPr>
            <w:r w:rsidRPr="00FF1F5E">
              <w:rPr>
                <w:noProof w:val="0"/>
              </w:rPr>
              <w:t>2.53</w:t>
            </w:r>
          </w:p>
        </w:tc>
      </w:tr>
      <w:tr w:rsidR="000F77EA" w:rsidRPr="00FF1F5E" w14:paraId="5DD0ECB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5E274555" w14:textId="77777777" w:rsidR="000F77EA" w:rsidRPr="00FF1F5E" w:rsidRDefault="000F77EA" w:rsidP="000F77EA">
            <w:pPr>
              <w:adjustRightInd w:val="0"/>
              <w:snapToGrid w:val="0"/>
              <w:rPr>
                <w:noProof w:val="0"/>
              </w:rPr>
            </w:pPr>
            <w:r w:rsidRPr="00FF1F5E">
              <w:rPr>
                <w:noProof w:val="0"/>
              </w:rPr>
              <w:lastRenderedPageBreak/>
              <w:t>Hopeful (e.g., hope, coping, find improvement)</w:t>
            </w:r>
          </w:p>
        </w:tc>
        <w:tc>
          <w:tcPr>
            <w:tcW w:w="990" w:type="dxa"/>
            <w:tcBorders>
              <w:top w:val="single" w:sz="4" w:space="0" w:color="000000"/>
              <w:left w:val="single" w:sz="4" w:space="0" w:color="000000"/>
              <w:bottom w:val="single" w:sz="4" w:space="0" w:color="000000"/>
            </w:tcBorders>
            <w:shd w:val="clear" w:color="auto" w:fill="auto"/>
          </w:tcPr>
          <w:p w14:paraId="239BC026" w14:textId="77777777" w:rsidR="000F77EA" w:rsidRPr="00FF1F5E" w:rsidRDefault="000F77EA" w:rsidP="000F77EA">
            <w:pPr>
              <w:adjustRightInd w:val="0"/>
              <w:snapToGrid w:val="0"/>
              <w:jc w:val="right"/>
              <w:rPr>
                <w:noProof w:val="0"/>
              </w:rPr>
            </w:pPr>
            <w:r w:rsidRPr="00FF1F5E">
              <w:rPr>
                <w:noProof w:val="0"/>
              </w:rPr>
              <w:t>28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2927255B" w14:textId="77777777" w:rsidR="000F77EA" w:rsidRPr="00FF1F5E" w:rsidRDefault="000F77EA" w:rsidP="000F77EA">
            <w:pPr>
              <w:adjustRightInd w:val="0"/>
              <w:snapToGrid w:val="0"/>
              <w:jc w:val="right"/>
              <w:rPr>
                <w:noProof w:val="0"/>
              </w:rPr>
            </w:pPr>
            <w:r w:rsidRPr="00FF1F5E">
              <w:rPr>
                <w:noProof w:val="0"/>
              </w:rPr>
              <w:t>1.47</w:t>
            </w:r>
          </w:p>
        </w:tc>
      </w:tr>
      <w:tr w:rsidR="000F77EA" w:rsidRPr="00FF1F5E" w14:paraId="1D509B92"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315644C" w14:textId="77777777" w:rsidR="000F77EA" w:rsidRPr="00FF1F5E" w:rsidRDefault="000F77EA" w:rsidP="000F77EA">
            <w:pPr>
              <w:adjustRightInd w:val="0"/>
              <w:snapToGrid w:val="0"/>
              <w:rPr>
                <w:noProof w:val="0"/>
              </w:rPr>
            </w:pPr>
            <w:r w:rsidRPr="00FF1F5E">
              <w:rPr>
                <w:noProof w:val="0"/>
              </w:rPr>
              <w:t>Horrible (e.g., crazy, horror, horrible disease)</w:t>
            </w:r>
          </w:p>
        </w:tc>
        <w:tc>
          <w:tcPr>
            <w:tcW w:w="990" w:type="dxa"/>
            <w:tcBorders>
              <w:top w:val="single" w:sz="4" w:space="0" w:color="000000"/>
              <w:left w:val="single" w:sz="4" w:space="0" w:color="000000"/>
              <w:bottom w:val="single" w:sz="4" w:space="0" w:color="000000"/>
            </w:tcBorders>
            <w:shd w:val="clear" w:color="auto" w:fill="auto"/>
          </w:tcPr>
          <w:p w14:paraId="56B58635" w14:textId="77777777" w:rsidR="000F77EA" w:rsidRPr="00FF1F5E" w:rsidRDefault="000F77EA" w:rsidP="000F77EA">
            <w:pPr>
              <w:adjustRightInd w:val="0"/>
              <w:snapToGrid w:val="0"/>
              <w:jc w:val="right"/>
              <w:rPr>
                <w:noProof w:val="0"/>
              </w:rPr>
            </w:pPr>
            <w:r w:rsidRPr="00FF1F5E">
              <w:rPr>
                <w:noProof w:val="0"/>
              </w:rPr>
              <w:t>56</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CEA8DDA" w14:textId="77777777" w:rsidR="000F77EA" w:rsidRPr="00FF1F5E" w:rsidRDefault="000F77EA" w:rsidP="000F77EA">
            <w:pPr>
              <w:adjustRightInd w:val="0"/>
              <w:snapToGrid w:val="0"/>
              <w:jc w:val="right"/>
              <w:rPr>
                <w:noProof w:val="0"/>
              </w:rPr>
            </w:pPr>
            <w:r w:rsidRPr="00FF1F5E">
              <w:rPr>
                <w:noProof w:val="0"/>
              </w:rPr>
              <w:t>2.95</w:t>
            </w:r>
          </w:p>
        </w:tc>
      </w:tr>
      <w:tr w:rsidR="000F77EA" w:rsidRPr="00FF1F5E" w14:paraId="4052154F"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86CEC6F" w14:textId="77777777" w:rsidR="000F77EA" w:rsidRPr="00FF1F5E" w:rsidRDefault="000F77EA" w:rsidP="000F77EA">
            <w:pPr>
              <w:adjustRightInd w:val="0"/>
              <w:snapToGrid w:val="0"/>
              <w:rPr>
                <w:noProof w:val="0"/>
              </w:rPr>
            </w:pPr>
            <w:r w:rsidRPr="00FF1F5E">
              <w:rPr>
                <w:noProof w:val="0"/>
              </w:rPr>
              <w:t>Insomnia (e.g., lack of sleep, sleep less, no sleep)</w:t>
            </w:r>
          </w:p>
        </w:tc>
        <w:tc>
          <w:tcPr>
            <w:tcW w:w="990" w:type="dxa"/>
            <w:tcBorders>
              <w:top w:val="single" w:sz="4" w:space="0" w:color="000000"/>
              <w:left w:val="single" w:sz="4" w:space="0" w:color="000000"/>
              <w:bottom w:val="single" w:sz="4" w:space="0" w:color="000000"/>
            </w:tcBorders>
            <w:shd w:val="clear" w:color="auto" w:fill="auto"/>
          </w:tcPr>
          <w:p w14:paraId="45B7213C" w14:textId="77777777" w:rsidR="000F77EA" w:rsidRPr="00FF1F5E" w:rsidRDefault="000F77EA" w:rsidP="000F77EA">
            <w:pPr>
              <w:adjustRightInd w:val="0"/>
              <w:snapToGrid w:val="0"/>
              <w:jc w:val="right"/>
              <w:rPr>
                <w:noProof w:val="0"/>
              </w:rPr>
            </w:pPr>
            <w:r w:rsidRPr="00FF1F5E">
              <w:rPr>
                <w:noProof w:val="0"/>
              </w:rPr>
              <w:t>21</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D82DC81" w14:textId="77777777" w:rsidR="000F77EA" w:rsidRPr="00FF1F5E" w:rsidRDefault="000F77EA" w:rsidP="000F77EA">
            <w:pPr>
              <w:adjustRightInd w:val="0"/>
              <w:snapToGrid w:val="0"/>
              <w:jc w:val="right"/>
              <w:rPr>
                <w:noProof w:val="0"/>
              </w:rPr>
            </w:pPr>
            <w:r w:rsidRPr="00FF1F5E">
              <w:rPr>
                <w:noProof w:val="0"/>
              </w:rPr>
              <w:t>1.11</w:t>
            </w:r>
          </w:p>
        </w:tc>
      </w:tr>
      <w:tr w:rsidR="000F77EA" w:rsidRPr="00FF1F5E" w14:paraId="5F5DF515"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8084660" w14:textId="77777777" w:rsidR="000F77EA" w:rsidRPr="00FF1F5E" w:rsidRDefault="000F77EA" w:rsidP="000F77EA">
            <w:pPr>
              <w:adjustRightInd w:val="0"/>
              <w:snapToGrid w:val="0"/>
              <w:rPr>
                <w:noProof w:val="0"/>
              </w:rPr>
            </w:pPr>
            <w:r w:rsidRPr="00FF1F5E">
              <w:rPr>
                <w:noProof w:val="0"/>
              </w:rPr>
              <w:t>Interesting (e.g., Unique, variable, men get more than women)</w:t>
            </w:r>
          </w:p>
        </w:tc>
        <w:tc>
          <w:tcPr>
            <w:tcW w:w="990" w:type="dxa"/>
            <w:tcBorders>
              <w:top w:val="single" w:sz="4" w:space="0" w:color="000000"/>
              <w:left w:val="single" w:sz="4" w:space="0" w:color="000000"/>
              <w:bottom w:val="single" w:sz="4" w:space="0" w:color="000000"/>
            </w:tcBorders>
            <w:shd w:val="clear" w:color="auto" w:fill="auto"/>
          </w:tcPr>
          <w:p w14:paraId="6080A013" w14:textId="77777777" w:rsidR="000F77EA" w:rsidRPr="00FF1F5E" w:rsidRDefault="000F77EA" w:rsidP="000F77EA">
            <w:pPr>
              <w:adjustRightInd w:val="0"/>
              <w:snapToGrid w:val="0"/>
              <w:jc w:val="right"/>
              <w:rPr>
                <w:noProof w:val="0"/>
              </w:rPr>
            </w:pPr>
            <w:r w:rsidRPr="00FF1F5E">
              <w:rPr>
                <w:noProof w:val="0"/>
              </w:rPr>
              <w:t>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189D284" w14:textId="77777777" w:rsidR="000F77EA" w:rsidRPr="00FF1F5E" w:rsidRDefault="000F77EA" w:rsidP="000F77EA">
            <w:pPr>
              <w:adjustRightInd w:val="0"/>
              <w:snapToGrid w:val="0"/>
              <w:jc w:val="right"/>
              <w:rPr>
                <w:noProof w:val="0"/>
              </w:rPr>
            </w:pPr>
            <w:r w:rsidRPr="00FF1F5E">
              <w:rPr>
                <w:noProof w:val="0"/>
              </w:rPr>
              <w:t>0.21</w:t>
            </w:r>
          </w:p>
        </w:tc>
      </w:tr>
      <w:tr w:rsidR="000F77EA" w:rsidRPr="00FF1F5E" w14:paraId="62A8CE2F"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2900C62" w14:textId="77777777" w:rsidR="000F77EA" w:rsidRPr="00FF1F5E" w:rsidRDefault="000F77EA" w:rsidP="000F77EA">
            <w:pPr>
              <w:adjustRightInd w:val="0"/>
              <w:snapToGrid w:val="0"/>
              <w:rPr>
                <w:noProof w:val="0"/>
              </w:rPr>
            </w:pPr>
            <w:r w:rsidRPr="00FF1F5E">
              <w:rPr>
                <w:noProof w:val="0"/>
              </w:rPr>
              <w:t>Interfering (e.g., interfering, interruption, interference)</w:t>
            </w:r>
          </w:p>
        </w:tc>
        <w:tc>
          <w:tcPr>
            <w:tcW w:w="990" w:type="dxa"/>
            <w:tcBorders>
              <w:top w:val="single" w:sz="4" w:space="0" w:color="000000"/>
              <w:left w:val="single" w:sz="4" w:space="0" w:color="000000"/>
              <w:bottom w:val="single" w:sz="4" w:space="0" w:color="000000"/>
            </w:tcBorders>
            <w:shd w:val="clear" w:color="auto" w:fill="auto"/>
          </w:tcPr>
          <w:p w14:paraId="5B37D8B4" w14:textId="77777777" w:rsidR="000F77EA" w:rsidRPr="00FF1F5E" w:rsidRDefault="000F77EA" w:rsidP="000F77EA">
            <w:pPr>
              <w:adjustRightInd w:val="0"/>
              <w:snapToGrid w:val="0"/>
              <w:jc w:val="right"/>
              <w:rPr>
                <w:noProof w:val="0"/>
              </w:rPr>
            </w:pPr>
            <w:r w:rsidRPr="00FF1F5E">
              <w:rPr>
                <w:noProof w:val="0"/>
              </w:rPr>
              <w:t>32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88147B6" w14:textId="77777777" w:rsidR="000F77EA" w:rsidRPr="00FF1F5E" w:rsidRDefault="000F77EA" w:rsidP="000F77EA">
            <w:pPr>
              <w:adjustRightInd w:val="0"/>
              <w:snapToGrid w:val="0"/>
              <w:jc w:val="right"/>
              <w:rPr>
                <w:noProof w:val="0"/>
              </w:rPr>
            </w:pPr>
            <w:r w:rsidRPr="00FF1F5E">
              <w:rPr>
                <w:noProof w:val="0"/>
              </w:rPr>
              <w:t>1.68</w:t>
            </w:r>
          </w:p>
        </w:tc>
      </w:tr>
      <w:tr w:rsidR="000F77EA" w:rsidRPr="00FF1F5E" w14:paraId="02A1B187"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00FABC57" w14:textId="77777777" w:rsidR="000F77EA" w:rsidRPr="00FF1F5E" w:rsidRDefault="000F77EA" w:rsidP="000F77EA">
            <w:pPr>
              <w:adjustRightInd w:val="0"/>
              <w:snapToGrid w:val="0"/>
              <w:rPr>
                <w:noProof w:val="0"/>
              </w:rPr>
            </w:pPr>
            <w:r w:rsidRPr="00FF1F5E">
              <w:rPr>
                <w:noProof w:val="0"/>
              </w:rPr>
              <w:t>Isolating (e.g., isolated, no one understands, inhibitive)</w:t>
            </w:r>
          </w:p>
        </w:tc>
        <w:tc>
          <w:tcPr>
            <w:tcW w:w="990" w:type="dxa"/>
            <w:tcBorders>
              <w:top w:val="single" w:sz="4" w:space="0" w:color="000000"/>
              <w:left w:val="single" w:sz="4" w:space="0" w:color="000000"/>
              <w:bottom w:val="single" w:sz="4" w:space="0" w:color="000000"/>
            </w:tcBorders>
            <w:shd w:val="clear" w:color="auto" w:fill="auto"/>
          </w:tcPr>
          <w:p w14:paraId="2E181239" w14:textId="77777777" w:rsidR="000F77EA" w:rsidRPr="00FF1F5E" w:rsidRDefault="000F77EA" w:rsidP="000F77EA">
            <w:pPr>
              <w:adjustRightInd w:val="0"/>
              <w:snapToGrid w:val="0"/>
              <w:jc w:val="right"/>
              <w:rPr>
                <w:noProof w:val="0"/>
              </w:rPr>
            </w:pPr>
            <w:r w:rsidRPr="00FF1F5E">
              <w:rPr>
                <w:noProof w:val="0"/>
              </w:rPr>
              <w:t>40</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C7FEC86" w14:textId="77777777" w:rsidR="000F77EA" w:rsidRPr="00FF1F5E" w:rsidRDefault="000F77EA" w:rsidP="000F77EA">
            <w:pPr>
              <w:adjustRightInd w:val="0"/>
              <w:snapToGrid w:val="0"/>
              <w:jc w:val="right"/>
              <w:rPr>
                <w:noProof w:val="0"/>
              </w:rPr>
            </w:pPr>
            <w:r w:rsidRPr="00FF1F5E">
              <w:rPr>
                <w:noProof w:val="0"/>
              </w:rPr>
              <w:t>2.11</w:t>
            </w:r>
          </w:p>
        </w:tc>
      </w:tr>
      <w:tr w:rsidR="000F77EA" w:rsidRPr="00FF1F5E" w14:paraId="112FA1E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10244603" w14:textId="77777777" w:rsidR="000F77EA" w:rsidRPr="00FF1F5E" w:rsidRDefault="000F77EA" w:rsidP="000F77EA">
            <w:pPr>
              <w:adjustRightInd w:val="0"/>
              <w:snapToGrid w:val="0"/>
              <w:rPr>
                <w:noProof w:val="0"/>
              </w:rPr>
            </w:pPr>
            <w:r w:rsidRPr="00FF1F5E">
              <w:rPr>
                <w:noProof w:val="0"/>
              </w:rPr>
              <w:t>Limiting (e.g., limiting, limits your life, limitation)</w:t>
            </w:r>
          </w:p>
        </w:tc>
        <w:tc>
          <w:tcPr>
            <w:tcW w:w="990" w:type="dxa"/>
            <w:tcBorders>
              <w:top w:val="single" w:sz="4" w:space="0" w:color="000000"/>
              <w:left w:val="single" w:sz="4" w:space="0" w:color="000000"/>
              <w:bottom w:val="single" w:sz="4" w:space="0" w:color="000000"/>
            </w:tcBorders>
            <w:shd w:val="clear" w:color="auto" w:fill="auto"/>
          </w:tcPr>
          <w:p w14:paraId="5A9E9CE2" w14:textId="77777777" w:rsidR="000F77EA" w:rsidRPr="00FF1F5E" w:rsidRDefault="000F77EA" w:rsidP="000F77EA">
            <w:pPr>
              <w:adjustRightInd w:val="0"/>
              <w:snapToGrid w:val="0"/>
              <w:jc w:val="right"/>
              <w:rPr>
                <w:noProof w:val="0"/>
              </w:rPr>
            </w:pPr>
            <w:r w:rsidRPr="00FF1F5E">
              <w:rPr>
                <w:noProof w:val="0"/>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1F57900" w14:textId="77777777" w:rsidR="000F77EA" w:rsidRPr="00FF1F5E" w:rsidRDefault="000F77EA" w:rsidP="000F77EA">
            <w:pPr>
              <w:adjustRightInd w:val="0"/>
              <w:snapToGrid w:val="0"/>
              <w:jc w:val="right"/>
              <w:rPr>
                <w:noProof w:val="0"/>
              </w:rPr>
            </w:pPr>
            <w:r w:rsidRPr="00FF1F5E">
              <w:rPr>
                <w:noProof w:val="0"/>
              </w:rPr>
              <w:t>0.53</w:t>
            </w:r>
          </w:p>
        </w:tc>
      </w:tr>
      <w:tr w:rsidR="000F77EA" w:rsidRPr="00FF1F5E" w14:paraId="49FEC7B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B622D5F" w14:textId="77777777" w:rsidR="000F77EA" w:rsidRPr="00FF1F5E" w:rsidRDefault="000F77EA" w:rsidP="000F77EA">
            <w:pPr>
              <w:adjustRightInd w:val="0"/>
              <w:snapToGrid w:val="0"/>
              <w:rPr>
                <w:noProof w:val="0"/>
              </w:rPr>
            </w:pPr>
            <w:r w:rsidRPr="00FF1F5E">
              <w:rPr>
                <w:noProof w:val="0"/>
              </w:rPr>
              <w:t>Loss of quiet (e.g., loss of silence, lack of peace, no quiet)</w:t>
            </w:r>
          </w:p>
        </w:tc>
        <w:tc>
          <w:tcPr>
            <w:tcW w:w="990" w:type="dxa"/>
            <w:tcBorders>
              <w:top w:val="single" w:sz="4" w:space="0" w:color="000000"/>
              <w:left w:val="single" w:sz="4" w:space="0" w:color="000000"/>
              <w:bottom w:val="single" w:sz="4" w:space="0" w:color="000000"/>
            </w:tcBorders>
            <w:shd w:val="clear" w:color="auto" w:fill="auto"/>
          </w:tcPr>
          <w:p w14:paraId="30738049" w14:textId="77777777" w:rsidR="000F77EA" w:rsidRPr="00FF1F5E" w:rsidRDefault="000F77EA" w:rsidP="000F77EA">
            <w:pPr>
              <w:adjustRightInd w:val="0"/>
              <w:snapToGrid w:val="0"/>
              <w:jc w:val="right"/>
              <w:rPr>
                <w:noProof w:val="0"/>
              </w:rPr>
            </w:pPr>
            <w:r w:rsidRPr="00FF1F5E">
              <w:rPr>
                <w:noProof w:val="0"/>
              </w:rPr>
              <w:t>37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5A0D4437" w14:textId="77777777" w:rsidR="000F77EA" w:rsidRPr="00FF1F5E" w:rsidRDefault="000F77EA" w:rsidP="000F77EA">
            <w:pPr>
              <w:adjustRightInd w:val="0"/>
              <w:snapToGrid w:val="0"/>
              <w:jc w:val="right"/>
              <w:rPr>
                <w:noProof w:val="0"/>
              </w:rPr>
            </w:pPr>
            <w:r w:rsidRPr="00FF1F5E">
              <w:rPr>
                <w:noProof w:val="0"/>
              </w:rPr>
              <w:t>1.95</w:t>
            </w:r>
          </w:p>
        </w:tc>
      </w:tr>
      <w:tr w:rsidR="000F77EA" w:rsidRPr="00FF1F5E" w14:paraId="340BEDD9"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E3FF013" w14:textId="77777777" w:rsidR="000F77EA" w:rsidRPr="00FF1F5E" w:rsidRDefault="000F77EA" w:rsidP="000F77EA">
            <w:pPr>
              <w:adjustRightInd w:val="0"/>
              <w:snapToGrid w:val="0"/>
              <w:rPr>
                <w:noProof w:val="0"/>
              </w:rPr>
            </w:pPr>
            <w:r w:rsidRPr="00FF1F5E">
              <w:rPr>
                <w:noProof w:val="0"/>
              </w:rPr>
              <w:t>Miserable (e.g., sad, misery, bummer)</w:t>
            </w:r>
          </w:p>
        </w:tc>
        <w:tc>
          <w:tcPr>
            <w:tcW w:w="990" w:type="dxa"/>
            <w:tcBorders>
              <w:top w:val="single" w:sz="4" w:space="0" w:color="000000"/>
              <w:left w:val="single" w:sz="4" w:space="0" w:color="000000"/>
              <w:bottom w:val="single" w:sz="4" w:space="0" w:color="000000"/>
            </w:tcBorders>
            <w:shd w:val="clear" w:color="auto" w:fill="auto"/>
          </w:tcPr>
          <w:p w14:paraId="05E9DEC6" w14:textId="77777777" w:rsidR="000F77EA" w:rsidRPr="00FF1F5E" w:rsidRDefault="000F77EA" w:rsidP="000F77EA">
            <w:pPr>
              <w:adjustRightInd w:val="0"/>
              <w:snapToGrid w:val="0"/>
              <w:jc w:val="right"/>
              <w:rPr>
                <w:noProof w:val="0"/>
              </w:rPr>
            </w:pPr>
            <w:r w:rsidRPr="00FF1F5E">
              <w:rPr>
                <w:noProof w:val="0"/>
              </w:rPr>
              <w:t>45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8140B8C" w14:textId="77777777" w:rsidR="000F77EA" w:rsidRPr="00FF1F5E" w:rsidRDefault="000F77EA" w:rsidP="000F77EA">
            <w:pPr>
              <w:adjustRightInd w:val="0"/>
              <w:snapToGrid w:val="0"/>
              <w:jc w:val="right"/>
              <w:rPr>
                <w:noProof w:val="0"/>
              </w:rPr>
            </w:pPr>
            <w:r w:rsidRPr="00FF1F5E">
              <w:rPr>
                <w:noProof w:val="0"/>
              </w:rPr>
              <w:t>2.37</w:t>
            </w:r>
          </w:p>
        </w:tc>
      </w:tr>
      <w:tr w:rsidR="000F77EA" w:rsidRPr="00FF1F5E" w14:paraId="014EC49E"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8B07E90" w14:textId="77777777" w:rsidR="000F77EA" w:rsidRPr="00FF1F5E" w:rsidRDefault="000F77EA" w:rsidP="000F77EA">
            <w:pPr>
              <w:adjustRightInd w:val="0"/>
              <w:snapToGrid w:val="0"/>
              <w:rPr>
                <w:noProof w:val="0"/>
              </w:rPr>
            </w:pPr>
            <w:r w:rsidRPr="00FF1F5E">
              <w:rPr>
                <w:noProof w:val="0"/>
              </w:rPr>
              <w:t>Natural process (e.g., aging, old age, old)</w:t>
            </w:r>
          </w:p>
        </w:tc>
        <w:tc>
          <w:tcPr>
            <w:tcW w:w="990" w:type="dxa"/>
            <w:tcBorders>
              <w:top w:val="single" w:sz="4" w:space="0" w:color="000000"/>
              <w:left w:val="single" w:sz="4" w:space="0" w:color="000000"/>
              <w:bottom w:val="single" w:sz="4" w:space="0" w:color="000000"/>
            </w:tcBorders>
            <w:shd w:val="clear" w:color="auto" w:fill="auto"/>
          </w:tcPr>
          <w:p w14:paraId="35F44742" w14:textId="77777777" w:rsidR="000F77EA" w:rsidRPr="00FF1F5E" w:rsidRDefault="000F77EA" w:rsidP="000F77EA">
            <w:pPr>
              <w:adjustRightInd w:val="0"/>
              <w:snapToGrid w:val="0"/>
              <w:jc w:val="right"/>
              <w:rPr>
                <w:noProof w:val="0"/>
              </w:rPr>
            </w:pPr>
            <w:r w:rsidRPr="00FF1F5E">
              <w:rPr>
                <w:noProof w:val="0"/>
              </w:rPr>
              <w:t>21</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75E8CDC" w14:textId="77777777" w:rsidR="000F77EA" w:rsidRPr="00FF1F5E" w:rsidRDefault="000F77EA" w:rsidP="000F77EA">
            <w:pPr>
              <w:adjustRightInd w:val="0"/>
              <w:snapToGrid w:val="0"/>
              <w:jc w:val="right"/>
              <w:rPr>
                <w:noProof w:val="0"/>
              </w:rPr>
            </w:pPr>
            <w:r w:rsidRPr="00FF1F5E">
              <w:rPr>
                <w:noProof w:val="0"/>
              </w:rPr>
              <w:t>1.11</w:t>
            </w:r>
          </w:p>
        </w:tc>
      </w:tr>
      <w:tr w:rsidR="000F77EA" w:rsidRPr="00FF1F5E" w14:paraId="22B203A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5D99C11" w14:textId="77777777" w:rsidR="000F77EA" w:rsidRPr="00FF1F5E" w:rsidRDefault="000F77EA" w:rsidP="000F77EA">
            <w:pPr>
              <w:adjustRightInd w:val="0"/>
              <w:snapToGrid w:val="0"/>
              <w:rPr>
                <w:noProof w:val="0"/>
              </w:rPr>
            </w:pPr>
            <w:r w:rsidRPr="00FF1F5E">
              <w:rPr>
                <w:noProof w:val="0"/>
              </w:rPr>
              <w:t>Need to stop (e.g., please stop, make it go away, when will it go away)</w:t>
            </w:r>
          </w:p>
        </w:tc>
        <w:tc>
          <w:tcPr>
            <w:tcW w:w="990" w:type="dxa"/>
            <w:tcBorders>
              <w:top w:val="single" w:sz="4" w:space="0" w:color="000000"/>
              <w:left w:val="single" w:sz="4" w:space="0" w:color="000000"/>
              <w:bottom w:val="single" w:sz="4" w:space="0" w:color="000000"/>
            </w:tcBorders>
            <w:shd w:val="clear" w:color="auto" w:fill="auto"/>
          </w:tcPr>
          <w:p w14:paraId="48451AA2" w14:textId="77777777" w:rsidR="000F77EA" w:rsidRPr="00FF1F5E" w:rsidRDefault="000F77EA" w:rsidP="000F77EA">
            <w:pPr>
              <w:adjustRightInd w:val="0"/>
              <w:snapToGrid w:val="0"/>
              <w:jc w:val="right"/>
              <w:rPr>
                <w:noProof w:val="0"/>
              </w:rPr>
            </w:pPr>
            <w:r w:rsidRPr="00FF1F5E">
              <w:rPr>
                <w:noProof w:val="0"/>
              </w:rPr>
              <w:t>43</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E1B91B8" w14:textId="77777777" w:rsidR="000F77EA" w:rsidRPr="00FF1F5E" w:rsidRDefault="000F77EA" w:rsidP="000F77EA">
            <w:pPr>
              <w:adjustRightInd w:val="0"/>
              <w:snapToGrid w:val="0"/>
              <w:jc w:val="right"/>
              <w:rPr>
                <w:noProof w:val="0"/>
              </w:rPr>
            </w:pPr>
            <w:r w:rsidRPr="00FF1F5E">
              <w:rPr>
                <w:noProof w:val="0"/>
              </w:rPr>
              <w:t>2.26</w:t>
            </w:r>
          </w:p>
        </w:tc>
      </w:tr>
      <w:tr w:rsidR="000F77EA" w:rsidRPr="00FF1F5E" w14:paraId="74B95915"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2430645" w14:textId="77777777" w:rsidR="000F77EA" w:rsidRPr="00FF1F5E" w:rsidRDefault="000F77EA" w:rsidP="000F77EA">
            <w:pPr>
              <w:adjustRightInd w:val="0"/>
              <w:snapToGrid w:val="0"/>
              <w:rPr>
                <w:noProof w:val="0"/>
              </w:rPr>
            </w:pPr>
            <w:r w:rsidRPr="00FF1F5E">
              <w:rPr>
                <w:noProof w:val="0"/>
              </w:rPr>
              <w:t>Persistent (e.g., constant, never ending, persistent)</w:t>
            </w:r>
          </w:p>
        </w:tc>
        <w:tc>
          <w:tcPr>
            <w:tcW w:w="990" w:type="dxa"/>
            <w:tcBorders>
              <w:top w:val="single" w:sz="4" w:space="0" w:color="000000"/>
              <w:left w:val="single" w:sz="4" w:space="0" w:color="000000"/>
              <w:bottom w:val="single" w:sz="4" w:space="0" w:color="000000"/>
            </w:tcBorders>
            <w:shd w:val="clear" w:color="auto" w:fill="auto"/>
          </w:tcPr>
          <w:p w14:paraId="00544E6D" w14:textId="77777777" w:rsidR="000F77EA" w:rsidRPr="00FF1F5E" w:rsidRDefault="000F77EA" w:rsidP="000F77EA">
            <w:pPr>
              <w:adjustRightInd w:val="0"/>
              <w:snapToGrid w:val="0"/>
              <w:jc w:val="right"/>
              <w:rPr>
                <w:noProof w:val="0"/>
              </w:rPr>
            </w:pPr>
            <w:r w:rsidRPr="00FF1F5E">
              <w:rPr>
                <w:noProof w:val="0"/>
              </w:rPr>
              <w:t>151</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D515868" w14:textId="77777777" w:rsidR="000F77EA" w:rsidRPr="00FF1F5E" w:rsidRDefault="000F77EA" w:rsidP="000F77EA">
            <w:pPr>
              <w:adjustRightInd w:val="0"/>
              <w:snapToGrid w:val="0"/>
              <w:jc w:val="right"/>
              <w:rPr>
                <w:noProof w:val="0"/>
              </w:rPr>
            </w:pPr>
            <w:r w:rsidRPr="00FF1F5E">
              <w:rPr>
                <w:noProof w:val="0"/>
              </w:rPr>
              <w:t>7.95</w:t>
            </w:r>
          </w:p>
        </w:tc>
      </w:tr>
      <w:tr w:rsidR="000F77EA" w:rsidRPr="00FF1F5E" w14:paraId="231BD1DB"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059B77EA" w14:textId="77777777" w:rsidR="000F77EA" w:rsidRPr="00FF1F5E" w:rsidRDefault="000F77EA" w:rsidP="000F77EA">
            <w:pPr>
              <w:adjustRightInd w:val="0"/>
              <w:snapToGrid w:val="0"/>
              <w:rPr>
                <w:noProof w:val="0"/>
              </w:rPr>
            </w:pPr>
            <w:r w:rsidRPr="00FF1F5E">
              <w:rPr>
                <w:noProof w:val="0"/>
              </w:rPr>
              <w:t>Regret (e.g., regret not protecting hearing, poor choices, lesson learned)</w:t>
            </w:r>
          </w:p>
        </w:tc>
        <w:tc>
          <w:tcPr>
            <w:tcW w:w="990" w:type="dxa"/>
            <w:tcBorders>
              <w:top w:val="single" w:sz="4" w:space="0" w:color="000000"/>
              <w:left w:val="single" w:sz="4" w:space="0" w:color="000000"/>
              <w:bottom w:val="single" w:sz="4" w:space="0" w:color="000000"/>
            </w:tcBorders>
            <w:shd w:val="clear" w:color="auto" w:fill="auto"/>
          </w:tcPr>
          <w:p w14:paraId="3853F418" w14:textId="77777777" w:rsidR="000F77EA" w:rsidRPr="00FF1F5E" w:rsidRDefault="000F77EA" w:rsidP="000F77EA">
            <w:pPr>
              <w:adjustRightInd w:val="0"/>
              <w:snapToGrid w:val="0"/>
              <w:jc w:val="right"/>
              <w:rPr>
                <w:noProof w:val="0"/>
              </w:rPr>
            </w:pPr>
            <w:r w:rsidRPr="00FF1F5E">
              <w:rPr>
                <w:noProof w:val="0"/>
              </w:rPr>
              <w:t>12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7C81D61" w14:textId="77777777" w:rsidR="000F77EA" w:rsidRPr="00FF1F5E" w:rsidRDefault="000F77EA" w:rsidP="000F77EA">
            <w:pPr>
              <w:adjustRightInd w:val="0"/>
              <w:snapToGrid w:val="0"/>
              <w:jc w:val="right"/>
              <w:rPr>
                <w:noProof w:val="0"/>
              </w:rPr>
            </w:pPr>
            <w:r w:rsidRPr="00FF1F5E">
              <w:rPr>
                <w:noProof w:val="0"/>
              </w:rPr>
              <w:t>0.63</w:t>
            </w:r>
          </w:p>
        </w:tc>
      </w:tr>
      <w:tr w:rsidR="000F77EA" w:rsidRPr="00FF1F5E" w14:paraId="62B883BF"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D4E7A33" w14:textId="77777777" w:rsidR="000F77EA" w:rsidRPr="00FF1F5E" w:rsidRDefault="000F77EA" w:rsidP="000F77EA">
            <w:pPr>
              <w:adjustRightInd w:val="0"/>
              <w:snapToGrid w:val="0"/>
              <w:rPr>
                <w:noProof w:val="0"/>
              </w:rPr>
            </w:pPr>
            <w:r w:rsidRPr="00FF1F5E">
              <w:rPr>
                <w:noProof w:val="0"/>
              </w:rPr>
              <w:t>Tormenting (e.g., torture, tormenting, a living hell)</w:t>
            </w:r>
          </w:p>
        </w:tc>
        <w:tc>
          <w:tcPr>
            <w:tcW w:w="990" w:type="dxa"/>
            <w:tcBorders>
              <w:top w:val="single" w:sz="4" w:space="0" w:color="000000"/>
              <w:left w:val="single" w:sz="4" w:space="0" w:color="000000"/>
              <w:bottom w:val="single" w:sz="4" w:space="0" w:color="000000"/>
            </w:tcBorders>
            <w:shd w:val="clear" w:color="auto" w:fill="auto"/>
          </w:tcPr>
          <w:p w14:paraId="46B2E6D8" w14:textId="77777777" w:rsidR="000F77EA" w:rsidRPr="00FF1F5E" w:rsidRDefault="000F77EA" w:rsidP="000F77EA">
            <w:pPr>
              <w:adjustRightInd w:val="0"/>
              <w:snapToGrid w:val="0"/>
              <w:jc w:val="right"/>
              <w:rPr>
                <w:noProof w:val="0"/>
              </w:rPr>
            </w:pPr>
            <w:r w:rsidRPr="00FF1F5E">
              <w:rPr>
                <w:noProof w:val="0"/>
              </w:rPr>
              <w:t>27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584ED119" w14:textId="77777777" w:rsidR="000F77EA" w:rsidRPr="00FF1F5E" w:rsidRDefault="000F77EA" w:rsidP="000F77EA">
            <w:pPr>
              <w:adjustRightInd w:val="0"/>
              <w:snapToGrid w:val="0"/>
              <w:jc w:val="right"/>
              <w:rPr>
                <w:noProof w:val="0"/>
              </w:rPr>
            </w:pPr>
            <w:r w:rsidRPr="00FF1F5E">
              <w:rPr>
                <w:noProof w:val="0"/>
              </w:rPr>
              <w:t>1.42</w:t>
            </w:r>
          </w:p>
        </w:tc>
      </w:tr>
      <w:tr w:rsidR="000F77EA" w:rsidRPr="00FF1F5E" w14:paraId="0A2332AC"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5BA32428" w14:textId="77777777" w:rsidR="000F77EA" w:rsidRPr="00FF1F5E" w:rsidRDefault="000F77EA" w:rsidP="000F77EA">
            <w:pPr>
              <w:adjustRightInd w:val="0"/>
              <w:snapToGrid w:val="0"/>
              <w:rPr>
                <w:noProof w:val="0"/>
              </w:rPr>
            </w:pPr>
            <w:r w:rsidRPr="00FF1F5E">
              <w:rPr>
                <w:noProof w:val="0"/>
              </w:rPr>
              <w:t>Treatment (e.g., hearing aids, ear surgery, therapies that help</w:t>
            </w:r>
          </w:p>
        </w:tc>
        <w:tc>
          <w:tcPr>
            <w:tcW w:w="990" w:type="dxa"/>
            <w:tcBorders>
              <w:top w:val="single" w:sz="4" w:space="0" w:color="000000"/>
              <w:left w:val="single" w:sz="4" w:space="0" w:color="000000"/>
              <w:bottom w:val="single" w:sz="4" w:space="0" w:color="000000"/>
            </w:tcBorders>
            <w:shd w:val="clear" w:color="auto" w:fill="auto"/>
          </w:tcPr>
          <w:p w14:paraId="1CAEF058" w14:textId="77777777" w:rsidR="000F77EA" w:rsidRPr="00FF1F5E" w:rsidRDefault="000F77EA" w:rsidP="000F77EA">
            <w:pPr>
              <w:adjustRightInd w:val="0"/>
              <w:snapToGrid w:val="0"/>
              <w:jc w:val="right"/>
              <w:rPr>
                <w:noProof w:val="0"/>
              </w:rPr>
            </w:pPr>
            <w:r w:rsidRPr="00FF1F5E">
              <w:rPr>
                <w:noProof w:val="0"/>
              </w:rPr>
              <w:t>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E472353" w14:textId="77777777" w:rsidR="000F77EA" w:rsidRPr="00FF1F5E" w:rsidRDefault="000F77EA" w:rsidP="000F77EA">
            <w:pPr>
              <w:adjustRightInd w:val="0"/>
              <w:snapToGrid w:val="0"/>
              <w:jc w:val="right"/>
              <w:rPr>
                <w:noProof w:val="0"/>
              </w:rPr>
            </w:pPr>
            <w:r w:rsidRPr="00FF1F5E">
              <w:rPr>
                <w:noProof w:val="0"/>
              </w:rPr>
              <w:t>0.26</w:t>
            </w:r>
          </w:p>
        </w:tc>
      </w:tr>
      <w:tr w:rsidR="000F77EA" w:rsidRPr="00FF1F5E" w14:paraId="1C34B631"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035BAC5B" w14:textId="77777777" w:rsidR="000F77EA" w:rsidRPr="00FF1F5E" w:rsidRDefault="000F77EA" w:rsidP="000F77EA">
            <w:pPr>
              <w:adjustRightInd w:val="0"/>
              <w:snapToGrid w:val="0"/>
              <w:rPr>
                <w:noProof w:val="0"/>
              </w:rPr>
            </w:pPr>
            <w:r w:rsidRPr="00FF1F5E">
              <w:rPr>
                <w:noProof w:val="0"/>
              </w:rPr>
              <w:t xml:space="preserve">Unbearable (e.g., exasperating, unbearable, uncomfortable) </w:t>
            </w:r>
          </w:p>
        </w:tc>
        <w:tc>
          <w:tcPr>
            <w:tcW w:w="990" w:type="dxa"/>
            <w:tcBorders>
              <w:top w:val="single" w:sz="4" w:space="0" w:color="000000"/>
              <w:left w:val="single" w:sz="4" w:space="0" w:color="000000"/>
              <w:bottom w:val="single" w:sz="4" w:space="0" w:color="000000"/>
            </w:tcBorders>
            <w:shd w:val="clear" w:color="auto" w:fill="auto"/>
          </w:tcPr>
          <w:p w14:paraId="6EEFD78D" w14:textId="77777777" w:rsidR="000F77EA" w:rsidRPr="00FF1F5E" w:rsidRDefault="000F77EA" w:rsidP="000F77EA">
            <w:pPr>
              <w:adjustRightInd w:val="0"/>
              <w:snapToGrid w:val="0"/>
              <w:jc w:val="right"/>
              <w:rPr>
                <w:noProof w:val="0"/>
              </w:rPr>
            </w:pPr>
            <w:r w:rsidRPr="00FF1F5E">
              <w:rPr>
                <w:noProof w:val="0"/>
              </w:rPr>
              <w:t>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22D3AC8" w14:textId="77777777" w:rsidR="000F77EA" w:rsidRPr="00FF1F5E" w:rsidRDefault="000F77EA" w:rsidP="000F77EA">
            <w:pPr>
              <w:adjustRightInd w:val="0"/>
              <w:snapToGrid w:val="0"/>
              <w:jc w:val="right"/>
              <w:rPr>
                <w:noProof w:val="0"/>
              </w:rPr>
            </w:pPr>
            <w:r w:rsidRPr="00FF1F5E">
              <w:rPr>
                <w:noProof w:val="0"/>
              </w:rPr>
              <w:t>0.42</w:t>
            </w:r>
          </w:p>
        </w:tc>
      </w:tr>
      <w:tr w:rsidR="000F77EA" w:rsidRPr="00FF1F5E" w14:paraId="64FB05C6"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D3E3DBC" w14:textId="77777777" w:rsidR="000F77EA" w:rsidRPr="00FF1F5E" w:rsidRDefault="000F77EA" w:rsidP="000F77EA">
            <w:pPr>
              <w:adjustRightInd w:val="0"/>
              <w:snapToGrid w:val="0"/>
              <w:rPr>
                <w:noProof w:val="0"/>
              </w:rPr>
            </w:pPr>
            <w:r w:rsidRPr="00FF1F5E">
              <w:rPr>
                <w:noProof w:val="0"/>
              </w:rPr>
              <w:t xml:space="preserve">Uncontrollable (e.g., uncontrollable, lack of control, losing control) </w:t>
            </w:r>
          </w:p>
        </w:tc>
        <w:tc>
          <w:tcPr>
            <w:tcW w:w="990" w:type="dxa"/>
            <w:tcBorders>
              <w:top w:val="single" w:sz="4" w:space="0" w:color="000000"/>
              <w:left w:val="single" w:sz="4" w:space="0" w:color="000000"/>
              <w:bottom w:val="single" w:sz="4" w:space="0" w:color="000000"/>
            </w:tcBorders>
            <w:shd w:val="clear" w:color="auto" w:fill="auto"/>
          </w:tcPr>
          <w:p w14:paraId="47D32E29" w14:textId="77777777" w:rsidR="000F77EA" w:rsidRPr="00FF1F5E" w:rsidRDefault="000F77EA" w:rsidP="000F77EA">
            <w:pPr>
              <w:adjustRightInd w:val="0"/>
              <w:snapToGrid w:val="0"/>
              <w:jc w:val="right"/>
              <w:rPr>
                <w:noProof w:val="0"/>
              </w:rPr>
            </w:pPr>
            <w:r w:rsidRPr="00FF1F5E">
              <w:rPr>
                <w:noProof w:val="0"/>
              </w:rPr>
              <w:t>15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B9EC512" w14:textId="77777777" w:rsidR="000F77EA" w:rsidRPr="00FF1F5E" w:rsidRDefault="000F77EA" w:rsidP="000F77EA">
            <w:pPr>
              <w:adjustRightInd w:val="0"/>
              <w:snapToGrid w:val="0"/>
              <w:jc w:val="right"/>
              <w:rPr>
                <w:noProof w:val="0"/>
              </w:rPr>
            </w:pPr>
            <w:r w:rsidRPr="00FF1F5E">
              <w:rPr>
                <w:noProof w:val="0"/>
              </w:rPr>
              <w:t>0.79</w:t>
            </w:r>
          </w:p>
        </w:tc>
      </w:tr>
      <w:tr w:rsidR="000F77EA" w:rsidRPr="00FF1F5E" w14:paraId="66E050A7"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0D196CA7" w14:textId="77777777" w:rsidR="000F77EA" w:rsidRPr="00FF1F5E" w:rsidRDefault="000F77EA" w:rsidP="000F77EA">
            <w:pPr>
              <w:adjustRightInd w:val="0"/>
              <w:snapToGrid w:val="0"/>
              <w:rPr>
                <w:noProof w:val="0"/>
              </w:rPr>
            </w:pPr>
            <w:r w:rsidRPr="00FF1F5E">
              <w:rPr>
                <w:noProof w:val="0"/>
              </w:rPr>
              <w:t>Unfair (e.g., why me? unfair, not fair)</w:t>
            </w:r>
          </w:p>
        </w:tc>
        <w:tc>
          <w:tcPr>
            <w:tcW w:w="990" w:type="dxa"/>
            <w:tcBorders>
              <w:top w:val="single" w:sz="4" w:space="0" w:color="000000"/>
              <w:left w:val="single" w:sz="4" w:space="0" w:color="000000"/>
              <w:bottom w:val="single" w:sz="4" w:space="0" w:color="000000"/>
            </w:tcBorders>
            <w:shd w:val="clear" w:color="auto" w:fill="auto"/>
          </w:tcPr>
          <w:p w14:paraId="2369EF7A" w14:textId="77777777" w:rsidR="000F77EA" w:rsidRPr="00FF1F5E" w:rsidRDefault="000F77EA" w:rsidP="000F77EA">
            <w:pPr>
              <w:adjustRightInd w:val="0"/>
              <w:snapToGrid w:val="0"/>
              <w:jc w:val="right"/>
              <w:rPr>
                <w:noProof w:val="0"/>
              </w:rPr>
            </w:pPr>
            <w:r w:rsidRPr="00FF1F5E">
              <w:rPr>
                <w:noProof w:val="0"/>
              </w:rPr>
              <w:t>18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214E6A0" w14:textId="77777777" w:rsidR="000F77EA" w:rsidRPr="00FF1F5E" w:rsidRDefault="000F77EA" w:rsidP="000F77EA">
            <w:pPr>
              <w:adjustRightInd w:val="0"/>
              <w:snapToGrid w:val="0"/>
              <w:jc w:val="right"/>
              <w:rPr>
                <w:noProof w:val="0"/>
              </w:rPr>
            </w:pPr>
            <w:r w:rsidRPr="00FF1F5E">
              <w:rPr>
                <w:noProof w:val="0"/>
              </w:rPr>
              <w:t>0.95</w:t>
            </w:r>
          </w:p>
        </w:tc>
      </w:tr>
      <w:tr w:rsidR="000F77EA" w:rsidRPr="00FF1F5E" w14:paraId="4C2C541D"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6831047" w14:textId="77777777" w:rsidR="000F77EA" w:rsidRPr="00FF1F5E" w:rsidRDefault="000F77EA" w:rsidP="000F77EA">
            <w:pPr>
              <w:adjustRightInd w:val="0"/>
              <w:snapToGrid w:val="0"/>
              <w:rPr>
                <w:noProof w:val="0"/>
              </w:rPr>
            </w:pPr>
            <w:proofErr w:type="spellStart"/>
            <w:r w:rsidRPr="00FF1F5E">
              <w:rPr>
                <w:noProof w:val="0"/>
              </w:rPr>
              <w:t>Unintruding</w:t>
            </w:r>
            <w:proofErr w:type="spellEnd"/>
            <w:r w:rsidRPr="00FF1F5E">
              <w:rPr>
                <w:noProof w:val="0"/>
              </w:rPr>
              <w:t xml:space="preserve"> (e.g., background noise masking, masked, in the background)</w:t>
            </w:r>
          </w:p>
        </w:tc>
        <w:tc>
          <w:tcPr>
            <w:tcW w:w="990" w:type="dxa"/>
            <w:tcBorders>
              <w:top w:val="single" w:sz="4" w:space="0" w:color="000000"/>
              <w:left w:val="single" w:sz="4" w:space="0" w:color="000000"/>
              <w:bottom w:val="single" w:sz="4" w:space="0" w:color="000000"/>
            </w:tcBorders>
            <w:shd w:val="clear" w:color="auto" w:fill="auto"/>
          </w:tcPr>
          <w:p w14:paraId="2D144611" w14:textId="77777777" w:rsidR="000F77EA" w:rsidRPr="00FF1F5E" w:rsidRDefault="000F77EA" w:rsidP="000F77EA">
            <w:pPr>
              <w:adjustRightInd w:val="0"/>
              <w:snapToGrid w:val="0"/>
              <w:jc w:val="right"/>
              <w:rPr>
                <w:noProof w:val="0"/>
              </w:rPr>
            </w:pPr>
            <w:r w:rsidRPr="00FF1F5E">
              <w:rPr>
                <w:noProof w:val="0"/>
              </w:rPr>
              <w:t>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DD0BE95" w14:textId="77777777" w:rsidR="000F77EA" w:rsidRPr="00FF1F5E" w:rsidRDefault="000F77EA" w:rsidP="000F77EA">
            <w:pPr>
              <w:adjustRightInd w:val="0"/>
              <w:snapToGrid w:val="0"/>
              <w:jc w:val="right"/>
              <w:rPr>
                <w:noProof w:val="0"/>
              </w:rPr>
            </w:pPr>
            <w:r w:rsidRPr="00FF1F5E">
              <w:rPr>
                <w:noProof w:val="0"/>
              </w:rPr>
              <w:t>0.42</w:t>
            </w:r>
          </w:p>
        </w:tc>
      </w:tr>
    </w:tbl>
    <w:p w14:paraId="5BA3AB49" w14:textId="77777777" w:rsidR="000F77EA" w:rsidRPr="00FF1F5E" w:rsidRDefault="000F77EA" w:rsidP="000F77EA">
      <w:pPr>
        <w:pStyle w:val="Default"/>
        <w:autoSpaceDE/>
        <w:adjustRightInd w:val="0"/>
        <w:snapToGrid w:val="0"/>
        <w:rPr>
          <w:rFonts w:ascii="Times New Roman" w:hAnsi="Times New Roman" w:cs="Times New Roman"/>
          <w:color w:val="auto"/>
          <w:lang w:val="en-US"/>
        </w:rPr>
      </w:pPr>
    </w:p>
    <w:p w14:paraId="30EEE5B0" w14:textId="77777777" w:rsidR="000F77EA" w:rsidRPr="00FF1F5E" w:rsidRDefault="00681B3C" w:rsidP="00681B3C">
      <w:pPr>
        <w:pStyle w:val="MDPI41tablecaption"/>
      </w:pPr>
      <w:r w:rsidRPr="00FF1F5E">
        <w:rPr>
          <w:b/>
        </w:rPr>
        <w:t xml:space="preserve">Table 3. </w:t>
      </w:r>
      <w:r w:rsidR="000F77EA" w:rsidRPr="00FF1F5E">
        <w:t>Percentage of categories for health</w:t>
      </w:r>
      <w:r w:rsidRPr="00FF1F5E">
        <w:t>.</w:t>
      </w:r>
    </w:p>
    <w:tbl>
      <w:tblPr>
        <w:tblW w:w="0" w:type="auto"/>
        <w:tblInd w:w="-5" w:type="dxa"/>
        <w:tblLayout w:type="fixed"/>
        <w:tblLook w:val="0000" w:firstRow="0" w:lastRow="0" w:firstColumn="0" w:lastColumn="0" w:noHBand="0" w:noVBand="0"/>
      </w:tblPr>
      <w:tblGrid>
        <w:gridCol w:w="7578"/>
        <w:gridCol w:w="990"/>
        <w:gridCol w:w="820"/>
      </w:tblGrid>
      <w:tr w:rsidR="000F77EA" w:rsidRPr="00FF1F5E" w14:paraId="76605075" w14:textId="77777777" w:rsidTr="0011363A">
        <w:trPr>
          <w:trHeight w:val="300"/>
        </w:trPr>
        <w:tc>
          <w:tcPr>
            <w:tcW w:w="7578" w:type="dxa"/>
            <w:vMerge w:val="restart"/>
            <w:tcBorders>
              <w:top w:val="single" w:sz="4" w:space="0" w:color="000000"/>
              <w:left w:val="single" w:sz="4" w:space="0" w:color="000000"/>
              <w:bottom w:val="single" w:sz="4" w:space="0" w:color="000000"/>
            </w:tcBorders>
            <w:shd w:val="clear" w:color="auto" w:fill="auto"/>
          </w:tcPr>
          <w:p w14:paraId="57EE666E" w14:textId="77777777" w:rsidR="000F77EA" w:rsidRPr="00FF1F5E" w:rsidRDefault="000F77EA" w:rsidP="000F77EA">
            <w:pPr>
              <w:adjustRightInd w:val="0"/>
              <w:snapToGrid w:val="0"/>
              <w:rPr>
                <w:b/>
                <w:bCs/>
                <w:noProof w:val="0"/>
              </w:rPr>
            </w:pPr>
            <w:r w:rsidRPr="00FF1F5E">
              <w:rPr>
                <w:b/>
                <w:bCs/>
                <w:noProof w:val="0"/>
              </w:rPr>
              <w:t>Category</w: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tcPr>
          <w:p w14:paraId="6FDC6D77" w14:textId="77777777" w:rsidR="000F77EA" w:rsidRPr="00FF1F5E" w:rsidRDefault="000F77EA" w:rsidP="000F77EA">
            <w:pPr>
              <w:adjustRightInd w:val="0"/>
              <w:snapToGrid w:val="0"/>
              <w:rPr>
                <w:b/>
                <w:bCs/>
                <w:noProof w:val="0"/>
              </w:rPr>
            </w:pPr>
            <w:r w:rsidRPr="00FF1F5E">
              <w:rPr>
                <w:b/>
                <w:bCs/>
                <w:noProof w:val="0"/>
              </w:rPr>
              <w:t>Frequencies</w:t>
            </w:r>
          </w:p>
        </w:tc>
      </w:tr>
      <w:tr w:rsidR="000F77EA" w:rsidRPr="00FF1F5E" w14:paraId="151F56D1" w14:textId="77777777" w:rsidTr="0011363A">
        <w:trPr>
          <w:trHeight w:val="300"/>
        </w:trPr>
        <w:tc>
          <w:tcPr>
            <w:tcW w:w="7578" w:type="dxa"/>
            <w:vMerge/>
            <w:tcBorders>
              <w:top w:val="single" w:sz="4" w:space="0" w:color="000000"/>
              <w:left w:val="single" w:sz="4" w:space="0" w:color="000000"/>
              <w:bottom w:val="single" w:sz="4" w:space="0" w:color="000000"/>
            </w:tcBorders>
            <w:shd w:val="clear" w:color="auto" w:fill="auto"/>
          </w:tcPr>
          <w:p w14:paraId="67FB9DCD" w14:textId="77777777" w:rsidR="000F77EA" w:rsidRPr="00FF1F5E" w:rsidRDefault="000F77EA" w:rsidP="000F77EA">
            <w:pPr>
              <w:adjustRightInd w:val="0"/>
              <w:snapToGrid w:val="0"/>
              <w:rPr>
                <w:b/>
                <w:bCs/>
                <w:noProof w:val="0"/>
              </w:rPr>
            </w:pPr>
          </w:p>
        </w:tc>
        <w:tc>
          <w:tcPr>
            <w:tcW w:w="990" w:type="dxa"/>
            <w:tcBorders>
              <w:top w:val="single" w:sz="4" w:space="0" w:color="000000"/>
              <w:left w:val="single" w:sz="4" w:space="0" w:color="000000"/>
              <w:bottom w:val="single" w:sz="4" w:space="0" w:color="000000"/>
            </w:tcBorders>
            <w:shd w:val="clear" w:color="auto" w:fill="auto"/>
          </w:tcPr>
          <w:p w14:paraId="3AE1A0B5" w14:textId="77777777" w:rsidR="000F77EA" w:rsidRPr="00FF1F5E" w:rsidRDefault="000F77EA" w:rsidP="000F77EA">
            <w:pPr>
              <w:adjustRightInd w:val="0"/>
              <w:snapToGrid w:val="0"/>
              <w:rPr>
                <w:b/>
                <w:bCs/>
                <w:noProof w:val="0"/>
              </w:rPr>
            </w:pPr>
            <w:r w:rsidRPr="00FF1F5E">
              <w:rPr>
                <w:b/>
                <w:bCs/>
                <w:noProof w:val="0"/>
              </w:rPr>
              <w:t>N</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CDF146B" w14:textId="77777777" w:rsidR="000F77EA" w:rsidRPr="00FF1F5E" w:rsidRDefault="000F77EA" w:rsidP="000F77EA">
            <w:pPr>
              <w:adjustRightInd w:val="0"/>
              <w:snapToGrid w:val="0"/>
              <w:rPr>
                <w:b/>
                <w:bCs/>
                <w:noProof w:val="0"/>
              </w:rPr>
            </w:pPr>
            <w:r w:rsidRPr="00FF1F5E">
              <w:rPr>
                <w:b/>
                <w:bCs/>
                <w:noProof w:val="0"/>
              </w:rPr>
              <w:t>%</w:t>
            </w:r>
          </w:p>
        </w:tc>
      </w:tr>
      <w:tr w:rsidR="000F77EA" w:rsidRPr="00FF1F5E" w14:paraId="4BBE8E62"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E5252D6" w14:textId="77777777" w:rsidR="000F77EA" w:rsidRPr="00FF1F5E" w:rsidRDefault="000F77EA" w:rsidP="000F77EA">
            <w:pPr>
              <w:adjustRightInd w:val="0"/>
              <w:snapToGrid w:val="0"/>
              <w:rPr>
                <w:noProof w:val="0"/>
              </w:rPr>
            </w:pPr>
            <w:r w:rsidRPr="00FF1F5E">
              <w:rPr>
                <w:noProof w:val="0"/>
              </w:rPr>
              <w:t>Accepting (e.g., I’ll live with it, could be worse, acceptable)</w:t>
            </w:r>
          </w:p>
        </w:tc>
        <w:tc>
          <w:tcPr>
            <w:tcW w:w="990" w:type="dxa"/>
            <w:tcBorders>
              <w:top w:val="single" w:sz="4" w:space="0" w:color="000000"/>
              <w:left w:val="single" w:sz="4" w:space="0" w:color="000000"/>
              <w:bottom w:val="single" w:sz="4" w:space="0" w:color="000000"/>
            </w:tcBorders>
            <w:shd w:val="clear" w:color="auto" w:fill="auto"/>
          </w:tcPr>
          <w:p w14:paraId="6740BD72" w14:textId="77777777" w:rsidR="000F77EA" w:rsidRPr="00FF1F5E" w:rsidRDefault="000F77EA" w:rsidP="000F77EA">
            <w:pPr>
              <w:adjustRightInd w:val="0"/>
              <w:snapToGrid w:val="0"/>
              <w:jc w:val="right"/>
              <w:rPr>
                <w:noProof w:val="0"/>
              </w:rPr>
            </w:pPr>
            <w:r w:rsidRPr="00FF1F5E">
              <w:rPr>
                <w:noProof w:val="0"/>
              </w:rPr>
              <w:t>69</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9B0B939" w14:textId="77777777" w:rsidR="000F77EA" w:rsidRPr="00FF1F5E" w:rsidRDefault="000F77EA" w:rsidP="000F77EA">
            <w:pPr>
              <w:adjustRightInd w:val="0"/>
              <w:snapToGrid w:val="0"/>
              <w:jc w:val="right"/>
              <w:rPr>
                <w:noProof w:val="0"/>
              </w:rPr>
            </w:pPr>
            <w:r w:rsidRPr="00FF1F5E">
              <w:rPr>
                <w:noProof w:val="0"/>
              </w:rPr>
              <w:t>3.67</w:t>
            </w:r>
          </w:p>
        </w:tc>
      </w:tr>
      <w:tr w:rsidR="000F77EA" w:rsidRPr="00FF1F5E" w14:paraId="6299A40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86914CC" w14:textId="77777777" w:rsidR="000F77EA" w:rsidRPr="00FF1F5E" w:rsidRDefault="000F77EA" w:rsidP="000F77EA">
            <w:pPr>
              <w:adjustRightInd w:val="0"/>
              <w:snapToGrid w:val="0"/>
              <w:rPr>
                <w:noProof w:val="0"/>
              </w:rPr>
            </w:pPr>
            <w:r w:rsidRPr="00FF1F5E">
              <w:rPr>
                <w:noProof w:val="0"/>
              </w:rPr>
              <w:t>Active (e.g., exercise, fitness, staying active, walking, workout)</w:t>
            </w:r>
          </w:p>
        </w:tc>
        <w:tc>
          <w:tcPr>
            <w:tcW w:w="990" w:type="dxa"/>
            <w:tcBorders>
              <w:top w:val="single" w:sz="4" w:space="0" w:color="000000"/>
              <w:left w:val="single" w:sz="4" w:space="0" w:color="000000"/>
              <w:bottom w:val="single" w:sz="4" w:space="0" w:color="000000"/>
            </w:tcBorders>
            <w:shd w:val="clear" w:color="auto" w:fill="auto"/>
          </w:tcPr>
          <w:p w14:paraId="224FD617" w14:textId="77777777" w:rsidR="000F77EA" w:rsidRPr="00FF1F5E" w:rsidRDefault="000F77EA" w:rsidP="000F77EA">
            <w:pPr>
              <w:adjustRightInd w:val="0"/>
              <w:snapToGrid w:val="0"/>
              <w:jc w:val="right"/>
              <w:rPr>
                <w:noProof w:val="0"/>
              </w:rPr>
            </w:pPr>
            <w:r w:rsidRPr="00FF1F5E">
              <w:rPr>
                <w:noProof w:val="0"/>
              </w:rPr>
              <w:t>132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BD4ED1F" w14:textId="77777777" w:rsidR="000F77EA" w:rsidRPr="00FF1F5E" w:rsidRDefault="000F77EA" w:rsidP="000F77EA">
            <w:pPr>
              <w:adjustRightInd w:val="0"/>
              <w:snapToGrid w:val="0"/>
              <w:jc w:val="right"/>
              <w:rPr>
                <w:noProof w:val="0"/>
              </w:rPr>
            </w:pPr>
            <w:r w:rsidRPr="00FF1F5E">
              <w:rPr>
                <w:noProof w:val="0"/>
              </w:rPr>
              <w:t>7.02</w:t>
            </w:r>
          </w:p>
        </w:tc>
      </w:tr>
      <w:tr w:rsidR="000F77EA" w:rsidRPr="00FF1F5E" w14:paraId="10AA5601"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B35FAB4" w14:textId="77777777" w:rsidR="000F77EA" w:rsidRPr="00FF1F5E" w:rsidRDefault="000F77EA" w:rsidP="000F77EA">
            <w:pPr>
              <w:adjustRightInd w:val="0"/>
              <w:snapToGrid w:val="0"/>
              <w:rPr>
                <w:noProof w:val="0"/>
              </w:rPr>
            </w:pPr>
            <w:r w:rsidRPr="00FF1F5E">
              <w:rPr>
                <w:noProof w:val="0"/>
              </w:rPr>
              <w:t>Aging (e.g., aging, getting old, old age)</w:t>
            </w:r>
          </w:p>
        </w:tc>
        <w:tc>
          <w:tcPr>
            <w:tcW w:w="990" w:type="dxa"/>
            <w:tcBorders>
              <w:top w:val="single" w:sz="4" w:space="0" w:color="000000"/>
              <w:left w:val="single" w:sz="4" w:space="0" w:color="000000"/>
              <w:bottom w:val="single" w:sz="4" w:space="0" w:color="000000"/>
            </w:tcBorders>
            <w:shd w:val="clear" w:color="auto" w:fill="auto"/>
          </w:tcPr>
          <w:p w14:paraId="20DFAFA6" w14:textId="77777777" w:rsidR="000F77EA" w:rsidRPr="00FF1F5E" w:rsidRDefault="000F77EA" w:rsidP="000F77EA">
            <w:pPr>
              <w:adjustRightInd w:val="0"/>
              <w:snapToGrid w:val="0"/>
              <w:jc w:val="right"/>
              <w:rPr>
                <w:noProof w:val="0"/>
              </w:rPr>
            </w:pPr>
            <w:r w:rsidRPr="00FF1F5E">
              <w:rPr>
                <w:noProof w:val="0"/>
              </w:rPr>
              <w:t>48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0622821" w14:textId="77777777" w:rsidR="000F77EA" w:rsidRPr="00FF1F5E" w:rsidRDefault="000F77EA" w:rsidP="000F77EA">
            <w:pPr>
              <w:adjustRightInd w:val="0"/>
              <w:snapToGrid w:val="0"/>
              <w:jc w:val="right"/>
              <w:rPr>
                <w:noProof w:val="0"/>
              </w:rPr>
            </w:pPr>
            <w:r w:rsidRPr="00FF1F5E">
              <w:rPr>
                <w:noProof w:val="0"/>
              </w:rPr>
              <w:t>2.55</w:t>
            </w:r>
          </w:p>
        </w:tc>
      </w:tr>
      <w:tr w:rsidR="000F77EA" w:rsidRPr="00FF1F5E" w14:paraId="47DB303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1B219EF" w14:textId="77777777" w:rsidR="000F77EA" w:rsidRPr="00FF1F5E" w:rsidRDefault="000F77EA" w:rsidP="000F77EA">
            <w:pPr>
              <w:adjustRightInd w:val="0"/>
              <w:snapToGrid w:val="0"/>
              <w:rPr>
                <w:noProof w:val="0"/>
              </w:rPr>
            </w:pPr>
            <w:r w:rsidRPr="00FF1F5E">
              <w:rPr>
                <w:noProof w:val="0"/>
              </w:rPr>
              <w:t>Conditions (diabetes, low blood pressure, back discomfort</w:t>
            </w:r>
          </w:p>
        </w:tc>
        <w:tc>
          <w:tcPr>
            <w:tcW w:w="990" w:type="dxa"/>
            <w:tcBorders>
              <w:top w:val="single" w:sz="4" w:space="0" w:color="000000"/>
              <w:left w:val="single" w:sz="4" w:space="0" w:color="000000"/>
              <w:bottom w:val="single" w:sz="4" w:space="0" w:color="000000"/>
            </w:tcBorders>
            <w:shd w:val="clear" w:color="auto" w:fill="auto"/>
          </w:tcPr>
          <w:p w14:paraId="5899E128" w14:textId="77777777" w:rsidR="000F77EA" w:rsidRPr="00FF1F5E" w:rsidRDefault="000F77EA" w:rsidP="000F77EA">
            <w:pPr>
              <w:adjustRightInd w:val="0"/>
              <w:snapToGrid w:val="0"/>
              <w:jc w:val="right"/>
              <w:rPr>
                <w:noProof w:val="0"/>
              </w:rPr>
            </w:pPr>
            <w:r w:rsidRPr="00FF1F5E">
              <w:rPr>
                <w:noProof w:val="0"/>
              </w:rPr>
              <w:t>150</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225F94C6" w14:textId="77777777" w:rsidR="000F77EA" w:rsidRPr="00FF1F5E" w:rsidRDefault="000F77EA" w:rsidP="000F77EA">
            <w:pPr>
              <w:adjustRightInd w:val="0"/>
              <w:snapToGrid w:val="0"/>
              <w:jc w:val="right"/>
              <w:rPr>
                <w:noProof w:val="0"/>
              </w:rPr>
            </w:pPr>
            <w:r w:rsidRPr="00FF1F5E">
              <w:rPr>
                <w:noProof w:val="0"/>
              </w:rPr>
              <w:t>7.97</w:t>
            </w:r>
          </w:p>
        </w:tc>
      </w:tr>
      <w:tr w:rsidR="000F77EA" w:rsidRPr="00FF1F5E" w14:paraId="43EAEAB4"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ED5A857" w14:textId="77777777" w:rsidR="000F77EA" w:rsidRPr="00FF1F5E" w:rsidRDefault="000F77EA" w:rsidP="000F77EA">
            <w:pPr>
              <w:adjustRightInd w:val="0"/>
              <w:snapToGrid w:val="0"/>
              <w:rPr>
                <w:noProof w:val="0"/>
              </w:rPr>
            </w:pPr>
            <w:r w:rsidRPr="00FF1F5E">
              <w:rPr>
                <w:noProof w:val="0"/>
              </w:rPr>
              <w:t>Content (e.g., cheerfulness, good, somewhat satisfied))</w:t>
            </w:r>
          </w:p>
        </w:tc>
        <w:tc>
          <w:tcPr>
            <w:tcW w:w="990" w:type="dxa"/>
            <w:tcBorders>
              <w:top w:val="single" w:sz="4" w:space="0" w:color="000000"/>
              <w:left w:val="single" w:sz="4" w:space="0" w:color="000000"/>
              <w:bottom w:val="single" w:sz="4" w:space="0" w:color="000000"/>
            </w:tcBorders>
            <w:shd w:val="clear" w:color="auto" w:fill="auto"/>
          </w:tcPr>
          <w:p w14:paraId="25A7DCD6" w14:textId="77777777" w:rsidR="000F77EA" w:rsidRPr="00FF1F5E" w:rsidRDefault="000F77EA" w:rsidP="000F77EA">
            <w:pPr>
              <w:adjustRightInd w:val="0"/>
              <w:snapToGrid w:val="0"/>
              <w:jc w:val="right"/>
              <w:rPr>
                <w:noProof w:val="0"/>
              </w:rPr>
            </w:pPr>
            <w:r w:rsidRPr="00FF1F5E">
              <w:rPr>
                <w:noProof w:val="0"/>
              </w:rPr>
              <w:t>223</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3CFBF4E" w14:textId="77777777" w:rsidR="000F77EA" w:rsidRPr="00FF1F5E" w:rsidRDefault="000F77EA" w:rsidP="000F77EA">
            <w:pPr>
              <w:adjustRightInd w:val="0"/>
              <w:snapToGrid w:val="0"/>
              <w:jc w:val="right"/>
              <w:rPr>
                <w:noProof w:val="0"/>
              </w:rPr>
            </w:pPr>
            <w:r w:rsidRPr="00FF1F5E">
              <w:rPr>
                <w:noProof w:val="0"/>
              </w:rPr>
              <w:t>11.86</w:t>
            </w:r>
          </w:p>
        </w:tc>
      </w:tr>
      <w:tr w:rsidR="000F77EA" w:rsidRPr="00FF1F5E" w14:paraId="31F14843"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63ACD4A" w14:textId="77777777" w:rsidR="000F77EA" w:rsidRPr="00FF1F5E" w:rsidRDefault="000F77EA" w:rsidP="000F77EA">
            <w:pPr>
              <w:adjustRightInd w:val="0"/>
              <w:snapToGrid w:val="0"/>
              <w:rPr>
                <w:noProof w:val="0"/>
              </w:rPr>
            </w:pPr>
            <w:r w:rsidRPr="00FF1F5E">
              <w:rPr>
                <w:noProof w:val="0"/>
              </w:rPr>
              <w:t>Depression (e.g., depressed, sad, depressing)</w:t>
            </w:r>
          </w:p>
        </w:tc>
        <w:tc>
          <w:tcPr>
            <w:tcW w:w="990" w:type="dxa"/>
            <w:tcBorders>
              <w:top w:val="single" w:sz="4" w:space="0" w:color="000000"/>
              <w:left w:val="single" w:sz="4" w:space="0" w:color="000000"/>
              <w:bottom w:val="single" w:sz="4" w:space="0" w:color="000000"/>
            </w:tcBorders>
            <w:shd w:val="clear" w:color="auto" w:fill="auto"/>
          </w:tcPr>
          <w:p w14:paraId="38E257D1" w14:textId="77777777" w:rsidR="000F77EA" w:rsidRPr="00FF1F5E" w:rsidRDefault="000F77EA" w:rsidP="000F77EA">
            <w:pPr>
              <w:adjustRightInd w:val="0"/>
              <w:snapToGrid w:val="0"/>
              <w:jc w:val="right"/>
              <w:rPr>
                <w:noProof w:val="0"/>
              </w:rPr>
            </w:pPr>
            <w:r w:rsidRPr="00FF1F5E">
              <w:rPr>
                <w:noProof w:val="0"/>
              </w:rPr>
              <w:t>22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5E4FAEC9" w14:textId="77777777" w:rsidR="000F77EA" w:rsidRPr="00FF1F5E" w:rsidRDefault="000F77EA" w:rsidP="000F77EA">
            <w:pPr>
              <w:adjustRightInd w:val="0"/>
              <w:snapToGrid w:val="0"/>
              <w:jc w:val="right"/>
              <w:rPr>
                <w:noProof w:val="0"/>
              </w:rPr>
            </w:pPr>
            <w:r w:rsidRPr="00FF1F5E">
              <w:rPr>
                <w:noProof w:val="0"/>
              </w:rPr>
              <w:t>1.17</w:t>
            </w:r>
          </w:p>
        </w:tc>
      </w:tr>
      <w:tr w:rsidR="000F77EA" w:rsidRPr="00FF1F5E" w14:paraId="20934666"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106DF3C1" w14:textId="77777777" w:rsidR="000F77EA" w:rsidRPr="00FF1F5E" w:rsidRDefault="000F77EA" w:rsidP="000F77EA">
            <w:pPr>
              <w:adjustRightInd w:val="0"/>
              <w:snapToGrid w:val="0"/>
              <w:rPr>
                <w:noProof w:val="0"/>
              </w:rPr>
            </w:pPr>
            <w:r w:rsidRPr="00FF1F5E">
              <w:rPr>
                <w:noProof w:val="0"/>
              </w:rPr>
              <w:t>Deteriorating (e.g., deteriorating, weakened, loss of strength)</w:t>
            </w:r>
          </w:p>
        </w:tc>
        <w:tc>
          <w:tcPr>
            <w:tcW w:w="990" w:type="dxa"/>
            <w:tcBorders>
              <w:top w:val="single" w:sz="4" w:space="0" w:color="000000"/>
              <w:left w:val="single" w:sz="4" w:space="0" w:color="000000"/>
              <w:bottom w:val="single" w:sz="4" w:space="0" w:color="000000"/>
            </w:tcBorders>
            <w:shd w:val="clear" w:color="auto" w:fill="auto"/>
          </w:tcPr>
          <w:p w14:paraId="652CFC8B" w14:textId="77777777" w:rsidR="000F77EA" w:rsidRPr="00FF1F5E" w:rsidRDefault="000F77EA" w:rsidP="000F77EA">
            <w:pPr>
              <w:adjustRightInd w:val="0"/>
              <w:snapToGrid w:val="0"/>
              <w:jc w:val="right"/>
              <w:rPr>
                <w:noProof w:val="0"/>
              </w:rPr>
            </w:pPr>
            <w:r w:rsidRPr="00FF1F5E">
              <w:rPr>
                <w:noProof w:val="0"/>
              </w:rPr>
              <w:t>64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9E13AA3" w14:textId="77777777" w:rsidR="000F77EA" w:rsidRPr="00FF1F5E" w:rsidRDefault="000F77EA" w:rsidP="000F77EA">
            <w:pPr>
              <w:adjustRightInd w:val="0"/>
              <w:snapToGrid w:val="0"/>
              <w:jc w:val="right"/>
              <w:rPr>
                <w:noProof w:val="0"/>
              </w:rPr>
            </w:pPr>
            <w:r w:rsidRPr="00FF1F5E">
              <w:rPr>
                <w:noProof w:val="0"/>
              </w:rPr>
              <w:t>3.4</w:t>
            </w:r>
          </w:p>
        </w:tc>
      </w:tr>
      <w:tr w:rsidR="000F77EA" w:rsidRPr="00FF1F5E" w14:paraId="07C32A40"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D007FF6" w14:textId="77777777" w:rsidR="000F77EA" w:rsidRPr="00FF1F5E" w:rsidRDefault="000F77EA" w:rsidP="000F77EA">
            <w:pPr>
              <w:adjustRightInd w:val="0"/>
              <w:snapToGrid w:val="0"/>
              <w:rPr>
                <w:noProof w:val="0"/>
              </w:rPr>
            </w:pPr>
            <w:r w:rsidRPr="00FF1F5E">
              <w:rPr>
                <w:noProof w:val="0"/>
              </w:rPr>
              <w:t>Discontent (e.g., lackluster, room for improvement, been better)</w:t>
            </w:r>
          </w:p>
        </w:tc>
        <w:tc>
          <w:tcPr>
            <w:tcW w:w="990" w:type="dxa"/>
            <w:tcBorders>
              <w:top w:val="single" w:sz="4" w:space="0" w:color="000000"/>
              <w:left w:val="single" w:sz="4" w:space="0" w:color="000000"/>
              <w:bottom w:val="single" w:sz="4" w:space="0" w:color="000000"/>
            </w:tcBorders>
            <w:shd w:val="clear" w:color="auto" w:fill="auto"/>
          </w:tcPr>
          <w:p w14:paraId="2739D018" w14:textId="77777777" w:rsidR="000F77EA" w:rsidRPr="00FF1F5E" w:rsidRDefault="000F77EA" w:rsidP="000F77EA">
            <w:pPr>
              <w:adjustRightInd w:val="0"/>
              <w:snapToGrid w:val="0"/>
              <w:jc w:val="right"/>
              <w:rPr>
                <w:noProof w:val="0"/>
              </w:rPr>
            </w:pPr>
            <w:r w:rsidRPr="00FF1F5E">
              <w:rPr>
                <w:noProof w:val="0"/>
              </w:rPr>
              <w:t>49</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FF0E662" w14:textId="77777777" w:rsidR="000F77EA" w:rsidRPr="00FF1F5E" w:rsidRDefault="000F77EA" w:rsidP="000F77EA">
            <w:pPr>
              <w:adjustRightInd w:val="0"/>
              <w:snapToGrid w:val="0"/>
              <w:jc w:val="right"/>
              <w:rPr>
                <w:noProof w:val="0"/>
              </w:rPr>
            </w:pPr>
            <w:r w:rsidRPr="00FF1F5E">
              <w:rPr>
                <w:noProof w:val="0"/>
              </w:rPr>
              <w:t>2.6</w:t>
            </w:r>
          </w:p>
        </w:tc>
      </w:tr>
      <w:tr w:rsidR="000F77EA" w:rsidRPr="00FF1F5E" w14:paraId="39F4B2FA"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5389B69" w14:textId="77777777" w:rsidR="000F77EA" w:rsidRPr="00FF1F5E" w:rsidRDefault="000F77EA" w:rsidP="000F77EA">
            <w:pPr>
              <w:adjustRightInd w:val="0"/>
              <w:snapToGrid w:val="0"/>
              <w:rPr>
                <w:noProof w:val="0"/>
              </w:rPr>
            </w:pPr>
            <w:r w:rsidRPr="00FF1F5E">
              <w:rPr>
                <w:noProof w:val="0"/>
              </w:rPr>
              <w:t>Distressing (e.g., chronic pain, distressing, frustrating)</w:t>
            </w:r>
          </w:p>
        </w:tc>
        <w:tc>
          <w:tcPr>
            <w:tcW w:w="990" w:type="dxa"/>
            <w:tcBorders>
              <w:top w:val="single" w:sz="4" w:space="0" w:color="000000"/>
              <w:left w:val="single" w:sz="4" w:space="0" w:color="000000"/>
              <w:bottom w:val="single" w:sz="4" w:space="0" w:color="000000"/>
            </w:tcBorders>
            <w:shd w:val="clear" w:color="auto" w:fill="auto"/>
          </w:tcPr>
          <w:p w14:paraId="47AEF3E5" w14:textId="77777777" w:rsidR="000F77EA" w:rsidRPr="00FF1F5E" w:rsidRDefault="000F77EA" w:rsidP="000F77EA">
            <w:pPr>
              <w:adjustRightInd w:val="0"/>
              <w:snapToGrid w:val="0"/>
              <w:jc w:val="right"/>
              <w:rPr>
                <w:noProof w:val="0"/>
              </w:rPr>
            </w:pPr>
            <w:r w:rsidRPr="00FF1F5E">
              <w:rPr>
                <w:noProof w:val="0"/>
              </w:rPr>
              <w:t>77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DCF6F7C" w14:textId="77777777" w:rsidR="000F77EA" w:rsidRPr="00FF1F5E" w:rsidRDefault="000F77EA" w:rsidP="000F77EA">
            <w:pPr>
              <w:adjustRightInd w:val="0"/>
              <w:snapToGrid w:val="0"/>
              <w:jc w:val="right"/>
              <w:rPr>
                <w:noProof w:val="0"/>
              </w:rPr>
            </w:pPr>
            <w:r w:rsidRPr="00FF1F5E">
              <w:rPr>
                <w:noProof w:val="0"/>
              </w:rPr>
              <w:t>4.09</w:t>
            </w:r>
          </w:p>
        </w:tc>
      </w:tr>
      <w:tr w:rsidR="000F77EA" w:rsidRPr="00FF1F5E" w14:paraId="3A074355"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B82ECDF" w14:textId="77777777" w:rsidR="000F77EA" w:rsidRPr="00FF1F5E" w:rsidRDefault="000F77EA" w:rsidP="000F77EA">
            <w:pPr>
              <w:adjustRightInd w:val="0"/>
              <w:snapToGrid w:val="0"/>
              <w:rPr>
                <w:noProof w:val="0"/>
              </w:rPr>
            </w:pPr>
            <w:r w:rsidRPr="00FF1F5E">
              <w:rPr>
                <w:noProof w:val="0"/>
              </w:rPr>
              <w:t>Grateful (e.g., blessed, important, thankful)</w:t>
            </w:r>
          </w:p>
        </w:tc>
        <w:tc>
          <w:tcPr>
            <w:tcW w:w="990" w:type="dxa"/>
            <w:tcBorders>
              <w:top w:val="single" w:sz="4" w:space="0" w:color="000000"/>
              <w:left w:val="single" w:sz="4" w:space="0" w:color="000000"/>
              <w:bottom w:val="single" w:sz="4" w:space="0" w:color="000000"/>
            </w:tcBorders>
            <w:shd w:val="clear" w:color="auto" w:fill="auto"/>
          </w:tcPr>
          <w:p w14:paraId="68C60EDC" w14:textId="77777777" w:rsidR="000F77EA" w:rsidRPr="00FF1F5E" w:rsidRDefault="000F77EA" w:rsidP="000F77EA">
            <w:pPr>
              <w:adjustRightInd w:val="0"/>
              <w:snapToGrid w:val="0"/>
              <w:jc w:val="right"/>
              <w:rPr>
                <w:noProof w:val="0"/>
              </w:rPr>
            </w:pPr>
            <w:r w:rsidRPr="00FF1F5E">
              <w:rPr>
                <w:noProof w:val="0"/>
              </w:rPr>
              <w:t>68</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13504D6" w14:textId="77777777" w:rsidR="000F77EA" w:rsidRPr="00FF1F5E" w:rsidRDefault="000F77EA" w:rsidP="000F77EA">
            <w:pPr>
              <w:adjustRightInd w:val="0"/>
              <w:snapToGrid w:val="0"/>
              <w:jc w:val="right"/>
              <w:rPr>
                <w:noProof w:val="0"/>
              </w:rPr>
            </w:pPr>
            <w:r w:rsidRPr="00FF1F5E">
              <w:rPr>
                <w:noProof w:val="0"/>
              </w:rPr>
              <w:t>3.62</w:t>
            </w:r>
          </w:p>
        </w:tc>
      </w:tr>
      <w:tr w:rsidR="000F77EA" w:rsidRPr="00FF1F5E" w14:paraId="6A11203B"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3AEF98F" w14:textId="77777777" w:rsidR="000F77EA" w:rsidRPr="00FF1F5E" w:rsidRDefault="000F77EA" w:rsidP="000F77EA">
            <w:pPr>
              <w:adjustRightInd w:val="0"/>
              <w:snapToGrid w:val="0"/>
              <w:rPr>
                <w:noProof w:val="0"/>
              </w:rPr>
            </w:pPr>
            <w:r w:rsidRPr="00FF1F5E">
              <w:rPr>
                <w:noProof w:val="0"/>
              </w:rPr>
              <w:t>Healthy (e.g., overall healthy, better than most, balanced)</w:t>
            </w:r>
          </w:p>
        </w:tc>
        <w:tc>
          <w:tcPr>
            <w:tcW w:w="990" w:type="dxa"/>
            <w:tcBorders>
              <w:top w:val="single" w:sz="4" w:space="0" w:color="000000"/>
              <w:left w:val="single" w:sz="4" w:space="0" w:color="000000"/>
              <w:bottom w:val="single" w:sz="4" w:space="0" w:color="000000"/>
            </w:tcBorders>
            <w:shd w:val="clear" w:color="auto" w:fill="auto"/>
          </w:tcPr>
          <w:p w14:paraId="2AA8A915" w14:textId="77777777" w:rsidR="000F77EA" w:rsidRPr="00FF1F5E" w:rsidRDefault="000F77EA" w:rsidP="000F77EA">
            <w:pPr>
              <w:adjustRightInd w:val="0"/>
              <w:snapToGrid w:val="0"/>
              <w:jc w:val="right"/>
              <w:rPr>
                <w:noProof w:val="0"/>
              </w:rPr>
            </w:pPr>
            <w:r w:rsidRPr="00FF1F5E">
              <w:rPr>
                <w:noProof w:val="0"/>
              </w:rPr>
              <w:t>126</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236B6512" w14:textId="77777777" w:rsidR="000F77EA" w:rsidRPr="00FF1F5E" w:rsidRDefault="000F77EA" w:rsidP="000F77EA">
            <w:pPr>
              <w:adjustRightInd w:val="0"/>
              <w:snapToGrid w:val="0"/>
              <w:jc w:val="right"/>
              <w:rPr>
                <w:noProof w:val="0"/>
              </w:rPr>
            </w:pPr>
            <w:r w:rsidRPr="00FF1F5E">
              <w:rPr>
                <w:noProof w:val="0"/>
              </w:rPr>
              <w:t>6.7</w:t>
            </w:r>
          </w:p>
        </w:tc>
      </w:tr>
      <w:tr w:rsidR="000F77EA" w:rsidRPr="00FF1F5E" w14:paraId="0A522F6E"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E0E5638" w14:textId="77777777" w:rsidR="000F77EA" w:rsidRPr="00FF1F5E" w:rsidRDefault="000F77EA" w:rsidP="000F77EA">
            <w:pPr>
              <w:adjustRightInd w:val="0"/>
              <w:snapToGrid w:val="0"/>
              <w:rPr>
                <w:noProof w:val="0"/>
              </w:rPr>
            </w:pPr>
            <w:r w:rsidRPr="00FF1F5E">
              <w:rPr>
                <w:noProof w:val="0"/>
              </w:rPr>
              <w:t>Hearing health (e.g., tinnitus, ear infections, hearing loss)</w:t>
            </w:r>
          </w:p>
        </w:tc>
        <w:tc>
          <w:tcPr>
            <w:tcW w:w="990" w:type="dxa"/>
            <w:tcBorders>
              <w:top w:val="single" w:sz="4" w:space="0" w:color="000000"/>
              <w:left w:val="single" w:sz="4" w:space="0" w:color="000000"/>
              <w:bottom w:val="single" w:sz="4" w:space="0" w:color="000000"/>
            </w:tcBorders>
            <w:shd w:val="clear" w:color="auto" w:fill="auto"/>
          </w:tcPr>
          <w:p w14:paraId="770E7390" w14:textId="77777777" w:rsidR="000F77EA" w:rsidRPr="00FF1F5E" w:rsidRDefault="000F77EA" w:rsidP="000F77EA">
            <w:pPr>
              <w:adjustRightInd w:val="0"/>
              <w:snapToGrid w:val="0"/>
              <w:jc w:val="right"/>
              <w:rPr>
                <w:noProof w:val="0"/>
              </w:rPr>
            </w:pPr>
            <w:r w:rsidRPr="00FF1F5E">
              <w:rPr>
                <w:noProof w:val="0"/>
              </w:rPr>
              <w:t>43</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074579F" w14:textId="77777777" w:rsidR="000F77EA" w:rsidRPr="00FF1F5E" w:rsidRDefault="000F77EA" w:rsidP="000F77EA">
            <w:pPr>
              <w:adjustRightInd w:val="0"/>
              <w:snapToGrid w:val="0"/>
              <w:jc w:val="right"/>
              <w:rPr>
                <w:noProof w:val="0"/>
              </w:rPr>
            </w:pPr>
            <w:r w:rsidRPr="00FF1F5E">
              <w:rPr>
                <w:noProof w:val="0"/>
              </w:rPr>
              <w:t>2.29</w:t>
            </w:r>
          </w:p>
        </w:tc>
      </w:tr>
      <w:tr w:rsidR="000F77EA" w:rsidRPr="00FF1F5E" w14:paraId="65155CA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0DF23913" w14:textId="77777777" w:rsidR="000F77EA" w:rsidRPr="00FF1F5E" w:rsidRDefault="000F77EA" w:rsidP="000F77EA">
            <w:pPr>
              <w:adjustRightInd w:val="0"/>
              <w:snapToGrid w:val="0"/>
              <w:rPr>
                <w:noProof w:val="0"/>
              </w:rPr>
            </w:pPr>
            <w:r w:rsidRPr="00FF1F5E">
              <w:rPr>
                <w:noProof w:val="0"/>
              </w:rPr>
              <w:t>Improvement (e.g., better, improved, improving)</w:t>
            </w:r>
          </w:p>
        </w:tc>
        <w:tc>
          <w:tcPr>
            <w:tcW w:w="990" w:type="dxa"/>
            <w:tcBorders>
              <w:top w:val="single" w:sz="4" w:space="0" w:color="000000"/>
              <w:left w:val="single" w:sz="4" w:space="0" w:color="000000"/>
              <w:bottom w:val="single" w:sz="4" w:space="0" w:color="000000"/>
            </w:tcBorders>
            <w:shd w:val="clear" w:color="auto" w:fill="auto"/>
          </w:tcPr>
          <w:p w14:paraId="20845007" w14:textId="77777777" w:rsidR="000F77EA" w:rsidRPr="00FF1F5E" w:rsidRDefault="000F77EA" w:rsidP="000F77EA">
            <w:pPr>
              <w:adjustRightInd w:val="0"/>
              <w:snapToGrid w:val="0"/>
              <w:jc w:val="right"/>
              <w:rPr>
                <w:noProof w:val="0"/>
              </w:rPr>
            </w:pPr>
            <w:r w:rsidRPr="00FF1F5E">
              <w:rPr>
                <w:noProof w:val="0"/>
              </w:rPr>
              <w:t>62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EFEEEA1" w14:textId="77777777" w:rsidR="000F77EA" w:rsidRPr="00FF1F5E" w:rsidRDefault="000F77EA" w:rsidP="000F77EA">
            <w:pPr>
              <w:adjustRightInd w:val="0"/>
              <w:snapToGrid w:val="0"/>
              <w:jc w:val="right"/>
              <w:rPr>
                <w:noProof w:val="0"/>
              </w:rPr>
            </w:pPr>
            <w:r w:rsidRPr="00FF1F5E">
              <w:rPr>
                <w:noProof w:val="0"/>
              </w:rPr>
              <w:t>3.3</w:t>
            </w:r>
          </w:p>
        </w:tc>
      </w:tr>
      <w:tr w:rsidR="000F77EA" w:rsidRPr="00FF1F5E" w14:paraId="587C83B6"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F908A22" w14:textId="77777777" w:rsidR="000F77EA" w:rsidRPr="00FF1F5E" w:rsidRDefault="000F77EA" w:rsidP="000F77EA">
            <w:pPr>
              <w:adjustRightInd w:val="0"/>
              <w:snapToGrid w:val="0"/>
              <w:rPr>
                <w:noProof w:val="0"/>
              </w:rPr>
            </w:pPr>
            <w:r w:rsidRPr="00FF1F5E">
              <w:rPr>
                <w:noProof w:val="0"/>
              </w:rPr>
              <w:t xml:space="preserve">Lack of exercise (e.g., lazy, need to exercise, not enough exercise) </w:t>
            </w:r>
          </w:p>
        </w:tc>
        <w:tc>
          <w:tcPr>
            <w:tcW w:w="990" w:type="dxa"/>
            <w:tcBorders>
              <w:top w:val="single" w:sz="4" w:space="0" w:color="000000"/>
              <w:left w:val="single" w:sz="4" w:space="0" w:color="000000"/>
              <w:bottom w:val="single" w:sz="4" w:space="0" w:color="000000"/>
            </w:tcBorders>
            <w:shd w:val="clear" w:color="auto" w:fill="auto"/>
          </w:tcPr>
          <w:p w14:paraId="67102E7D" w14:textId="77777777" w:rsidR="000F77EA" w:rsidRPr="00FF1F5E" w:rsidRDefault="000F77EA" w:rsidP="000F77EA">
            <w:pPr>
              <w:adjustRightInd w:val="0"/>
              <w:snapToGrid w:val="0"/>
              <w:jc w:val="right"/>
              <w:rPr>
                <w:noProof w:val="0"/>
              </w:rPr>
            </w:pPr>
            <w:r w:rsidRPr="00FF1F5E">
              <w:rPr>
                <w:noProof w:val="0"/>
              </w:rPr>
              <w:t>15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2D4603A" w14:textId="77777777" w:rsidR="000F77EA" w:rsidRPr="00FF1F5E" w:rsidRDefault="000F77EA" w:rsidP="000F77EA">
            <w:pPr>
              <w:adjustRightInd w:val="0"/>
              <w:snapToGrid w:val="0"/>
              <w:jc w:val="right"/>
              <w:rPr>
                <w:noProof w:val="0"/>
              </w:rPr>
            </w:pPr>
            <w:r w:rsidRPr="00FF1F5E">
              <w:rPr>
                <w:noProof w:val="0"/>
              </w:rPr>
              <w:t>0.8</w:t>
            </w:r>
          </w:p>
        </w:tc>
      </w:tr>
      <w:tr w:rsidR="000F77EA" w:rsidRPr="00FF1F5E" w14:paraId="2F1A6D77"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3BD5B3A9" w14:textId="77777777" w:rsidR="000F77EA" w:rsidRPr="00FF1F5E" w:rsidRDefault="000F77EA" w:rsidP="000F77EA">
            <w:pPr>
              <w:adjustRightInd w:val="0"/>
              <w:snapToGrid w:val="0"/>
              <w:rPr>
                <w:noProof w:val="0"/>
              </w:rPr>
            </w:pPr>
            <w:r w:rsidRPr="00FF1F5E">
              <w:rPr>
                <w:noProof w:val="0"/>
              </w:rPr>
              <w:t>Maintained (e.g., take care of self, be good to self, attentive)</w:t>
            </w:r>
          </w:p>
        </w:tc>
        <w:tc>
          <w:tcPr>
            <w:tcW w:w="990" w:type="dxa"/>
            <w:tcBorders>
              <w:top w:val="single" w:sz="4" w:space="0" w:color="000000"/>
              <w:left w:val="single" w:sz="4" w:space="0" w:color="000000"/>
              <w:bottom w:val="single" w:sz="4" w:space="0" w:color="000000"/>
            </w:tcBorders>
            <w:shd w:val="clear" w:color="auto" w:fill="auto"/>
          </w:tcPr>
          <w:p w14:paraId="105A2C5F" w14:textId="77777777" w:rsidR="000F77EA" w:rsidRPr="00FF1F5E" w:rsidRDefault="000F77EA" w:rsidP="000F77EA">
            <w:pPr>
              <w:adjustRightInd w:val="0"/>
              <w:snapToGrid w:val="0"/>
              <w:jc w:val="right"/>
              <w:rPr>
                <w:noProof w:val="0"/>
              </w:rPr>
            </w:pPr>
            <w:r w:rsidRPr="00FF1F5E">
              <w:rPr>
                <w:noProof w:val="0"/>
              </w:rPr>
              <w:t>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E64E10C" w14:textId="77777777" w:rsidR="000F77EA" w:rsidRPr="00FF1F5E" w:rsidRDefault="000F77EA" w:rsidP="000F77EA">
            <w:pPr>
              <w:adjustRightInd w:val="0"/>
              <w:snapToGrid w:val="0"/>
              <w:jc w:val="right"/>
              <w:rPr>
                <w:noProof w:val="0"/>
              </w:rPr>
            </w:pPr>
            <w:r w:rsidRPr="00FF1F5E">
              <w:rPr>
                <w:noProof w:val="0"/>
              </w:rPr>
              <w:t>0.37</w:t>
            </w:r>
          </w:p>
        </w:tc>
      </w:tr>
      <w:tr w:rsidR="000F77EA" w:rsidRPr="00FF1F5E" w14:paraId="06BC11E4"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3E63B7C" w14:textId="77777777" w:rsidR="000F77EA" w:rsidRPr="00FF1F5E" w:rsidRDefault="000F77EA" w:rsidP="000F77EA">
            <w:pPr>
              <w:adjustRightInd w:val="0"/>
              <w:snapToGrid w:val="0"/>
              <w:rPr>
                <w:noProof w:val="0"/>
              </w:rPr>
            </w:pPr>
            <w:r w:rsidRPr="00FF1F5E">
              <w:rPr>
                <w:noProof w:val="0"/>
              </w:rPr>
              <w:t>Mental wellness (e.g., easy to relax, rested, peace)</w:t>
            </w:r>
          </w:p>
        </w:tc>
        <w:tc>
          <w:tcPr>
            <w:tcW w:w="990" w:type="dxa"/>
            <w:tcBorders>
              <w:top w:val="single" w:sz="4" w:space="0" w:color="000000"/>
              <w:left w:val="single" w:sz="4" w:space="0" w:color="000000"/>
              <w:bottom w:val="single" w:sz="4" w:space="0" w:color="000000"/>
            </w:tcBorders>
            <w:shd w:val="clear" w:color="auto" w:fill="auto"/>
          </w:tcPr>
          <w:p w14:paraId="5284C1F0" w14:textId="77777777" w:rsidR="000F77EA" w:rsidRPr="00FF1F5E" w:rsidRDefault="000F77EA" w:rsidP="000F77EA">
            <w:pPr>
              <w:adjustRightInd w:val="0"/>
              <w:snapToGrid w:val="0"/>
              <w:jc w:val="right"/>
              <w:rPr>
                <w:noProof w:val="0"/>
              </w:rPr>
            </w:pPr>
            <w:r w:rsidRPr="00FF1F5E">
              <w:rPr>
                <w:noProof w:val="0"/>
              </w:rPr>
              <w:t>42</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A10EF60" w14:textId="77777777" w:rsidR="000F77EA" w:rsidRPr="00FF1F5E" w:rsidRDefault="000F77EA" w:rsidP="000F77EA">
            <w:pPr>
              <w:adjustRightInd w:val="0"/>
              <w:snapToGrid w:val="0"/>
              <w:jc w:val="right"/>
              <w:rPr>
                <w:noProof w:val="0"/>
              </w:rPr>
            </w:pPr>
            <w:r w:rsidRPr="00FF1F5E">
              <w:rPr>
                <w:noProof w:val="0"/>
              </w:rPr>
              <w:t>2.23</w:t>
            </w:r>
          </w:p>
        </w:tc>
      </w:tr>
      <w:tr w:rsidR="000F77EA" w:rsidRPr="00FF1F5E" w14:paraId="04CDE98C"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8070D66" w14:textId="77777777" w:rsidR="000F77EA" w:rsidRPr="00FF1F5E" w:rsidRDefault="000F77EA" w:rsidP="000F77EA">
            <w:pPr>
              <w:adjustRightInd w:val="0"/>
              <w:snapToGrid w:val="0"/>
              <w:rPr>
                <w:noProof w:val="0"/>
              </w:rPr>
            </w:pPr>
            <w:r w:rsidRPr="00FF1F5E">
              <w:rPr>
                <w:noProof w:val="0"/>
              </w:rPr>
              <w:t>Mobility (e.g., mobility, staying flexible, mobile)</w:t>
            </w:r>
          </w:p>
        </w:tc>
        <w:tc>
          <w:tcPr>
            <w:tcW w:w="990" w:type="dxa"/>
            <w:tcBorders>
              <w:top w:val="single" w:sz="4" w:space="0" w:color="000000"/>
              <w:left w:val="single" w:sz="4" w:space="0" w:color="000000"/>
              <w:bottom w:val="single" w:sz="4" w:space="0" w:color="000000"/>
            </w:tcBorders>
            <w:shd w:val="clear" w:color="auto" w:fill="auto"/>
          </w:tcPr>
          <w:p w14:paraId="4199FD63" w14:textId="77777777" w:rsidR="000F77EA" w:rsidRPr="00FF1F5E" w:rsidRDefault="000F77EA" w:rsidP="000F77EA">
            <w:pPr>
              <w:adjustRightInd w:val="0"/>
              <w:snapToGrid w:val="0"/>
              <w:jc w:val="right"/>
              <w:rPr>
                <w:noProof w:val="0"/>
              </w:rPr>
            </w:pPr>
            <w:r w:rsidRPr="00FF1F5E">
              <w:rPr>
                <w:noProof w:val="0"/>
              </w:rPr>
              <w:t>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B9A9834" w14:textId="77777777" w:rsidR="000F77EA" w:rsidRPr="00FF1F5E" w:rsidRDefault="000F77EA" w:rsidP="000F77EA">
            <w:pPr>
              <w:adjustRightInd w:val="0"/>
              <w:snapToGrid w:val="0"/>
              <w:jc w:val="right"/>
              <w:rPr>
                <w:noProof w:val="0"/>
              </w:rPr>
            </w:pPr>
            <w:r w:rsidRPr="00FF1F5E">
              <w:rPr>
                <w:noProof w:val="0"/>
              </w:rPr>
              <w:t>0.27</w:t>
            </w:r>
          </w:p>
        </w:tc>
      </w:tr>
      <w:tr w:rsidR="000F77EA" w:rsidRPr="00FF1F5E" w14:paraId="4A849C77"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A854D7D" w14:textId="77777777" w:rsidR="000F77EA" w:rsidRPr="00FF1F5E" w:rsidRDefault="000F77EA" w:rsidP="000F77EA">
            <w:pPr>
              <w:adjustRightInd w:val="0"/>
              <w:snapToGrid w:val="0"/>
              <w:rPr>
                <w:noProof w:val="0"/>
              </w:rPr>
            </w:pPr>
            <w:r w:rsidRPr="00FF1F5E">
              <w:rPr>
                <w:noProof w:val="0"/>
              </w:rPr>
              <w:t>Nourishment (e.g., diet, food, keto)</w:t>
            </w:r>
          </w:p>
        </w:tc>
        <w:tc>
          <w:tcPr>
            <w:tcW w:w="990" w:type="dxa"/>
            <w:tcBorders>
              <w:top w:val="single" w:sz="4" w:space="0" w:color="000000"/>
              <w:left w:val="single" w:sz="4" w:space="0" w:color="000000"/>
              <w:bottom w:val="single" w:sz="4" w:space="0" w:color="000000"/>
            </w:tcBorders>
            <w:shd w:val="clear" w:color="auto" w:fill="auto"/>
          </w:tcPr>
          <w:p w14:paraId="16FAA601" w14:textId="77777777" w:rsidR="000F77EA" w:rsidRPr="00FF1F5E" w:rsidRDefault="000F77EA" w:rsidP="000F77EA">
            <w:pPr>
              <w:adjustRightInd w:val="0"/>
              <w:snapToGrid w:val="0"/>
              <w:jc w:val="right"/>
              <w:rPr>
                <w:noProof w:val="0"/>
              </w:rPr>
            </w:pPr>
            <w:r w:rsidRPr="00FF1F5E">
              <w:rPr>
                <w:noProof w:val="0"/>
              </w:rPr>
              <w:t>51</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28BF35ED" w14:textId="77777777" w:rsidR="000F77EA" w:rsidRPr="00FF1F5E" w:rsidRDefault="000F77EA" w:rsidP="000F77EA">
            <w:pPr>
              <w:adjustRightInd w:val="0"/>
              <w:snapToGrid w:val="0"/>
              <w:jc w:val="right"/>
              <w:rPr>
                <w:noProof w:val="0"/>
              </w:rPr>
            </w:pPr>
            <w:r w:rsidRPr="00FF1F5E">
              <w:rPr>
                <w:noProof w:val="0"/>
              </w:rPr>
              <w:t>2.71</w:t>
            </w:r>
          </w:p>
        </w:tc>
      </w:tr>
      <w:tr w:rsidR="000F77EA" w:rsidRPr="00FF1F5E" w14:paraId="4DD0DD75"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5C735320" w14:textId="77777777" w:rsidR="000F77EA" w:rsidRPr="00FF1F5E" w:rsidRDefault="000F77EA" w:rsidP="000F77EA">
            <w:pPr>
              <w:adjustRightInd w:val="0"/>
              <w:snapToGrid w:val="0"/>
              <w:rPr>
                <w:noProof w:val="0"/>
              </w:rPr>
            </w:pPr>
            <w:r w:rsidRPr="00FF1F5E">
              <w:rPr>
                <w:noProof w:val="0"/>
              </w:rPr>
              <w:t>Optimistic (e.g., hopeful, positive attitude to health, capable)</w:t>
            </w:r>
          </w:p>
        </w:tc>
        <w:tc>
          <w:tcPr>
            <w:tcW w:w="990" w:type="dxa"/>
            <w:tcBorders>
              <w:top w:val="single" w:sz="4" w:space="0" w:color="000000"/>
              <w:left w:val="single" w:sz="4" w:space="0" w:color="000000"/>
              <w:bottom w:val="single" w:sz="4" w:space="0" w:color="000000"/>
            </w:tcBorders>
            <w:shd w:val="clear" w:color="auto" w:fill="auto"/>
          </w:tcPr>
          <w:p w14:paraId="4F48E0EB" w14:textId="77777777" w:rsidR="000F77EA" w:rsidRPr="00FF1F5E" w:rsidRDefault="000F77EA" w:rsidP="000F77EA">
            <w:pPr>
              <w:adjustRightInd w:val="0"/>
              <w:snapToGrid w:val="0"/>
              <w:jc w:val="right"/>
              <w:rPr>
                <w:noProof w:val="0"/>
              </w:rPr>
            </w:pPr>
            <w:r w:rsidRPr="00FF1F5E">
              <w:rPr>
                <w:noProof w:val="0"/>
              </w:rPr>
              <w:t>54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9E97F99" w14:textId="77777777" w:rsidR="000F77EA" w:rsidRPr="00FF1F5E" w:rsidRDefault="000F77EA" w:rsidP="000F77EA">
            <w:pPr>
              <w:adjustRightInd w:val="0"/>
              <w:snapToGrid w:val="0"/>
              <w:jc w:val="right"/>
              <w:rPr>
                <w:noProof w:val="0"/>
              </w:rPr>
            </w:pPr>
            <w:r w:rsidRPr="00FF1F5E">
              <w:rPr>
                <w:noProof w:val="0"/>
              </w:rPr>
              <w:t>2.87</w:t>
            </w:r>
          </w:p>
        </w:tc>
      </w:tr>
      <w:tr w:rsidR="000F77EA" w:rsidRPr="00FF1F5E" w14:paraId="5F039A0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0CCB947" w14:textId="77777777" w:rsidR="000F77EA" w:rsidRPr="00FF1F5E" w:rsidRDefault="000F77EA" w:rsidP="000F77EA">
            <w:pPr>
              <w:adjustRightInd w:val="0"/>
              <w:snapToGrid w:val="0"/>
              <w:rPr>
                <w:noProof w:val="0"/>
              </w:rPr>
            </w:pPr>
            <w:r w:rsidRPr="00FF1F5E">
              <w:rPr>
                <w:noProof w:val="0"/>
              </w:rPr>
              <w:t>Overweight (e.g., overweight, obese, need to lose weight)</w:t>
            </w:r>
          </w:p>
        </w:tc>
        <w:tc>
          <w:tcPr>
            <w:tcW w:w="990" w:type="dxa"/>
            <w:tcBorders>
              <w:top w:val="single" w:sz="4" w:space="0" w:color="000000"/>
              <w:left w:val="single" w:sz="4" w:space="0" w:color="000000"/>
              <w:bottom w:val="single" w:sz="4" w:space="0" w:color="000000"/>
            </w:tcBorders>
            <w:shd w:val="clear" w:color="auto" w:fill="auto"/>
          </w:tcPr>
          <w:p w14:paraId="28ECC896" w14:textId="77777777" w:rsidR="000F77EA" w:rsidRPr="00FF1F5E" w:rsidRDefault="000F77EA" w:rsidP="000F77EA">
            <w:pPr>
              <w:adjustRightInd w:val="0"/>
              <w:snapToGrid w:val="0"/>
              <w:jc w:val="right"/>
              <w:rPr>
                <w:noProof w:val="0"/>
              </w:rPr>
            </w:pPr>
            <w:r w:rsidRPr="00FF1F5E">
              <w:rPr>
                <w:noProof w:val="0"/>
              </w:rPr>
              <w:t>95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ED7FCA2" w14:textId="77777777" w:rsidR="000F77EA" w:rsidRPr="00FF1F5E" w:rsidRDefault="000F77EA" w:rsidP="000F77EA">
            <w:pPr>
              <w:adjustRightInd w:val="0"/>
              <w:snapToGrid w:val="0"/>
              <w:jc w:val="right"/>
              <w:rPr>
                <w:noProof w:val="0"/>
              </w:rPr>
            </w:pPr>
            <w:r w:rsidRPr="00FF1F5E">
              <w:rPr>
                <w:noProof w:val="0"/>
              </w:rPr>
              <w:t>5.05</w:t>
            </w:r>
          </w:p>
        </w:tc>
      </w:tr>
      <w:tr w:rsidR="000F77EA" w:rsidRPr="00FF1F5E" w14:paraId="40FE0752"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839142D" w14:textId="77777777" w:rsidR="000F77EA" w:rsidRPr="00FF1F5E" w:rsidRDefault="000F77EA" w:rsidP="000F77EA">
            <w:pPr>
              <w:adjustRightInd w:val="0"/>
              <w:snapToGrid w:val="0"/>
              <w:rPr>
                <w:noProof w:val="0"/>
              </w:rPr>
            </w:pPr>
            <w:r w:rsidRPr="00FF1F5E">
              <w:rPr>
                <w:noProof w:val="0"/>
              </w:rPr>
              <w:t>Pessimistic (e.g., it will never get better, no cure or treatment)</w:t>
            </w:r>
          </w:p>
        </w:tc>
        <w:tc>
          <w:tcPr>
            <w:tcW w:w="990" w:type="dxa"/>
            <w:tcBorders>
              <w:top w:val="single" w:sz="4" w:space="0" w:color="000000"/>
              <w:left w:val="single" w:sz="4" w:space="0" w:color="000000"/>
              <w:bottom w:val="single" w:sz="4" w:space="0" w:color="000000"/>
            </w:tcBorders>
            <w:shd w:val="clear" w:color="auto" w:fill="auto"/>
          </w:tcPr>
          <w:p w14:paraId="30C7D213" w14:textId="77777777" w:rsidR="000F77EA" w:rsidRPr="00FF1F5E" w:rsidRDefault="000F77EA" w:rsidP="000F77EA">
            <w:pPr>
              <w:adjustRightInd w:val="0"/>
              <w:snapToGrid w:val="0"/>
              <w:jc w:val="right"/>
              <w:rPr>
                <w:noProof w:val="0"/>
              </w:rPr>
            </w:pPr>
            <w:r w:rsidRPr="00FF1F5E">
              <w:rPr>
                <w:noProof w:val="0"/>
              </w:rPr>
              <w:t>17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7CD2E091" w14:textId="77777777" w:rsidR="000F77EA" w:rsidRPr="00FF1F5E" w:rsidRDefault="000F77EA" w:rsidP="000F77EA">
            <w:pPr>
              <w:adjustRightInd w:val="0"/>
              <w:snapToGrid w:val="0"/>
              <w:jc w:val="right"/>
              <w:rPr>
                <w:noProof w:val="0"/>
              </w:rPr>
            </w:pPr>
            <w:r w:rsidRPr="00FF1F5E">
              <w:rPr>
                <w:noProof w:val="0"/>
              </w:rPr>
              <w:t>0.9</w:t>
            </w:r>
          </w:p>
        </w:tc>
      </w:tr>
      <w:tr w:rsidR="000F77EA" w:rsidRPr="00FF1F5E" w14:paraId="15DB944E"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6C6BBD50" w14:textId="77777777" w:rsidR="000F77EA" w:rsidRPr="00FF1F5E" w:rsidRDefault="000F77EA" w:rsidP="000F77EA">
            <w:pPr>
              <w:adjustRightInd w:val="0"/>
              <w:snapToGrid w:val="0"/>
              <w:rPr>
                <w:noProof w:val="0"/>
              </w:rPr>
            </w:pPr>
            <w:r w:rsidRPr="00FF1F5E">
              <w:rPr>
                <w:noProof w:val="0"/>
              </w:rPr>
              <w:lastRenderedPageBreak/>
              <w:t>Relationships (e.g., family, beloved, friends)</w:t>
            </w:r>
          </w:p>
        </w:tc>
        <w:tc>
          <w:tcPr>
            <w:tcW w:w="990" w:type="dxa"/>
            <w:tcBorders>
              <w:top w:val="single" w:sz="4" w:space="0" w:color="000000"/>
              <w:left w:val="single" w:sz="4" w:space="0" w:color="000000"/>
              <w:bottom w:val="single" w:sz="4" w:space="0" w:color="000000"/>
            </w:tcBorders>
            <w:shd w:val="clear" w:color="auto" w:fill="auto"/>
          </w:tcPr>
          <w:p w14:paraId="7C4A8ECF" w14:textId="77777777" w:rsidR="000F77EA" w:rsidRPr="00FF1F5E" w:rsidRDefault="000F77EA" w:rsidP="000F77EA">
            <w:pPr>
              <w:adjustRightInd w:val="0"/>
              <w:snapToGrid w:val="0"/>
              <w:jc w:val="right"/>
              <w:rPr>
                <w:noProof w:val="0"/>
              </w:rPr>
            </w:pPr>
            <w:r w:rsidRPr="00FF1F5E">
              <w:rPr>
                <w:noProof w:val="0"/>
              </w:rPr>
              <w:t>25</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53559901" w14:textId="77777777" w:rsidR="000F77EA" w:rsidRPr="00FF1F5E" w:rsidRDefault="000F77EA" w:rsidP="000F77EA">
            <w:pPr>
              <w:adjustRightInd w:val="0"/>
              <w:snapToGrid w:val="0"/>
              <w:jc w:val="right"/>
              <w:rPr>
                <w:noProof w:val="0"/>
              </w:rPr>
            </w:pPr>
            <w:r w:rsidRPr="00FF1F5E">
              <w:rPr>
                <w:noProof w:val="0"/>
              </w:rPr>
              <w:t>1.33</w:t>
            </w:r>
          </w:p>
        </w:tc>
      </w:tr>
      <w:tr w:rsidR="000F77EA" w:rsidRPr="00FF1F5E" w14:paraId="2296F1BA"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3D53F1E" w14:textId="77777777" w:rsidR="000F77EA" w:rsidRPr="00FF1F5E" w:rsidRDefault="000F77EA" w:rsidP="000F77EA">
            <w:pPr>
              <w:adjustRightInd w:val="0"/>
              <w:snapToGrid w:val="0"/>
              <w:rPr>
                <w:noProof w:val="0"/>
              </w:rPr>
            </w:pPr>
            <w:r w:rsidRPr="00FF1F5E">
              <w:rPr>
                <w:noProof w:val="0"/>
              </w:rPr>
              <w:t>Strength (e.g., strong, endurance, getting strong)</w:t>
            </w:r>
          </w:p>
        </w:tc>
        <w:tc>
          <w:tcPr>
            <w:tcW w:w="990" w:type="dxa"/>
            <w:tcBorders>
              <w:top w:val="single" w:sz="4" w:space="0" w:color="000000"/>
              <w:left w:val="single" w:sz="4" w:space="0" w:color="000000"/>
              <w:bottom w:val="single" w:sz="4" w:space="0" w:color="000000"/>
            </w:tcBorders>
            <w:shd w:val="clear" w:color="auto" w:fill="auto"/>
          </w:tcPr>
          <w:p w14:paraId="46E32004" w14:textId="77777777" w:rsidR="000F77EA" w:rsidRPr="00FF1F5E" w:rsidRDefault="000F77EA" w:rsidP="000F77EA">
            <w:pPr>
              <w:adjustRightInd w:val="0"/>
              <w:snapToGrid w:val="0"/>
              <w:jc w:val="right"/>
              <w:rPr>
                <w:noProof w:val="0"/>
              </w:rPr>
            </w:pPr>
            <w:r w:rsidRPr="00FF1F5E">
              <w:rPr>
                <w:noProof w:val="0"/>
              </w:rPr>
              <w:t>44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12500330" w14:textId="77777777" w:rsidR="000F77EA" w:rsidRPr="00FF1F5E" w:rsidRDefault="000F77EA" w:rsidP="000F77EA">
            <w:pPr>
              <w:adjustRightInd w:val="0"/>
              <w:snapToGrid w:val="0"/>
              <w:jc w:val="right"/>
              <w:rPr>
                <w:noProof w:val="0"/>
              </w:rPr>
            </w:pPr>
            <w:r w:rsidRPr="00FF1F5E">
              <w:rPr>
                <w:noProof w:val="0"/>
              </w:rPr>
              <w:t>2.34</w:t>
            </w:r>
          </w:p>
        </w:tc>
      </w:tr>
      <w:tr w:rsidR="000F77EA" w:rsidRPr="00FF1F5E" w14:paraId="79C0B48D"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13C42345" w14:textId="77777777" w:rsidR="000F77EA" w:rsidRPr="00FF1F5E" w:rsidRDefault="000F77EA" w:rsidP="000F77EA">
            <w:pPr>
              <w:adjustRightInd w:val="0"/>
              <w:snapToGrid w:val="0"/>
              <w:rPr>
                <w:noProof w:val="0"/>
              </w:rPr>
            </w:pPr>
            <w:r w:rsidRPr="00FF1F5E">
              <w:rPr>
                <w:noProof w:val="0"/>
              </w:rPr>
              <w:t>Take control (e.g., take care of myself, in my control, working on it)</w:t>
            </w:r>
          </w:p>
        </w:tc>
        <w:tc>
          <w:tcPr>
            <w:tcW w:w="990" w:type="dxa"/>
            <w:tcBorders>
              <w:top w:val="single" w:sz="4" w:space="0" w:color="000000"/>
              <w:left w:val="single" w:sz="4" w:space="0" w:color="000000"/>
              <w:bottom w:val="single" w:sz="4" w:space="0" w:color="000000"/>
            </w:tcBorders>
            <w:shd w:val="clear" w:color="auto" w:fill="auto"/>
          </w:tcPr>
          <w:p w14:paraId="6689D878" w14:textId="77777777" w:rsidR="000F77EA" w:rsidRPr="00FF1F5E" w:rsidRDefault="000F77EA" w:rsidP="000F77EA">
            <w:pPr>
              <w:adjustRightInd w:val="0"/>
              <w:snapToGrid w:val="0"/>
              <w:jc w:val="right"/>
              <w:rPr>
                <w:noProof w:val="0"/>
              </w:rPr>
            </w:pPr>
            <w:r w:rsidRPr="00FF1F5E">
              <w:rPr>
                <w:noProof w:val="0"/>
              </w:rPr>
              <w:t>110</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51425B98" w14:textId="77777777" w:rsidR="000F77EA" w:rsidRPr="00FF1F5E" w:rsidRDefault="000F77EA" w:rsidP="000F77EA">
            <w:pPr>
              <w:adjustRightInd w:val="0"/>
              <w:snapToGrid w:val="0"/>
              <w:jc w:val="right"/>
              <w:rPr>
                <w:noProof w:val="0"/>
              </w:rPr>
            </w:pPr>
            <w:r w:rsidRPr="00FF1F5E">
              <w:rPr>
                <w:noProof w:val="0"/>
              </w:rPr>
              <w:t>5.85</w:t>
            </w:r>
          </w:p>
        </w:tc>
      </w:tr>
      <w:tr w:rsidR="000F77EA" w:rsidRPr="00FF1F5E" w14:paraId="691C41BC"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0DB795C" w14:textId="77777777" w:rsidR="000F77EA" w:rsidRPr="00FF1F5E" w:rsidRDefault="000F77EA" w:rsidP="000F77EA">
            <w:pPr>
              <w:adjustRightInd w:val="0"/>
              <w:snapToGrid w:val="0"/>
              <w:rPr>
                <w:noProof w:val="0"/>
              </w:rPr>
            </w:pPr>
            <w:r w:rsidRPr="00FF1F5E">
              <w:rPr>
                <w:noProof w:val="0"/>
              </w:rPr>
              <w:t>Tiredness (e.g., tired, fatigue, no sleep_</w:t>
            </w:r>
          </w:p>
        </w:tc>
        <w:tc>
          <w:tcPr>
            <w:tcW w:w="990" w:type="dxa"/>
            <w:tcBorders>
              <w:top w:val="single" w:sz="4" w:space="0" w:color="000000"/>
              <w:left w:val="single" w:sz="4" w:space="0" w:color="000000"/>
              <w:bottom w:val="single" w:sz="4" w:space="0" w:color="000000"/>
            </w:tcBorders>
            <w:shd w:val="clear" w:color="auto" w:fill="auto"/>
          </w:tcPr>
          <w:p w14:paraId="2ECBAD3E" w14:textId="77777777" w:rsidR="000F77EA" w:rsidRPr="00FF1F5E" w:rsidRDefault="000F77EA" w:rsidP="000F77EA">
            <w:pPr>
              <w:adjustRightInd w:val="0"/>
              <w:snapToGrid w:val="0"/>
              <w:jc w:val="right"/>
              <w:rPr>
                <w:noProof w:val="0"/>
              </w:rPr>
            </w:pPr>
            <w:r w:rsidRPr="00FF1F5E">
              <w:rPr>
                <w:noProof w:val="0"/>
              </w:rPr>
              <w:t>69</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56C1EFE0" w14:textId="77777777" w:rsidR="000F77EA" w:rsidRPr="00FF1F5E" w:rsidRDefault="000F77EA" w:rsidP="000F77EA">
            <w:pPr>
              <w:adjustRightInd w:val="0"/>
              <w:snapToGrid w:val="0"/>
              <w:jc w:val="right"/>
              <w:rPr>
                <w:noProof w:val="0"/>
              </w:rPr>
            </w:pPr>
            <w:r w:rsidRPr="00FF1F5E">
              <w:rPr>
                <w:noProof w:val="0"/>
              </w:rPr>
              <w:t>3.67</w:t>
            </w:r>
          </w:p>
        </w:tc>
      </w:tr>
      <w:tr w:rsidR="000F77EA" w:rsidRPr="00FF1F5E" w14:paraId="0F52C505"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C12AF92" w14:textId="77777777" w:rsidR="000F77EA" w:rsidRPr="00FF1F5E" w:rsidRDefault="000F77EA" w:rsidP="000F77EA">
            <w:pPr>
              <w:adjustRightInd w:val="0"/>
              <w:snapToGrid w:val="0"/>
              <w:rPr>
                <w:noProof w:val="0"/>
              </w:rPr>
            </w:pPr>
            <w:r w:rsidRPr="00FF1F5E">
              <w:rPr>
                <w:noProof w:val="0"/>
              </w:rPr>
              <w:t>Treatments (e.g., holistic, doctor, medication)</w:t>
            </w:r>
          </w:p>
        </w:tc>
        <w:tc>
          <w:tcPr>
            <w:tcW w:w="990" w:type="dxa"/>
            <w:tcBorders>
              <w:top w:val="single" w:sz="4" w:space="0" w:color="000000"/>
              <w:left w:val="single" w:sz="4" w:space="0" w:color="000000"/>
              <w:bottom w:val="single" w:sz="4" w:space="0" w:color="000000"/>
            </w:tcBorders>
            <w:shd w:val="clear" w:color="auto" w:fill="auto"/>
          </w:tcPr>
          <w:p w14:paraId="73E671EA" w14:textId="77777777" w:rsidR="000F77EA" w:rsidRPr="00FF1F5E" w:rsidRDefault="000F77EA" w:rsidP="000F77EA">
            <w:pPr>
              <w:adjustRightInd w:val="0"/>
              <w:snapToGrid w:val="0"/>
              <w:jc w:val="right"/>
              <w:rPr>
                <w:noProof w:val="0"/>
              </w:rPr>
            </w:pPr>
            <w:r w:rsidRPr="00FF1F5E">
              <w:rPr>
                <w:noProof w:val="0"/>
              </w:rPr>
              <w:t>44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AAD2434" w14:textId="77777777" w:rsidR="000F77EA" w:rsidRPr="00FF1F5E" w:rsidRDefault="000F77EA" w:rsidP="000F77EA">
            <w:pPr>
              <w:adjustRightInd w:val="0"/>
              <w:snapToGrid w:val="0"/>
              <w:jc w:val="right"/>
              <w:rPr>
                <w:noProof w:val="0"/>
              </w:rPr>
            </w:pPr>
            <w:r w:rsidRPr="00FF1F5E">
              <w:rPr>
                <w:noProof w:val="0"/>
              </w:rPr>
              <w:t>2.34</w:t>
            </w:r>
          </w:p>
        </w:tc>
      </w:tr>
      <w:tr w:rsidR="000F77EA" w:rsidRPr="00FF1F5E" w14:paraId="271D34C1"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755D1A65" w14:textId="77777777" w:rsidR="000F77EA" w:rsidRPr="00FF1F5E" w:rsidRDefault="000F77EA" w:rsidP="000F77EA">
            <w:pPr>
              <w:adjustRightInd w:val="0"/>
              <w:snapToGrid w:val="0"/>
              <w:rPr>
                <w:noProof w:val="0"/>
              </w:rPr>
            </w:pPr>
            <w:r w:rsidRPr="00FF1F5E">
              <w:rPr>
                <w:noProof w:val="0"/>
              </w:rPr>
              <w:t>Uncontrollable (e.g., challenging unpredictable, in flux)</w:t>
            </w:r>
          </w:p>
        </w:tc>
        <w:tc>
          <w:tcPr>
            <w:tcW w:w="990" w:type="dxa"/>
            <w:tcBorders>
              <w:top w:val="single" w:sz="4" w:space="0" w:color="000000"/>
              <w:left w:val="single" w:sz="4" w:space="0" w:color="000000"/>
              <w:bottom w:val="single" w:sz="4" w:space="0" w:color="000000"/>
            </w:tcBorders>
            <w:shd w:val="clear" w:color="auto" w:fill="auto"/>
          </w:tcPr>
          <w:p w14:paraId="0FCA7CC5" w14:textId="77777777" w:rsidR="000F77EA" w:rsidRPr="00FF1F5E" w:rsidRDefault="000F77EA" w:rsidP="000F77EA">
            <w:pPr>
              <w:adjustRightInd w:val="0"/>
              <w:snapToGrid w:val="0"/>
              <w:jc w:val="right"/>
              <w:rPr>
                <w:noProof w:val="0"/>
              </w:rPr>
            </w:pPr>
            <w:r w:rsidRPr="00FF1F5E">
              <w:rPr>
                <w:noProof w:val="0"/>
              </w:rPr>
              <w:t>49</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66215094" w14:textId="77777777" w:rsidR="000F77EA" w:rsidRPr="00FF1F5E" w:rsidRDefault="000F77EA" w:rsidP="000F77EA">
            <w:pPr>
              <w:adjustRightInd w:val="0"/>
              <w:snapToGrid w:val="0"/>
              <w:jc w:val="right"/>
              <w:rPr>
                <w:noProof w:val="0"/>
              </w:rPr>
            </w:pPr>
            <w:r w:rsidRPr="00FF1F5E">
              <w:rPr>
                <w:noProof w:val="0"/>
              </w:rPr>
              <w:t>2.6</w:t>
            </w:r>
          </w:p>
        </w:tc>
      </w:tr>
      <w:tr w:rsidR="000F77EA" w:rsidRPr="00FF1F5E" w14:paraId="1EDB33C8"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267D94AD" w14:textId="77777777" w:rsidR="000F77EA" w:rsidRPr="00FF1F5E" w:rsidRDefault="000F77EA" w:rsidP="000F77EA">
            <w:pPr>
              <w:adjustRightInd w:val="0"/>
              <w:snapToGrid w:val="0"/>
              <w:rPr>
                <w:noProof w:val="0"/>
              </w:rPr>
            </w:pPr>
            <w:r w:rsidRPr="00FF1F5E">
              <w:rPr>
                <w:noProof w:val="0"/>
              </w:rPr>
              <w:t>Unhealthy (e.g., not good, unhealthy, affected)</w:t>
            </w:r>
          </w:p>
        </w:tc>
        <w:tc>
          <w:tcPr>
            <w:tcW w:w="990" w:type="dxa"/>
            <w:tcBorders>
              <w:top w:val="single" w:sz="4" w:space="0" w:color="000000"/>
              <w:left w:val="single" w:sz="4" w:space="0" w:color="000000"/>
              <w:bottom w:val="single" w:sz="4" w:space="0" w:color="000000"/>
            </w:tcBorders>
            <w:shd w:val="clear" w:color="auto" w:fill="auto"/>
          </w:tcPr>
          <w:p w14:paraId="3ABD6C0B" w14:textId="77777777" w:rsidR="000F77EA" w:rsidRPr="00FF1F5E" w:rsidRDefault="000F77EA" w:rsidP="000F77EA">
            <w:pPr>
              <w:adjustRightInd w:val="0"/>
              <w:snapToGrid w:val="0"/>
              <w:jc w:val="right"/>
              <w:rPr>
                <w:noProof w:val="0"/>
              </w:rPr>
            </w:pPr>
            <w:r w:rsidRPr="00FF1F5E">
              <w:rPr>
                <w:noProof w:val="0"/>
              </w:rPr>
              <w:t>40</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0FE6A882" w14:textId="77777777" w:rsidR="000F77EA" w:rsidRPr="00FF1F5E" w:rsidRDefault="000F77EA" w:rsidP="000F77EA">
            <w:pPr>
              <w:adjustRightInd w:val="0"/>
              <w:snapToGrid w:val="0"/>
              <w:jc w:val="right"/>
              <w:rPr>
                <w:noProof w:val="0"/>
              </w:rPr>
            </w:pPr>
            <w:r w:rsidRPr="00FF1F5E">
              <w:rPr>
                <w:noProof w:val="0"/>
              </w:rPr>
              <w:t>2.13</w:t>
            </w:r>
          </w:p>
        </w:tc>
      </w:tr>
      <w:tr w:rsidR="000F77EA" w:rsidRPr="00FF1F5E" w14:paraId="124D9457"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5A5E4E1B" w14:textId="77777777" w:rsidR="000F77EA" w:rsidRPr="00FF1F5E" w:rsidRDefault="000F77EA" w:rsidP="000F77EA">
            <w:pPr>
              <w:adjustRightInd w:val="0"/>
              <w:snapToGrid w:val="0"/>
              <w:rPr>
                <w:noProof w:val="0"/>
              </w:rPr>
            </w:pPr>
            <w:r w:rsidRPr="00FF1F5E">
              <w:rPr>
                <w:noProof w:val="0"/>
              </w:rPr>
              <w:t>Worried (e.g., uncertain, worried, scared)</w:t>
            </w:r>
          </w:p>
        </w:tc>
        <w:tc>
          <w:tcPr>
            <w:tcW w:w="990" w:type="dxa"/>
            <w:tcBorders>
              <w:top w:val="single" w:sz="4" w:space="0" w:color="000000"/>
              <w:left w:val="single" w:sz="4" w:space="0" w:color="000000"/>
              <w:bottom w:val="single" w:sz="4" w:space="0" w:color="000000"/>
            </w:tcBorders>
            <w:shd w:val="clear" w:color="auto" w:fill="auto"/>
          </w:tcPr>
          <w:p w14:paraId="6EE74277" w14:textId="77777777" w:rsidR="000F77EA" w:rsidRPr="00FF1F5E" w:rsidRDefault="000F77EA" w:rsidP="000F77EA">
            <w:pPr>
              <w:adjustRightInd w:val="0"/>
              <w:snapToGrid w:val="0"/>
              <w:jc w:val="right"/>
              <w:rPr>
                <w:noProof w:val="0"/>
              </w:rPr>
            </w:pPr>
            <w:r w:rsidRPr="00FF1F5E">
              <w:rPr>
                <w:noProof w:val="0"/>
              </w:rPr>
              <w:t>74</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38EDB535" w14:textId="77777777" w:rsidR="000F77EA" w:rsidRPr="00FF1F5E" w:rsidRDefault="000F77EA" w:rsidP="000F77EA">
            <w:pPr>
              <w:adjustRightInd w:val="0"/>
              <w:snapToGrid w:val="0"/>
              <w:jc w:val="right"/>
              <w:rPr>
                <w:noProof w:val="0"/>
              </w:rPr>
            </w:pPr>
            <w:r w:rsidRPr="00FF1F5E">
              <w:rPr>
                <w:noProof w:val="0"/>
              </w:rPr>
              <w:t>3.93</w:t>
            </w:r>
          </w:p>
        </w:tc>
      </w:tr>
      <w:tr w:rsidR="000F77EA" w:rsidRPr="00FF1F5E" w14:paraId="6D1DE0E1" w14:textId="77777777" w:rsidTr="0011363A">
        <w:trPr>
          <w:trHeight w:val="300"/>
        </w:trPr>
        <w:tc>
          <w:tcPr>
            <w:tcW w:w="7578" w:type="dxa"/>
            <w:tcBorders>
              <w:top w:val="single" w:sz="4" w:space="0" w:color="000000"/>
              <w:left w:val="single" w:sz="4" w:space="0" w:color="000000"/>
              <w:bottom w:val="single" w:sz="4" w:space="0" w:color="000000"/>
            </w:tcBorders>
            <w:shd w:val="clear" w:color="auto" w:fill="auto"/>
          </w:tcPr>
          <w:p w14:paraId="4540782A" w14:textId="77777777" w:rsidR="000F77EA" w:rsidRPr="00FF1F5E" w:rsidRDefault="000F77EA" w:rsidP="000F77EA">
            <w:pPr>
              <w:adjustRightInd w:val="0"/>
              <w:snapToGrid w:val="0"/>
              <w:rPr>
                <w:noProof w:val="0"/>
              </w:rPr>
            </w:pPr>
            <w:r w:rsidRPr="00FF1F5E">
              <w:rPr>
                <w:noProof w:val="0"/>
              </w:rPr>
              <w:t xml:space="preserve">Youthful (e.g., been told I look young, youthful for my age, young) </w:t>
            </w:r>
          </w:p>
        </w:tc>
        <w:tc>
          <w:tcPr>
            <w:tcW w:w="990" w:type="dxa"/>
            <w:tcBorders>
              <w:top w:val="single" w:sz="4" w:space="0" w:color="000000"/>
              <w:left w:val="single" w:sz="4" w:space="0" w:color="000000"/>
              <w:bottom w:val="single" w:sz="4" w:space="0" w:color="000000"/>
            </w:tcBorders>
            <w:shd w:val="clear" w:color="auto" w:fill="auto"/>
          </w:tcPr>
          <w:p w14:paraId="554EC3B1" w14:textId="77777777" w:rsidR="000F77EA" w:rsidRPr="00FF1F5E" w:rsidRDefault="000F77EA" w:rsidP="000F77EA">
            <w:pPr>
              <w:adjustRightInd w:val="0"/>
              <w:snapToGrid w:val="0"/>
              <w:jc w:val="right"/>
              <w:rPr>
                <w:noProof w:val="0"/>
              </w:rPr>
            </w:pPr>
            <w:r w:rsidRPr="00FF1F5E">
              <w:rPr>
                <w:noProof w:val="0"/>
              </w:rPr>
              <w:t>7</w:t>
            </w:r>
          </w:p>
        </w:tc>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9B62E5F" w14:textId="77777777" w:rsidR="000F77EA" w:rsidRPr="00FF1F5E" w:rsidRDefault="000F77EA" w:rsidP="000F77EA">
            <w:pPr>
              <w:adjustRightInd w:val="0"/>
              <w:snapToGrid w:val="0"/>
              <w:jc w:val="right"/>
              <w:rPr>
                <w:noProof w:val="0"/>
              </w:rPr>
            </w:pPr>
            <w:r w:rsidRPr="00FF1F5E">
              <w:rPr>
                <w:noProof w:val="0"/>
              </w:rPr>
              <w:t>0.37</w:t>
            </w:r>
          </w:p>
        </w:tc>
      </w:tr>
    </w:tbl>
    <w:p w14:paraId="2E4906EF" w14:textId="77777777" w:rsidR="000F77EA" w:rsidRPr="00FF1F5E" w:rsidRDefault="000F77EA" w:rsidP="000F77EA">
      <w:pPr>
        <w:adjustRightInd w:val="0"/>
        <w:snapToGrid w:val="0"/>
        <w:rPr>
          <w:b/>
          <w:noProof w:val="0"/>
        </w:rPr>
      </w:pPr>
    </w:p>
    <w:p w14:paraId="429BC794" w14:textId="77777777" w:rsidR="000F77EA" w:rsidRPr="00FF1F5E" w:rsidRDefault="000A48BB" w:rsidP="000A48BB">
      <w:pPr>
        <w:pStyle w:val="MDPI22heading2"/>
        <w:spacing w:before="240"/>
      </w:pPr>
      <w:r w:rsidRPr="00FF1F5E">
        <w:t xml:space="preserve">4.2. </w:t>
      </w:r>
      <w:r w:rsidR="000F77EA" w:rsidRPr="00FF1F5E">
        <w:t>Distribution of Connotations</w:t>
      </w:r>
    </w:p>
    <w:p w14:paraId="6D4460EA" w14:textId="7E2E9BBD" w:rsidR="000F77EA" w:rsidRPr="00FF1F5E" w:rsidRDefault="000F77EA" w:rsidP="000A48BB">
      <w:pPr>
        <w:pStyle w:val="MDPI31text"/>
      </w:pPr>
      <w:r w:rsidRPr="00FF1F5E">
        <w:t xml:space="preserve">Figure 1 presents the distribution of positive, negative, and neutral connotations associated with the response to free association task about </w:t>
      </w:r>
      <w:r w:rsidR="00FF1F5E">
        <w:t>‘</w:t>
      </w:r>
      <w:r w:rsidRPr="00FF1F5E">
        <w:t>tinnitus</w:t>
      </w:r>
      <w:r w:rsidR="00FF1F5E">
        <w:t>’</w:t>
      </w:r>
      <w:r w:rsidRPr="00FF1F5E">
        <w:t xml:space="preserve"> and </w:t>
      </w:r>
      <w:r w:rsidR="00FF1F5E">
        <w:t>‘</w:t>
      </w:r>
      <w:r w:rsidRPr="00FF1F5E">
        <w:t>health</w:t>
      </w:r>
      <w:r w:rsidR="00FF1F5E">
        <w:t>’</w:t>
      </w:r>
      <w:r w:rsidRPr="00FF1F5E">
        <w:t xml:space="preserve">. The responses to </w:t>
      </w:r>
      <w:r w:rsidR="00FF1F5E">
        <w:t>‘</w:t>
      </w:r>
      <w:r w:rsidRPr="00FF1F5E">
        <w:t>tinnitus</w:t>
      </w:r>
      <w:r w:rsidR="00FF1F5E">
        <w:t>’</w:t>
      </w:r>
      <w:r w:rsidRPr="00FF1F5E">
        <w:t xml:space="preserve"> were predominantly negative connotations (i.e., 76.9%) with only a small percentage (8%) of responses being positive. In comparison a larger proportion of responses towards their </w:t>
      </w:r>
      <w:r w:rsidR="00FF1F5E">
        <w:t>‘</w:t>
      </w:r>
      <w:r w:rsidRPr="00FF1F5E">
        <w:t>health</w:t>
      </w:r>
      <w:r w:rsidR="00FF1F5E">
        <w:t>’</w:t>
      </w:r>
      <w:r w:rsidRPr="00FF1F5E">
        <w:t xml:space="preserve"> had positive connotations (i.e., 46.4%), although 34.7% and 18.9% of responses were positive and neutral, respectively. The chi square analysis suggested significant association between connotations and the response category of either tinnitus </w:t>
      </w:r>
      <w:proofErr w:type="gramStart"/>
      <w:r w:rsidRPr="00FF1F5E">
        <w:t>and</w:t>
      </w:r>
      <w:proofErr w:type="gramEnd"/>
      <w:r w:rsidRPr="00FF1F5E">
        <w:t xml:space="preserve"> health (Chi square = 859, </w:t>
      </w:r>
      <w:r w:rsidRPr="00FF1F5E">
        <w:rPr>
          <w:i/>
          <w:iCs/>
        </w:rPr>
        <w:t>p</w:t>
      </w:r>
      <w:r w:rsidRPr="00FF1F5E">
        <w:t xml:space="preserve"> &lt; 0.001). </w:t>
      </w:r>
    </w:p>
    <w:p w14:paraId="7346DD47" w14:textId="77777777" w:rsidR="000F77EA" w:rsidRPr="00FF1F5E" w:rsidRDefault="000F77EA" w:rsidP="000A48BB">
      <w:pPr>
        <w:pStyle w:val="MDPI52figure"/>
      </w:pPr>
      <w:r w:rsidRPr="00FF1F5E">
        <w:rPr>
          <w:noProof/>
        </w:rPr>
        <w:drawing>
          <wp:inline distT="0" distB="0" distL="0" distR="0" wp14:anchorId="54A93141" wp14:editId="79D36533">
            <wp:extent cx="5731510" cy="4505960"/>
            <wp:effectExtent l="0" t="0" r="2540" b="8890"/>
            <wp:docPr id="9" name="Picture 9"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bar char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4505960"/>
                    </a:xfrm>
                    <a:prstGeom prst="rect">
                      <a:avLst/>
                    </a:prstGeom>
                    <a:noFill/>
                    <a:ln>
                      <a:noFill/>
                    </a:ln>
                  </pic:spPr>
                </pic:pic>
              </a:graphicData>
            </a:graphic>
          </wp:inline>
        </w:drawing>
      </w:r>
    </w:p>
    <w:p w14:paraId="00A3D8C5" w14:textId="77777777" w:rsidR="000A48BB" w:rsidRPr="00FF1F5E" w:rsidRDefault="000A48BB" w:rsidP="000A48BB">
      <w:pPr>
        <w:pStyle w:val="MDPI51figurecaption"/>
      </w:pPr>
      <w:r w:rsidRPr="00FF1F5E">
        <w:rPr>
          <w:b/>
        </w:rPr>
        <w:t xml:space="preserve">Figure 1. </w:t>
      </w:r>
      <w:r w:rsidRPr="00FF1F5E">
        <w:t xml:space="preserve">Percentages of associations ranked positive, </w:t>
      </w:r>
      <w:proofErr w:type="gramStart"/>
      <w:r w:rsidRPr="00FF1F5E">
        <w:t>neutral</w:t>
      </w:r>
      <w:proofErr w:type="gramEnd"/>
      <w:r w:rsidRPr="00FF1F5E">
        <w:t xml:space="preserve"> and negative for responses to free association task about tinnitus and health.</w:t>
      </w:r>
    </w:p>
    <w:p w14:paraId="28BFA74E" w14:textId="77777777" w:rsidR="000F77EA" w:rsidRPr="00FF1F5E" w:rsidRDefault="000A48BB" w:rsidP="000A48BB">
      <w:pPr>
        <w:pStyle w:val="MDPI22heading2"/>
        <w:spacing w:before="240"/>
      </w:pPr>
      <w:r w:rsidRPr="00FF1F5E">
        <w:lastRenderedPageBreak/>
        <w:t xml:space="preserve">4.3. </w:t>
      </w:r>
      <w:r w:rsidR="000F77EA" w:rsidRPr="00FF1F5E">
        <w:t>Similarities Analysis</w:t>
      </w:r>
    </w:p>
    <w:p w14:paraId="5B82157B" w14:textId="557810BC" w:rsidR="000F77EA" w:rsidRPr="00FF1F5E" w:rsidRDefault="000F77EA" w:rsidP="000A48BB">
      <w:pPr>
        <w:pStyle w:val="MDPI31text"/>
      </w:pPr>
      <w:r w:rsidRPr="00FF1F5E">
        <w:t xml:space="preserve">Figures 2 and 3 presents the similarities analysis results of </w:t>
      </w:r>
      <w:r w:rsidR="00FF1F5E">
        <w:t>‘</w:t>
      </w:r>
      <w:r w:rsidRPr="00FF1F5E">
        <w:t>tinnitus</w:t>
      </w:r>
      <w:r w:rsidR="00FF1F5E">
        <w:t>’</w:t>
      </w:r>
      <w:r w:rsidRPr="00FF1F5E">
        <w:t xml:space="preserve"> and </w:t>
      </w:r>
      <w:r w:rsidR="00FF1F5E">
        <w:t>‘</w:t>
      </w:r>
      <w:r w:rsidRPr="00FF1F5E">
        <w:t>health</w:t>
      </w:r>
      <w:r w:rsidR="00FF1F5E">
        <w:t>’</w:t>
      </w:r>
      <w:r w:rsidRPr="00FF1F5E">
        <w:t xml:space="preserve">, respectively in a matric tree index. Here, the size of the nodes represents the frequency of the category and the thickness of the line connecting between the nodes suggest how two strongly one category is related to other (co-occurrence). In other words, how often two categories were reported by the same person. For </w:t>
      </w:r>
      <w:r w:rsidR="00FF1F5E">
        <w:t>‘</w:t>
      </w:r>
      <w:r w:rsidRPr="00FF1F5E">
        <w:t>tinnitus</w:t>
      </w:r>
      <w:r w:rsidR="00FF1F5E">
        <w:t>’</w:t>
      </w:r>
      <w:r w:rsidRPr="00FF1F5E">
        <w:t xml:space="preserve"> (Figure 2), five dominant nodes were identified, namely description of tinnitus, annoying, persistent, distressing, and frustrating. Interestingly, some nodes were connected to category </w:t>
      </w:r>
      <w:r w:rsidRPr="00FF1F5E">
        <w:rPr>
          <w:i/>
          <w:iCs/>
        </w:rPr>
        <w:t>accepting</w:t>
      </w:r>
      <w:r w:rsidRPr="00FF1F5E">
        <w:t xml:space="preserve">, although they were not dominant. The category ‘annoying’ was a central node, connect to the categories frustrating, persistent, deception of tinnitus, and distressing. This means, people who reported annoying also reported other categories that are connected to this. In a similar way, people who reported accepting also reported responses such as natural process or hopeful. For </w:t>
      </w:r>
      <w:r w:rsidR="00FF1F5E">
        <w:t>‘</w:t>
      </w:r>
      <w:r w:rsidRPr="00FF1F5E">
        <w:t>health</w:t>
      </w:r>
      <w:r w:rsidR="00FF1F5E">
        <w:t>’</w:t>
      </w:r>
      <w:r w:rsidRPr="00FF1F5E">
        <w:t xml:space="preserve"> (Figure 3), the dominant nodes include the categories content, take control, active, healthily, overweight, and conditions. For health the category ‘content’ seems to be central node connecting other categories. Although majority of the responses appear to be positive, the nodes related to categories overweight, condition, deteriorating and worried appears to be negative. </w:t>
      </w:r>
    </w:p>
    <w:p w14:paraId="287EF33A" w14:textId="77777777" w:rsidR="000F77EA" w:rsidRPr="00FF1F5E" w:rsidRDefault="000F77EA" w:rsidP="000F77EA">
      <w:pPr>
        <w:adjustRightInd w:val="0"/>
        <w:snapToGrid w:val="0"/>
        <w:rPr>
          <w:noProof w:val="0"/>
        </w:rPr>
      </w:pPr>
    </w:p>
    <w:p w14:paraId="2945CAA5" w14:textId="77777777" w:rsidR="000F77EA" w:rsidRPr="00FF1F5E" w:rsidRDefault="000F77EA" w:rsidP="000F77EA">
      <w:pPr>
        <w:adjustRightInd w:val="0"/>
        <w:snapToGrid w:val="0"/>
        <w:rPr>
          <w:b/>
          <w:bCs/>
          <w:noProof w:val="0"/>
        </w:rPr>
      </w:pPr>
    </w:p>
    <w:p w14:paraId="757BD5DC" w14:textId="77777777" w:rsidR="000F77EA" w:rsidRPr="00FF1F5E" w:rsidRDefault="000F77EA" w:rsidP="000F77EA">
      <w:pPr>
        <w:adjustRightInd w:val="0"/>
        <w:snapToGrid w:val="0"/>
        <w:rPr>
          <w:b/>
          <w:bCs/>
          <w:noProof w:val="0"/>
        </w:rPr>
      </w:pPr>
      <w:r w:rsidRPr="00FF1F5E">
        <w:rPr>
          <w:b/>
        </w:rPr>
        <w:lastRenderedPageBreak/>
        <w:drawing>
          <wp:inline distT="0" distB="0" distL="0" distR="0" wp14:anchorId="3DDE4685" wp14:editId="134432DD">
            <wp:extent cx="5731510" cy="5731510"/>
            <wp:effectExtent l="0" t="0" r="2540" b="2540"/>
            <wp:docPr id="8" name="Picture 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5731510"/>
                    </a:xfrm>
                    <a:prstGeom prst="rect">
                      <a:avLst/>
                    </a:prstGeom>
                    <a:noFill/>
                    <a:ln>
                      <a:noFill/>
                    </a:ln>
                  </pic:spPr>
                </pic:pic>
              </a:graphicData>
            </a:graphic>
          </wp:inline>
        </w:drawing>
      </w:r>
    </w:p>
    <w:p w14:paraId="2AC8426C" w14:textId="77777777" w:rsidR="000A48BB" w:rsidRPr="00FF1F5E" w:rsidRDefault="000A48BB" w:rsidP="000A48BB">
      <w:pPr>
        <w:pStyle w:val="MDPI51figurecaption"/>
      </w:pPr>
      <w:r w:rsidRPr="00FF1F5E">
        <w:rPr>
          <w:b/>
        </w:rPr>
        <w:t xml:space="preserve">Figure 2. </w:t>
      </w:r>
      <w:r w:rsidRPr="00FF1F5E">
        <w:t>Similarities analysis for tinnitus responses.</w:t>
      </w:r>
    </w:p>
    <w:p w14:paraId="5FA8F97B" w14:textId="77777777" w:rsidR="000F77EA" w:rsidRPr="00FF1F5E" w:rsidRDefault="000F77EA" w:rsidP="000F77EA">
      <w:pPr>
        <w:adjustRightInd w:val="0"/>
        <w:snapToGrid w:val="0"/>
        <w:rPr>
          <w:b/>
          <w:bCs/>
          <w:noProof w:val="0"/>
        </w:rPr>
      </w:pPr>
    </w:p>
    <w:p w14:paraId="7077D220" w14:textId="77777777" w:rsidR="000F77EA" w:rsidRPr="00FF1F5E" w:rsidRDefault="000F77EA" w:rsidP="000F77EA">
      <w:pPr>
        <w:adjustRightInd w:val="0"/>
        <w:snapToGrid w:val="0"/>
        <w:rPr>
          <w:b/>
          <w:bCs/>
          <w:noProof w:val="0"/>
        </w:rPr>
      </w:pPr>
    </w:p>
    <w:p w14:paraId="3FC50BCA" w14:textId="77777777" w:rsidR="000F77EA" w:rsidRPr="00FF1F5E" w:rsidRDefault="000F77EA" w:rsidP="000F77EA">
      <w:pPr>
        <w:adjustRightInd w:val="0"/>
        <w:snapToGrid w:val="0"/>
        <w:rPr>
          <w:b/>
          <w:bCs/>
          <w:noProof w:val="0"/>
        </w:rPr>
      </w:pPr>
      <w:r w:rsidRPr="00FF1F5E">
        <w:rPr>
          <w:b/>
        </w:rPr>
        <w:lastRenderedPageBreak/>
        <w:drawing>
          <wp:inline distT="0" distB="0" distL="0" distR="0" wp14:anchorId="3A5FF3E5" wp14:editId="0E1C6718">
            <wp:extent cx="5731510" cy="5731510"/>
            <wp:effectExtent l="0" t="0" r="2540" b="2540"/>
            <wp:docPr id="2" name="Picture 2"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5731510"/>
                    </a:xfrm>
                    <a:prstGeom prst="rect">
                      <a:avLst/>
                    </a:prstGeom>
                    <a:noFill/>
                    <a:ln>
                      <a:noFill/>
                    </a:ln>
                  </pic:spPr>
                </pic:pic>
              </a:graphicData>
            </a:graphic>
          </wp:inline>
        </w:drawing>
      </w:r>
    </w:p>
    <w:p w14:paraId="05620919" w14:textId="77777777" w:rsidR="000A48BB" w:rsidRPr="00FF1F5E" w:rsidRDefault="000A48BB" w:rsidP="000A48BB">
      <w:pPr>
        <w:pStyle w:val="MDPI51figurecaption"/>
      </w:pPr>
      <w:r w:rsidRPr="00FF1F5E">
        <w:rPr>
          <w:b/>
        </w:rPr>
        <w:t xml:space="preserve">Figure 3. </w:t>
      </w:r>
      <w:r w:rsidRPr="00FF1F5E">
        <w:t>Similarities analysis index for health responses.</w:t>
      </w:r>
    </w:p>
    <w:p w14:paraId="1D03A6DA" w14:textId="77777777" w:rsidR="000F77EA" w:rsidRPr="00FF1F5E" w:rsidRDefault="000A48BB" w:rsidP="000A48BB">
      <w:pPr>
        <w:pStyle w:val="MDPI22heading2"/>
        <w:spacing w:before="240"/>
      </w:pPr>
      <w:r w:rsidRPr="00FF1F5E">
        <w:t xml:space="preserve">4.4. </w:t>
      </w:r>
      <w:r w:rsidR="000F77EA" w:rsidRPr="00FF1F5E">
        <w:t xml:space="preserve">Prototypical Analysis </w:t>
      </w:r>
    </w:p>
    <w:p w14:paraId="3024B776" w14:textId="16ED0EA7" w:rsidR="000F77EA" w:rsidRPr="00FF1F5E" w:rsidRDefault="000F77EA" w:rsidP="000A48BB">
      <w:pPr>
        <w:pStyle w:val="MDPI31text"/>
        <w:rPr>
          <w:b/>
        </w:rPr>
      </w:pPr>
      <w:r w:rsidRPr="00FF1F5E">
        <w:t xml:space="preserve">As the similarities analysis only considers the frequency and inter-connectedness but not the ranking of responses based on importance, further analysis was conducted to examine the most important associations based on ranking as well as frequency. Tables 4 and 5 presents the results of prototypical analyses for </w:t>
      </w:r>
      <w:r w:rsidR="00FF1F5E">
        <w:t>‘</w:t>
      </w:r>
      <w:r w:rsidRPr="00FF1F5E">
        <w:t>tinnitus</w:t>
      </w:r>
      <w:r w:rsidR="00FF1F5E">
        <w:t>’</w:t>
      </w:r>
      <w:r w:rsidRPr="00FF1F5E">
        <w:t xml:space="preserve"> and </w:t>
      </w:r>
      <w:r w:rsidR="00FF1F5E">
        <w:t>‘</w:t>
      </w:r>
      <w:r w:rsidRPr="00FF1F5E">
        <w:t>health</w:t>
      </w:r>
      <w:r w:rsidR="00FF1F5E">
        <w:t>’</w:t>
      </w:r>
      <w:r w:rsidRPr="00FF1F5E">
        <w:t xml:space="preserve"> responses, respectively. The central zone of </w:t>
      </w:r>
      <w:r w:rsidR="00FF1F5E">
        <w:t>‘</w:t>
      </w:r>
      <w:r w:rsidRPr="00FF1F5E">
        <w:t>tinnitus</w:t>
      </w:r>
      <w:r w:rsidR="00FF1F5E">
        <w:t>’</w:t>
      </w:r>
      <w:r w:rsidRPr="00FF1F5E">
        <w:t xml:space="preserve"> included four categories that include description of tinnitus, annoying, </w:t>
      </w:r>
      <w:proofErr w:type="gramStart"/>
      <w:r w:rsidRPr="00FF1F5E">
        <w:t>horrible</w:t>
      </w:r>
      <w:proofErr w:type="gramEnd"/>
      <w:r w:rsidRPr="00FF1F5E">
        <w:t xml:space="preserve"> and bothersome. However, the categories in the central zone of health responses included: content, active, healthily, overweight, and grateful. These are the items that are most important elements based on their ranking as well as frequency. Although categories persistent, distracting and distressing were frequently reported, they are least important compared to categories horrible and bothersome. These elements tend to be most stable and are difficult to change. It is interesting to note that </w:t>
      </w:r>
      <w:proofErr w:type="gramStart"/>
      <w:r w:rsidRPr="00FF1F5E">
        <w:t>the majority of</w:t>
      </w:r>
      <w:proofErr w:type="gramEnd"/>
      <w:r w:rsidRPr="00FF1F5E">
        <w:t xml:space="preserve"> the categories related to </w:t>
      </w:r>
      <w:r w:rsidR="00FF1F5E">
        <w:t>‘</w:t>
      </w:r>
      <w:r w:rsidRPr="00FF1F5E">
        <w:t>tinnitus</w:t>
      </w:r>
      <w:r w:rsidR="00FF1F5E">
        <w:t>’</w:t>
      </w:r>
      <w:r w:rsidRPr="00FF1F5E">
        <w:t xml:space="preserve"> were in second periphery (see Table 4), indicating that they are least frequent as well as low ranking. Also, no categories that were positive in </w:t>
      </w:r>
      <w:r w:rsidR="00FF1F5E">
        <w:t>‘</w:t>
      </w:r>
      <w:r w:rsidRPr="00FF1F5E">
        <w:t>tinnitus</w:t>
      </w:r>
      <w:r w:rsidR="00FF1F5E">
        <w:t>’</w:t>
      </w:r>
      <w:r w:rsidRPr="00FF1F5E">
        <w:t xml:space="preserve"> responses appeared in the central zone, although some positive categories were found in first periphery and contrasted elements indicating that the positive </w:t>
      </w:r>
      <w:r w:rsidRPr="00FF1F5E">
        <w:lastRenderedPageBreak/>
        <w:t xml:space="preserve">responses (if any) were ranked lower in relation to their tinnitus. On the other hand, there was a good distribution of categories across the matrix. Also, it is interesting to note that the elements of the central zone of </w:t>
      </w:r>
      <w:r w:rsidR="00FF1F5E">
        <w:t>‘</w:t>
      </w:r>
      <w:r w:rsidRPr="00FF1F5E">
        <w:t>health</w:t>
      </w:r>
      <w:r w:rsidR="00FF1F5E">
        <w:t>’</w:t>
      </w:r>
      <w:r w:rsidRPr="00FF1F5E">
        <w:t xml:space="preserve"> were generally positive (i.e., content, being active, healthy, grateful) suggesting that these individuals had positive opinion or outlook about their general health. Categories such as conditions, take control, and distressing were frequently reported by respondents, but when combining both frequency and rank they are in the first periphery (most frequent but least important) rather than the central zone.</w:t>
      </w:r>
    </w:p>
    <w:p w14:paraId="0B9F0189" w14:textId="77777777" w:rsidR="000F77EA" w:rsidRPr="00FF1F5E" w:rsidRDefault="000A48BB" w:rsidP="000A48BB">
      <w:pPr>
        <w:pStyle w:val="MDPI41tablecaption"/>
      </w:pPr>
      <w:r w:rsidRPr="00FF1F5E">
        <w:rPr>
          <w:b/>
        </w:rPr>
        <w:t xml:space="preserve">Table 4. </w:t>
      </w:r>
      <w:r w:rsidR="000F77EA" w:rsidRPr="00FF1F5E">
        <w:t>Prototypical analysis of tinnitus responses</w:t>
      </w:r>
      <w:r w:rsidRPr="00FF1F5E">
        <w:t>.</w:t>
      </w:r>
    </w:p>
    <w:tbl>
      <w:tblPr>
        <w:tblW w:w="0" w:type="auto"/>
        <w:tblInd w:w="-5" w:type="dxa"/>
        <w:tblLayout w:type="fixed"/>
        <w:tblLook w:val="0000" w:firstRow="0" w:lastRow="0" w:firstColumn="0" w:lastColumn="0" w:noHBand="0" w:noVBand="0"/>
      </w:tblPr>
      <w:tblGrid>
        <w:gridCol w:w="4510"/>
        <w:gridCol w:w="4516"/>
      </w:tblGrid>
      <w:tr w:rsidR="000F77EA" w:rsidRPr="00FF1F5E" w14:paraId="1B8E5EB3" w14:textId="77777777" w:rsidTr="0011363A">
        <w:tc>
          <w:tcPr>
            <w:tcW w:w="4510" w:type="dxa"/>
            <w:tcBorders>
              <w:top w:val="single" w:sz="4" w:space="0" w:color="000000"/>
              <w:left w:val="single" w:sz="4" w:space="0" w:color="000000"/>
              <w:bottom w:val="single" w:sz="4" w:space="0" w:color="000000"/>
            </w:tcBorders>
            <w:shd w:val="clear" w:color="auto" w:fill="auto"/>
          </w:tcPr>
          <w:p w14:paraId="6E0AAC2C" w14:textId="77777777" w:rsidR="000F77EA" w:rsidRPr="00FF1F5E" w:rsidRDefault="000F77EA" w:rsidP="000F77EA">
            <w:pPr>
              <w:adjustRightInd w:val="0"/>
              <w:snapToGrid w:val="0"/>
              <w:rPr>
                <w:noProof w:val="0"/>
              </w:rPr>
            </w:pPr>
            <w:r w:rsidRPr="00FF1F5E">
              <w:rPr>
                <w:b/>
                <w:noProof w:val="0"/>
              </w:rPr>
              <w:t>Central Zone</w:t>
            </w:r>
          </w:p>
          <w:p w14:paraId="2A7C1829" w14:textId="77777777" w:rsidR="000F77EA" w:rsidRPr="00FF1F5E" w:rsidRDefault="000F77EA" w:rsidP="000F77EA">
            <w:pPr>
              <w:adjustRightInd w:val="0"/>
              <w:snapToGrid w:val="0"/>
              <w:rPr>
                <w:noProof w:val="0"/>
              </w:rPr>
            </w:pPr>
            <w:r w:rsidRPr="00FF1F5E">
              <w:rPr>
                <w:bCs/>
                <w:noProof w:val="0"/>
              </w:rPr>
              <w:t>Description of tinnitus</w:t>
            </w:r>
          </w:p>
          <w:p w14:paraId="75B7A041" w14:textId="77777777" w:rsidR="000F77EA" w:rsidRPr="00FF1F5E" w:rsidRDefault="000F77EA" w:rsidP="000F77EA">
            <w:pPr>
              <w:adjustRightInd w:val="0"/>
              <w:snapToGrid w:val="0"/>
              <w:rPr>
                <w:noProof w:val="0"/>
              </w:rPr>
            </w:pPr>
            <w:r w:rsidRPr="00FF1F5E">
              <w:rPr>
                <w:bCs/>
                <w:noProof w:val="0"/>
              </w:rPr>
              <w:t>Annoying</w:t>
            </w:r>
          </w:p>
          <w:p w14:paraId="208BC2C5" w14:textId="77777777" w:rsidR="000F77EA" w:rsidRPr="00FF1F5E" w:rsidRDefault="000F77EA" w:rsidP="000F77EA">
            <w:pPr>
              <w:adjustRightInd w:val="0"/>
              <w:snapToGrid w:val="0"/>
              <w:rPr>
                <w:noProof w:val="0"/>
              </w:rPr>
            </w:pPr>
            <w:r w:rsidRPr="00FF1F5E">
              <w:rPr>
                <w:noProof w:val="0"/>
              </w:rPr>
              <w:t>Horrible</w:t>
            </w:r>
          </w:p>
          <w:p w14:paraId="2CBBBB70" w14:textId="77777777" w:rsidR="000F77EA" w:rsidRPr="00FF1F5E" w:rsidRDefault="000F77EA" w:rsidP="000F77EA">
            <w:pPr>
              <w:adjustRightInd w:val="0"/>
              <w:snapToGrid w:val="0"/>
              <w:rPr>
                <w:noProof w:val="0"/>
              </w:rPr>
            </w:pPr>
            <w:r w:rsidRPr="00FF1F5E">
              <w:rPr>
                <w:noProof w:val="0"/>
              </w:rPr>
              <w:t>Bothersome</w:t>
            </w:r>
          </w:p>
          <w:p w14:paraId="3912702F" w14:textId="77777777" w:rsidR="000F77EA" w:rsidRPr="00FF1F5E" w:rsidRDefault="000F77EA" w:rsidP="000F77EA">
            <w:pPr>
              <w:adjustRightInd w:val="0"/>
              <w:snapToGrid w:val="0"/>
              <w:rPr>
                <w:noProof w:val="0"/>
              </w:rPr>
            </w:pP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13669345" w14:textId="77777777" w:rsidR="000F77EA" w:rsidRPr="00FF1F5E" w:rsidRDefault="000F77EA" w:rsidP="000F77EA">
            <w:pPr>
              <w:adjustRightInd w:val="0"/>
              <w:snapToGrid w:val="0"/>
              <w:rPr>
                <w:noProof w:val="0"/>
              </w:rPr>
            </w:pPr>
            <w:r w:rsidRPr="00FF1F5E">
              <w:rPr>
                <w:b/>
                <w:noProof w:val="0"/>
              </w:rPr>
              <w:t>First periphery</w:t>
            </w:r>
          </w:p>
          <w:p w14:paraId="612C6986" w14:textId="77777777" w:rsidR="000F77EA" w:rsidRPr="00FF1F5E" w:rsidRDefault="000F77EA" w:rsidP="000F77EA">
            <w:pPr>
              <w:adjustRightInd w:val="0"/>
              <w:snapToGrid w:val="0"/>
              <w:rPr>
                <w:b/>
                <w:noProof w:val="0"/>
              </w:rPr>
            </w:pPr>
          </w:p>
          <w:p w14:paraId="7FD92101" w14:textId="77777777" w:rsidR="000F77EA" w:rsidRPr="00FF1F5E" w:rsidRDefault="000F77EA" w:rsidP="000F77EA">
            <w:pPr>
              <w:adjustRightInd w:val="0"/>
              <w:snapToGrid w:val="0"/>
              <w:rPr>
                <w:noProof w:val="0"/>
              </w:rPr>
            </w:pPr>
            <w:r w:rsidRPr="00FF1F5E">
              <w:rPr>
                <w:noProof w:val="0"/>
              </w:rPr>
              <w:t>Persistent</w:t>
            </w:r>
          </w:p>
          <w:p w14:paraId="47D40FB6" w14:textId="77777777" w:rsidR="000F77EA" w:rsidRPr="00FF1F5E" w:rsidRDefault="000F77EA" w:rsidP="000F77EA">
            <w:pPr>
              <w:adjustRightInd w:val="0"/>
              <w:snapToGrid w:val="0"/>
              <w:rPr>
                <w:noProof w:val="0"/>
              </w:rPr>
            </w:pPr>
            <w:r w:rsidRPr="00FF1F5E">
              <w:rPr>
                <w:noProof w:val="0"/>
              </w:rPr>
              <w:t>Distracting</w:t>
            </w:r>
          </w:p>
          <w:p w14:paraId="2D6B85C5" w14:textId="77777777" w:rsidR="000F77EA" w:rsidRPr="00FF1F5E" w:rsidRDefault="000F77EA" w:rsidP="000F77EA">
            <w:pPr>
              <w:adjustRightInd w:val="0"/>
              <w:snapToGrid w:val="0"/>
              <w:rPr>
                <w:noProof w:val="0"/>
              </w:rPr>
            </w:pPr>
            <w:r w:rsidRPr="00FF1F5E">
              <w:rPr>
                <w:noProof w:val="0"/>
              </w:rPr>
              <w:t>Distressing</w:t>
            </w:r>
          </w:p>
          <w:p w14:paraId="10F7A971" w14:textId="77777777" w:rsidR="000F77EA" w:rsidRPr="00FF1F5E" w:rsidRDefault="000F77EA" w:rsidP="000F77EA">
            <w:pPr>
              <w:adjustRightInd w:val="0"/>
              <w:snapToGrid w:val="0"/>
              <w:rPr>
                <w:noProof w:val="0"/>
              </w:rPr>
            </w:pPr>
            <w:r w:rsidRPr="00FF1F5E">
              <w:rPr>
                <w:noProof w:val="0"/>
              </w:rPr>
              <w:t>Hearing difficulties</w:t>
            </w:r>
          </w:p>
          <w:p w14:paraId="082C037C" w14:textId="77777777" w:rsidR="000F77EA" w:rsidRPr="00FF1F5E" w:rsidRDefault="000F77EA" w:rsidP="000F77EA">
            <w:pPr>
              <w:adjustRightInd w:val="0"/>
              <w:snapToGrid w:val="0"/>
              <w:rPr>
                <w:noProof w:val="0"/>
              </w:rPr>
            </w:pPr>
            <w:r w:rsidRPr="00FF1F5E">
              <w:rPr>
                <w:noProof w:val="0"/>
              </w:rPr>
              <w:t>Frustrating</w:t>
            </w:r>
          </w:p>
        </w:tc>
      </w:tr>
      <w:tr w:rsidR="000F77EA" w:rsidRPr="00FF1F5E" w14:paraId="02F42D07" w14:textId="77777777" w:rsidTr="0011363A">
        <w:tc>
          <w:tcPr>
            <w:tcW w:w="4510" w:type="dxa"/>
            <w:tcBorders>
              <w:top w:val="single" w:sz="4" w:space="0" w:color="000000"/>
              <w:left w:val="single" w:sz="4" w:space="0" w:color="000000"/>
              <w:bottom w:val="single" w:sz="4" w:space="0" w:color="000000"/>
            </w:tcBorders>
            <w:shd w:val="clear" w:color="auto" w:fill="auto"/>
          </w:tcPr>
          <w:p w14:paraId="3FD3CAC6" w14:textId="77777777" w:rsidR="000F77EA" w:rsidRPr="00FF1F5E" w:rsidRDefault="000F77EA" w:rsidP="000F77EA">
            <w:pPr>
              <w:adjustRightInd w:val="0"/>
              <w:snapToGrid w:val="0"/>
              <w:rPr>
                <w:noProof w:val="0"/>
              </w:rPr>
            </w:pPr>
            <w:r w:rsidRPr="00FF1F5E">
              <w:rPr>
                <w:b/>
                <w:noProof w:val="0"/>
              </w:rPr>
              <w:t>Contrasted elements</w:t>
            </w:r>
          </w:p>
          <w:p w14:paraId="3B16EE4A" w14:textId="77777777" w:rsidR="000F77EA" w:rsidRPr="00FF1F5E" w:rsidRDefault="000F77EA" w:rsidP="000F77EA">
            <w:pPr>
              <w:adjustRightInd w:val="0"/>
              <w:snapToGrid w:val="0"/>
              <w:rPr>
                <w:b/>
                <w:noProof w:val="0"/>
              </w:rPr>
            </w:pPr>
          </w:p>
          <w:p w14:paraId="79C056FC" w14:textId="77777777" w:rsidR="000F77EA" w:rsidRPr="00FF1F5E" w:rsidRDefault="000F77EA" w:rsidP="000F77EA">
            <w:pPr>
              <w:adjustRightInd w:val="0"/>
              <w:snapToGrid w:val="0"/>
              <w:rPr>
                <w:noProof w:val="0"/>
              </w:rPr>
            </w:pPr>
            <w:r w:rsidRPr="00FF1F5E">
              <w:rPr>
                <w:noProof w:val="0"/>
              </w:rPr>
              <w:t>Miserable</w:t>
            </w:r>
          </w:p>
          <w:p w14:paraId="62D5F409" w14:textId="77777777" w:rsidR="000F77EA" w:rsidRPr="00FF1F5E" w:rsidRDefault="000F77EA" w:rsidP="000F77EA">
            <w:pPr>
              <w:adjustRightInd w:val="0"/>
              <w:snapToGrid w:val="0"/>
              <w:rPr>
                <w:noProof w:val="0"/>
              </w:rPr>
            </w:pPr>
            <w:r w:rsidRPr="00FF1F5E">
              <w:rPr>
                <w:noProof w:val="0"/>
              </w:rPr>
              <w:t>Frightening</w:t>
            </w:r>
          </w:p>
          <w:p w14:paraId="44FFEC17" w14:textId="77777777" w:rsidR="000F77EA" w:rsidRPr="00FF1F5E" w:rsidRDefault="000F77EA" w:rsidP="000F77EA">
            <w:pPr>
              <w:adjustRightInd w:val="0"/>
              <w:snapToGrid w:val="0"/>
              <w:rPr>
                <w:noProof w:val="0"/>
              </w:rPr>
            </w:pPr>
            <w:r w:rsidRPr="00FF1F5E">
              <w:rPr>
                <w:noProof w:val="0"/>
              </w:rPr>
              <w:t>Tormenting</w:t>
            </w:r>
          </w:p>
          <w:p w14:paraId="2910FAA2" w14:textId="77777777" w:rsidR="000F77EA" w:rsidRPr="00FF1F5E" w:rsidRDefault="000F77EA" w:rsidP="000F77EA">
            <w:pPr>
              <w:adjustRightInd w:val="0"/>
              <w:snapToGrid w:val="0"/>
              <w:rPr>
                <w:noProof w:val="0"/>
              </w:rPr>
            </w:pPr>
            <w:r w:rsidRPr="00FF1F5E">
              <w:rPr>
                <w:noProof w:val="0"/>
              </w:rPr>
              <w:t>Limiting</w:t>
            </w:r>
          </w:p>
          <w:p w14:paraId="0B6BEF3F" w14:textId="77777777" w:rsidR="000F77EA" w:rsidRPr="00FF1F5E" w:rsidRDefault="000F77EA" w:rsidP="000F77EA">
            <w:pPr>
              <w:adjustRightInd w:val="0"/>
              <w:snapToGrid w:val="0"/>
              <w:rPr>
                <w:noProof w:val="0"/>
              </w:rPr>
            </w:pPr>
            <w:r w:rsidRPr="00FF1F5E">
              <w:rPr>
                <w:noProof w:val="0"/>
              </w:rPr>
              <w:t>Unbearable</w:t>
            </w:r>
          </w:p>
          <w:p w14:paraId="46C607EC" w14:textId="77777777" w:rsidR="000F77EA" w:rsidRPr="00FF1F5E" w:rsidRDefault="000F77EA" w:rsidP="000F77EA">
            <w:pPr>
              <w:adjustRightInd w:val="0"/>
              <w:snapToGrid w:val="0"/>
              <w:rPr>
                <w:noProof w:val="0"/>
              </w:rPr>
            </w:pPr>
            <w:r w:rsidRPr="00FF1F5E">
              <w:rPr>
                <w:noProof w:val="0"/>
              </w:rPr>
              <w:t>Disturbing</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362ABFE0" w14:textId="77777777" w:rsidR="000F77EA" w:rsidRPr="00FF1F5E" w:rsidRDefault="000F77EA" w:rsidP="000F77EA">
            <w:pPr>
              <w:adjustRightInd w:val="0"/>
              <w:snapToGrid w:val="0"/>
              <w:rPr>
                <w:noProof w:val="0"/>
              </w:rPr>
            </w:pPr>
            <w:r w:rsidRPr="00FF1F5E">
              <w:rPr>
                <w:b/>
                <w:noProof w:val="0"/>
              </w:rPr>
              <w:t>Second periphery</w:t>
            </w:r>
          </w:p>
          <w:p w14:paraId="210FD7BB" w14:textId="77777777" w:rsidR="000F77EA" w:rsidRPr="00FF1F5E" w:rsidRDefault="000F77EA" w:rsidP="000F77EA">
            <w:pPr>
              <w:adjustRightInd w:val="0"/>
              <w:snapToGrid w:val="0"/>
              <w:rPr>
                <w:b/>
                <w:noProof w:val="0"/>
              </w:rPr>
            </w:pPr>
          </w:p>
          <w:p w14:paraId="77D3F53A" w14:textId="77777777" w:rsidR="000F77EA" w:rsidRPr="00FF1F5E" w:rsidRDefault="000F77EA" w:rsidP="000F77EA">
            <w:pPr>
              <w:adjustRightInd w:val="0"/>
              <w:snapToGrid w:val="0"/>
              <w:rPr>
                <w:noProof w:val="0"/>
              </w:rPr>
            </w:pPr>
            <w:r w:rsidRPr="00FF1F5E">
              <w:rPr>
                <w:noProof w:val="0"/>
              </w:rPr>
              <w:t>Helplessness</w:t>
            </w:r>
          </w:p>
          <w:p w14:paraId="1973992D" w14:textId="77777777" w:rsidR="000F77EA" w:rsidRPr="00FF1F5E" w:rsidRDefault="000F77EA" w:rsidP="000F77EA">
            <w:pPr>
              <w:adjustRightInd w:val="0"/>
              <w:snapToGrid w:val="0"/>
              <w:rPr>
                <w:noProof w:val="0"/>
              </w:rPr>
            </w:pPr>
            <w:r w:rsidRPr="00FF1F5E">
              <w:rPr>
                <w:noProof w:val="0"/>
              </w:rPr>
              <w:t>Angering</w:t>
            </w:r>
          </w:p>
          <w:p w14:paraId="02C8046E" w14:textId="77777777" w:rsidR="000F77EA" w:rsidRPr="00FF1F5E" w:rsidRDefault="000F77EA" w:rsidP="000F77EA">
            <w:pPr>
              <w:adjustRightInd w:val="0"/>
              <w:snapToGrid w:val="0"/>
              <w:rPr>
                <w:noProof w:val="0"/>
              </w:rPr>
            </w:pPr>
            <w:r w:rsidRPr="00FF1F5E">
              <w:rPr>
                <w:noProof w:val="0"/>
              </w:rPr>
              <w:t>Debilitating</w:t>
            </w:r>
          </w:p>
          <w:p w14:paraId="4E5EA276" w14:textId="77777777" w:rsidR="000F77EA" w:rsidRPr="00FF1F5E" w:rsidRDefault="000F77EA" w:rsidP="000F77EA">
            <w:pPr>
              <w:adjustRightInd w:val="0"/>
              <w:snapToGrid w:val="0"/>
              <w:rPr>
                <w:noProof w:val="0"/>
              </w:rPr>
            </w:pPr>
            <w:r w:rsidRPr="00FF1F5E">
              <w:rPr>
                <w:noProof w:val="0"/>
              </w:rPr>
              <w:t xml:space="preserve">Accepting </w:t>
            </w:r>
          </w:p>
          <w:p w14:paraId="1F8B730C" w14:textId="77777777" w:rsidR="000F77EA" w:rsidRPr="00FF1F5E" w:rsidRDefault="000F77EA" w:rsidP="000F77EA">
            <w:pPr>
              <w:adjustRightInd w:val="0"/>
              <w:snapToGrid w:val="0"/>
              <w:rPr>
                <w:noProof w:val="0"/>
              </w:rPr>
            </w:pPr>
            <w:r w:rsidRPr="00FF1F5E">
              <w:rPr>
                <w:noProof w:val="0"/>
              </w:rPr>
              <w:t>Need to stop</w:t>
            </w:r>
          </w:p>
          <w:p w14:paraId="43C9463C" w14:textId="77777777" w:rsidR="000F77EA" w:rsidRPr="00FF1F5E" w:rsidRDefault="000F77EA" w:rsidP="000F77EA">
            <w:pPr>
              <w:adjustRightInd w:val="0"/>
              <w:snapToGrid w:val="0"/>
              <w:rPr>
                <w:noProof w:val="0"/>
              </w:rPr>
            </w:pPr>
            <w:r w:rsidRPr="00FF1F5E">
              <w:rPr>
                <w:noProof w:val="0"/>
              </w:rPr>
              <w:t>Isolating</w:t>
            </w:r>
          </w:p>
          <w:p w14:paraId="1B985274" w14:textId="77777777" w:rsidR="000F77EA" w:rsidRPr="00FF1F5E" w:rsidRDefault="000F77EA" w:rsidP="000F77EA">
            <w:pPr>
              <w:adjustRightInd w:val="0"/>
              <w:snapToGrid w:val="0"/>
              <w:rPr>
                <w:noProof w:val="0"/>
              </w:rPr>
            </w:pPr>
            <w:r w:rsidRPr="00FF1F5E">
              <w:rPr>
                <w:noProof w:val="0"/>
              </w:rPr>
              <w:t xml:space="preserve">Loss of quiet </w:t>
            </w:r>
          </w:p>
          <w:p w14:paraId="3D9FD9C6" w14:textId="77777777" w:rsidR="000F77EA" w:rsidRPr="00FF1F5E" w:rsidRDefault="000F77EA" w:rsidP="000F77EA">
            <w:pPr>
              <w:adjustRightInd w:val="0"/>
              <w:snapToGrid w:val="0"/>
              <w:rPr>
                <w:noProof w:val="0"/>
              </w:rPr>
            </w:pPr>
            <w:r w:rsidRPr="00FF1F5E">
              <w:rPr>
                <w:noProof w:val="0"/>
              </w:rPr>
              <w:t>Exhausting</w:t>
            </w:r>
          </w:p>
          <w:p w14:paraId="38724C29" w14:textId="77777777" w:rsidR="000F77EA" w:rsidRPr="00FF1F5E" w:rsidRDefault="000F77EA" w:rsidP="000F77EA">
            <w:pPr>
              <w:adjustRightInd w:val="0"/>
              <w:snapToGrid w:val="0"/>
              <w:rPr>
                <w:noProof w:val="0"/>
              </w:rPr>
            </w:pPr>
            <w:r w:rsidRPr="00FF1F5E">
              <w:rPr>
                <w:noProof w:val="0"/>
              </w:rPr>
              <w:t>Interfering</w:t>
            </w:r>
          </w:p>
          <w:p w14:paraId="13E08276" w14:textId="77777777" w:rsidR="000F77EA" w:rsidRPr="00FF1F5E" w:rsidRDefault="000F77EA" w:rsidP="000F77EA">
            <w:pPr>
              <w:adjustRightInd w:val="0"/>
              <w:snapToGrid w:val="0"/>
              <w:rPr>
                <w:noProof w:val="0"/>
              </w:rPr>
            </w:pPr>
            <w:r w:rsidRPr="00FF1F5E">
              <w:rPr>
                <w:noProof w:val="0"/>
              </w:rPr>
              <w:t>Depressing</w:t>
            </w:r>
          </w:p>
          <w:p w14:paraId="26F999DF" w14:textId="77777777" w:rsidR="000F77EA" w:rsidRPr="00FF1F5E" w:rsidRDefault="000F77EA" w:rsidP="000F77EA">
            <w:pPr>
              <w:adjustRightInd w:val="0"/>
              <w:snapToGrid w:val="0"/>
              <w:rPr>
                <w:noProof w:val="0"/>
              </w:rPr>
            </w:pPr>
            <w:r w:rsidRPr="00FF1F5E">
              <w:rPr>
                <w:noProof w:val="0"/>
              </w:rPr>
              <w:t>Hopeful</w:t>
            </w:r>
          </w:p>
          <w:p w14:paraId="5090D1E8" w14:textId="77777777" w:rsidR="000F77EA" w:rsidRPr="00FF1F5E" w:rsidRDefault="000F77EA" w:rsidP="000F77EA">
            <w:pPr>
              <w:adjustRightInd w:val="0"/>
              <w:snapToGrid w:val="0"/>
              <w:rPr>
                <w:noProof w:val="0"/>
              </w:rPr>
            </w:pPr>
            <w:r w:rsidRPr="00FF1F5E">
              <w:rPr>
                <w:noProof w:val="0"/>
              </w:rPr>
              <w:t>Challenging</w:t>
            </w:r>
          </w:p>
          <w:p w14:paraId="5ED19F93" w14:textId="77777777" w:rsidR="000F77EA" w:rsidRPr="00FF1F5E" w:rsidRDefault="000F77EA" w:rsidP="000F77EA">
            <w:pPr>
              <w:adjustRightInd w:val="0"/>
              <w:snapToGrid w:val="0"/>
              <w:rPr>
                <w:noProof w:val="0"/>
              </w:rPr>
            </w:pPr>
            <w:r w:rsidRPr="00FF1F5E">
              <w:rPr>
                <w:noProof w:val="0"/>
              </w:rPr>
              <w:t>Insomnia</w:t>
            </w:r>
          </w:p>
          <w:p w14:paraId="2AE3B2A1" w14:textId="77777777" w:rsidR="000F77EA" w:rsidRPr="00FF1F5E" w:rsidRDefault="000F77EA" w:rsidP="000F77EA">
            <w:pPr>
              <w:adjustRightInd w:val="0"/>
              <w:snapToGrid w:val="0"/>
              <w:rPr>
                <w:noProof w:val="0"/>
              </w:rPr>
            </w:pPr>
            <w:r w:rsidRPr="00FF1F5E">
              <w:rPr>
                <w:noProof w:val="0"/>
              </w:rPr>
              <w:t>Natural process</w:t>
            </w:r>
          </w:p>
          <w:p w14:paraId="7C48975D" w14:textId="77777777" w:rsidR="000F77EA" w:rsidRPr="00FF1F5E" w:rsidRDefault="000F77EA" w:rsidP="000F77EA">
            <w:pPr>
              <w:adjustRightInd w:val="0"/>
              <w:snapToGrid w:val="0"/>
              <w:rPr>
                <w:noProof w:val="0"/>
              </w:rPr>
            </w:pPr>
            <w:r w:rsidRPr="00FF1F5E">
              <w:rPr>
                <w:noProof w:val="0"/>
              </w:rPr>
              <w:t>Unfair</w:t>
            </w:r>
          </w:p>
          <w:p w14:paraId="07E3B291" w14:textId="77777777" w:rsidR="000F77EA" w:rsidRPr="00FF1F5E" w:rsidRDefault="000F77EA" w:rsidP="000F77EA">
            <w:pPr>
              <w:adjustRightInd w:val="0"/>
              <w:snapToGrid w:val="0"/>
              <w:rPr>
                <w:noProof w:val="0"/>
              </w:rPr>
            </w:pPr>
            <w:r w:rsidRPr="00FF1F5E">
              <w:rPr>
                <w:noProof w:val="0"/>
              </w:rPr>
              <w:t>Uncontrollable</w:t>
            </w:r>
          </w:p>
          <w:p w14:paraId="454607D1" w14:textId="77777777" w:rsidR="000F77EA" w:rsidRPr="00FF1F5E" w:rsidRDefault="000F77EA" w:rsidP="000F77EA">
            <w:pPr>
              <w:adjustRightInd w:val="0"/>
              <w:snapToGrid w:val="0"/>
              <w:rPr>
                <w:noProof w:val="0"/>
              </w:rPr>
            </w:pPr>
            <w:r w:rsidRPr="00FF1F5E">
              <w:rPr>
                <w:noProof w:val="0"/>
              </w:rPr>
              <w:t>Determination</w:t>
            </w:r>
          </w:p>
          <w:p w14:paraId="2AA6BE09" w14:textId="77777777" w:rsidR="000F77EA" w:rsidRPr="00FF1F5E" w:rsidRDefault="000F77EA" w:rsidP="000F77EA">
            <w:pPr>
              <w:adjustRightInd w:val="0"/>
              <w:snapToGrid w:val="0"/>
              <w:rPr>
                <w:noProof w:val="0"/>
              </w:rPr>
            </w:pPr>
            <w:r w:rsidRPr="00FF1F5E">
              <w:rPr>
                <w:noProof w:val="0"/>
              </w:rPr>
              <w:t>Regret</w:t>
            </w:r>
          </w:p>
          <w:p w14:paraId="59D52254" w14:textId="77777777" w:rsidR="000F77EA" w:rsidRPr="00FF1F5E" w:rsidRDefault="000F77EA" w:rsidP="000F77EA">
            <w:pPr>
              <w:adjustRightInd w:val="0"/>
              <w:snapToGrid w:val="0"/>
              <w:rPr>
                <w:noProof w:val="0"/>
              </w:rPr>
            </w:pPr>
            <w:proofErr w:type="spellStart"/>
            <w:r w:rsidRPr="00FF1F5E">
              <w:rPr>
                <w:noProof w:val="0"/>
              </w:rPr>
              <w:t>Unintruding</w:t>
            </w:r>
            <w:proofErr w:type="spellEnd"/>
          </w:p>
          <w:p w14:paraId="6092E028" w14:textId="77777777" w:rsidR="000F77EA" w:rsidRPr="00FF1F5E" w:rsidRDefault="000F77EA" w:rsidP="000F77EA">
            <w:pPr>
              <w:adjustRightInd w:val="0"/>
              <w:snapToGrid w:val="0"/>
              <w:rPr>
                <w:noProof w:val="0"/>
              </w:rPr>
            </w:pPr>
            <w:r w:rsidRPr="00FF1F5E">
              <w:rPr>
                <w:noProof w:val="0"/>
              </w:rPr>
              <w:t>Calming</w:t>
            </w:r>
          </w:p>
          <w:p w14:paraId="7DAE5118" w14:textId="77777777" w:rsidR="000F77EA" w:rsidRPr="00FF1F5E" w:rsidRDefault="000F77EA" w:rsidP="000F77EA">
            <w:pPr>
              <w:adjustRightInd w:val="0"/>
              <w:snapToGrid w:val="0"/>
              <w:rPr>
                <w:noProof w:val="0"/>
              </w:rPr>
            </w:pPr>
            <w:r w:rsidRPr="00FF1F5E">
              <w:rPr>
                <w:noProof w:val="0"/>
              </w:rPr>
              <w:t>Helped</w:t>
            </w:r>
          </w:p>
          <w:p w14:paraId="2369FB82" w14:textId="77777777" w:rsidR="000F77EA" w:rsidRPr="00FF1F5E" w:rsidRDefault="000F77EA" w:rsidP="000F77EA">
            <w:pPr>
              <w:adjustRightInd w:val="0"/>
              <w:snapToGrid w:val="0"/>
              <w:rPr>
                <w:noProof w:val="0"/>
              </w:rPr>
            </w:pPr>
            <w:r w:rsidRPr="00FF1F5E">
              <w:rPr>
                <w:noProof w:val="0"/>
              </w:rPr>
              <w:t>Treatment</w:t>
            </w:r>
          </w:p>
          <w:p w14:paraId="33E27262" w14:textId="77777777" w:rsidR="000F77EA" w:rsidRPr="00FF1F5E" w:rsidRDefault="000F77EA" w:rsidP="000F77EA">
            <w:pPr>
              <w:adjustRightInd w:val="0"/>
              <w:snapToGrid w:val="0"/>
              <w:rPr>
                <w:noProof w:val="0"/>
              </w:rPr>
            </w:pPr>
            <w:r w:rsidRPr="00FF1F5E">
              <w:rPr>
                <w:noProof w:val="0"/>
              </w:rPr>
              <w:t>Interesting</w:t>
            </w:r>
          </w:p>
          <w:p w14:paraId="114AF05F" w14:textId="77777777" w:rsidR="000F77EA" w:rsidRPr="00FF1F5E" w:rsidRDefault="000F77EA" w:rsidP="000F77EA">
            <w:pPr>
              <w:adjustRightInd w:val="0"/>
              <w:snapToGrid w:val="0"/>
              <w:rPr>
                <w:noProof w:val="0"/>
              </w:rPr>
            </w:pPr>
            <w:r w:rsidRPr="00FF1F5E">
              <w:rPr>
                <w:noProof w:val="0"/>
              </w:rPr>
              <w:t>Healthy</w:t>
            </w:r>
          </w:p>
        </w:tc>
      </w:tr>
    </w:tbl>
    <w:p w14:paraId="6C702814" w14:textId="77777777" w:rsidR="000F77EA" w:rsidRPr="00FF1F5E" w:rsidRDefault="000F77EA" w:rsidP="000F77EA">
      <w:pPr>
        <w:adjustRightInd w:val="0"/>
        <w:snapToGrid w:val="0"/>
        <w:rPr>
          <w:noProof w:val="0"/>
        </w:rPr>
      </w:pPr>
    </w:p>
    <w:p w14:paraId="25BE6C7F" w14:textId="77777777" w:rsidR="000F77EA" w:rsidRPr="00FF1F5E" w:rsidRDefault="000F77EA" w:rsidP="000F77EA">
      <w:pPr>
        <w:adjustRightInd w:val="0"/>
        <w:snapToGrid w:val="0"/>
        <w:rPr>
          <w:noProof w:val="0"/>
        </w:rPr>
      </w:pPr>
      <w:r w:rsidRPr="00FF1F5E">
        <w:rPr>
          <w:b/>
          <w:noProof w:val="0"/>
        </w:rPr>
        <w:br w:type="column"/>
      </w:r>
      <w:r w:rsidRPr="00FF1F5E">
        <w:rPr>
          <w:b/>
          <w:noProof w:val="0"/>
        </w:rPr>
        <w:lastRenderedPageBreak/>
        <w:t xml:space="preserve">Table 5: Prototypical analysis of health responses </w:t>
      </w:r>
    </w:p>
    <w:p w14:paraId="15551DD4" w14:textId="77777777" w:rsidR="000F77EA" w:rsidRPr="00FF1F5E" w:rsidRDefault="000F77EA" w:rsidP="000F77EA">
      <w:pPr>
        <w:adjustRightInd w:val="0"/>
        <w:snapToGrid w:val="0"/>
        <w:rPr>
          <w:noProof w:val="0"/>
        </w:rPr>
      </w:pPr>
    </w:p>
    <w:tbl>
      <w:tblPr>
        <w:tblW w:w="0" w:type="auto"/>
        <w:tblInd w:w="-5" w:type="dxa"/>
        <w:tblLayout w:type="fixed"/>
        <w:tblLook w:val="0000" w:firstRow="0" w:lastRow="0" w:firstColumn="0" w:lastColumn="0" w:noHBand="0" w:noVBand="0"/>
      </w:tblPr>
      <w:tblGrid>
        <w:gridCol w:w="4510"/>
        <w:gridCol w:w="4516"/>
      </w:tblGrid>
      <w:tr w:rsidR="000F77EA" w:rsidRPr="00FF1F5E" w14:paraId="352DF703" w14:textId="77777777" w:rsidTr="0011363A">
        <w:tc>
          <w:tcPr>
            <w:tcW w:w="4510" w:type="dxa"/>
            <w:tcBorders>
              <w:top w:val="single" w:sz="4" w:space="0" w:color="000000"/>
              <w:left w:val="single" w:sz="4" w:space="0" w:color="000000"/>
              <w:bottom w:val="single" w:sz="4" w:space="0" w:color="000000"/>
            </w:tcBorders>
            <w:shd w:val="clear" w:color="auto" w:fill="auto"/>
          </w:tcPr>
          <w:p w14:paraId="7D6611BF" w14:textId="77777777" w:rsidR="000F77EA" w:rsidRPr="00FF1F5E" w:rsidRDefault="000F77EA" w:rsidP="000F77EA">
            <w:pPr>
              <w:adjustRightInd w:val="0"/>
              <w:snapToGrid w:val="0"/>
              <w:rPr>
                <w:noProof w:val="0"/>
              </w:rPr>
            </w:pPr>
            <w:r w:rsidRPr="00FF1F5E">
              <w:rPr>
                <w:b/>
                <w:noProof w:val="0"/>
              </w:rPr>
              <w:t>Central Zone</w:t>
            </w:r>
          </w:p>
          <w:p w14:paraId="4FC3D462" w14:textId="77777777" w:rsidR="000F77EA" w:rsidRPr="00FF1F5E" w:rsidRDefault="000F77EA" w:rsidP="000F77EA">
            <w:pPr>
              <w:adjustRightInd w:val="0"/>
              <w:snapToGrid w:val="0"/>
              <w:rPr>
                <w:b/>
                <w:noProof w:val="0"/>
              </w:rPr>
            </w:pPr>
          </w:p>
          <w:p w14:paraId="26B78127" w14:textId="77777777" w:rsidR="000F77EA" w:rsidRPr="00FF1F5E" w:rsidRDefault="000F77EA" w:rsidP="000F77EA">
            <w:pPr>
              <w:adjustRightInd w:val="0"/>
              <w:snapToGrid w:val="0"/>
              <w:rPr>
                <w:noProof w:val="0"/>
              </w:rPr>
            </w:pPr>
            <w:r w:rsidRPr="00FF1F5E">
              <w:rPr>
                <w:noProof w:val="0"/>
              </w:rPr>
              <w:t>Content</w:t>
            </w:r>
          </w:p>
          <w:p w14:paraId="68E28EEE" w14:textId="77777777" w:rsidR="000F77EA" w:rsidRPr="00FF1F5E" w:rsidRDefault="000F77EA" w:rsidP="000F77EA">
            <w:pPr>
              <w:adjustRightInd w:val="0"/>
              <w:snapToGrid w:val="0"/>
              <w:rPr>
                <w:noProof w:val="0"/>
              </w:rPr>
            </w:pPr>
            <w:r w:rsidRPr="00FF1F5E">
              <w:rPr>
                <w:noProof w:val="0"/>
              </w:rPr>
              <w:t>Active</w:t>
            </w:r>
          </w:p>
          <w:p w14:paraId="56923187" w14:textId="77777777" w:rsidR="000F77EA" w:rsidRPr="00FF1F5E" w:rsidRDefault="000F77EA" w:rsidP="000F77EA">
            <w:pPr>
              <w:adjustRightInd w:val="0"/>
              <w:snapToGrid w:val="0"/>
              <w:rPr>
                <w:noProof w:val="0"/>
              </w:rPr>
            </w:pPr>
            <w:r w:rsidRPr="00FF1F5E">
              <w:rPr>
                <w:noProof w:val="0"/>
              </w:rPr>
              <w:t>Healthy</w:t>
            </w:r>
          </w:p>
          <w:p w14:paraId="4182E58E" w14:textId="77777777" w:rsidR="000F77EA" w:rsidRPr="00FF1F5E" w:rsidRDefault="000F77EA" w:rsidP="000F77EA">
            <w:pPr>
              <w:adjustRightInd w:val="0"/>
              <w:snapToGrid w:val="0"/>
              <w:rPr>
                <w:noProof w:val="0"/>
              </w:rPr>
            </w:pPr>
            <w:r w:rsidRPr="00FF1F5E">
              <w:rPr>
                <w:noProof w:val="0"/>
              </w:rPr>
              <w:t>Overweight</w:t>
            </w:r>
          </w:p>
          <w:p w14:paraId="55AD466F" w14:textId="77777777" w:rsidR="000F77EA" w:rsidRPr="00FF1F5E" w:rsidRDefault="000F77EA" w:rsidP="000F77EA">
            <w:pPr>
              <w:adjustRightInd w:val="0"/>
              <w:snapToGrid w:val="0"/>
              <w:rPr>
                <w:noProof w:val="0"/>
              </w:rPr>
            </w:pPr>
            <w:r w:rsidRPr="00FF1F5E">
              <w:rPr>
                <w:noProof w:val="0"/>
              </w:rPr>
              <w:t>Grateful</w:t>
            </w:r>
          </w:p>
          <w:p w14:paraId="737405F5" w14:textId="77777777" w:rsidR="000F77EA" w:rsidRPr="00FF1F5E" w:rsidRDefault="000F77EA" w:rsidP="000F77EA">
            <w:pPr>
              <w:adjustRightInd w:val="0"/>
              <w:snapToGrid w:val="0"/>
              <w:rPr>
                <w:noProof w:val="0"/>
              </w:rPr>
            </w:pP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45158EF3" w14:textId="77777777" w:rsidR="000F77EA" w:rsidRPr="00FF1F5E" w:rsidRDefault="000F77EA" w:rsidP="000F77EA">
            <w:pPr>
              <w:adjustRightInd w:val="0"/>
              <w:snapToGrid w:val="0"/>
              <w:rPr>
                <w:noProof w:val="0"/>
              </w:rPr>
            </w:pPr>
            <w:r w:rsidRPr="00FF1F5E">
              <w:rPr>
                <w:b/>
                <w:noProof w:val="0"/>
              </w:rPr>
              <w:t>First periphery</w:t>
            </w:r>
          </w:p>
          <w:p w14:paraId="6719DF5C" w14:textId="77777777" w:rsidR="000F77EA" w:rsidRPr="00FF1F5E" w:rsidRDefault="000F77EA" w:rsidP="000F77EA">
            <w:pPr>
              <w:adjustRightInd w:val="0"/>
              <w:snapToGrid w:val="0"/>
              <w:rPr>
                <w:b/>
                <w:noProof w:val="0"/>
              </w:rPr>
            </w:pPr>
          </w:p>
          <w:p w14:paraId="669AB984" w14:textId="77777777" w:rsidR="000F77EA" w:rsidRPr="00FF1F5E" w:rsidRDefault="000F77EA" w:rsidP="000F77EA">
            <w:pPr>
              <w:adjustRightInd w:val="0"/>
              <w:snapToGrid w:val="0"/>
              <w:rPr>
                <w:noProof w:val="0"/>
              </w:rPr>
            </w:pPr>
            <w:r w:rsidRPr="00FF1F5E">
              <w:rPr>
                <w:noProof w:val="0"/>
              </w:rPr>
              <w:t>Conditions</w:t>
            </w:r>
          </w:p>
          <w:p w14:paraId="58CBE8C6" w14:textId="77777777" w:rsidR="000F77EA" w:rsidRPr="00FF1F5E" w:rsidRDefault="000F77EA" w:rsidP="000F77EA">
            <w:pPr>
              <w:adjustRightInd w:val="0"/>
              <w:snapToGrid w:val="0"/>
              <w:rPr>
                <w:noProof w:val="0"/>
              </w:rPr>
            </w:pPr>
            <w:r w:rsidRPr="00FF1F5E">
              <w:rPr>
                <w:noProof w:val="0"/>
              </w:rPr>
              <w:t>Take control</w:t>
            </w:r>
          </w:p>
          <w:p w14:paraId="21ADDC62" w14:textId="77777777" w:rsidR="000F77EA" w:rsidRPr="00FF1F5E" w:rsidRDefault="000F77EA" w:rsidP="000F77EA">
            <w:pPr>
              <w:adjustRightInd w:val="0"/>
              <w:snapToGrid w:val="0"/>
              <w:rPr>
                <w:noProof w:val="0"/>
              </w:rPr>
            </w:pPr>
            <w:r w:rsidRPr="00FF1F5E">
              <w:rPr>
                <w:noProof w:val="0"/>
              </w:rPr>
              <w:t>Distressing</w:t>
            </w:r>
          </w:p>
          <w:p w14:paraId="25EC5706" w14:textId="77777777" w:rsidR="000F77EA" w:rsidRPr="00FF1F5E" w:rsidRDefault="000F77EA" w:rsidP="000F77EA">
            <w:pPr>
              <w:adjustRightInd w:val="0"/>
              <w:snapToGrid w:val="0"/>
              <w:rPr>
                <w:noProof w:val="0"/>
              </w:rPr>
            </w:pPr>
            <w:r w:rsidRPr="00FF1F5E">
              <w:rPr>
                <w:noProof w:val="0"/>
              </w:rPr>
              <w:t>Worried</w:t>
            </w:r>
          </w:p>
          <w:p w14:paraId="76D3363A" w14:textId="77777777" w:rsidR="000F77EA" w:rsidRPr="00FF1F5E" w:rsidRDefault="000F77EA" w:rsidP="000F77EA">
            <w:pPr>
              <w:adjustRightInd w:val="0"/>
              <w:snapToGrid w:val="0"/>
              <w:rPr>
                <w:noProof w:val="0"/>
              </w:rPr>
            </w:pPr>
            <w:r w:rsidRPr="00FF1F5E">
              <w:rPr>
                <w:noProof w:val="0"/>
              </w:rPr>
              <w:t>Accepting</w:t>
            </w:r>
          </w:p>
          <w:p w14:paraId="1FD43FFD" w14:textId="77777777" w:rsidR="000F77EA" w:rsidRPr="00FF1F5E" w:rsidRDefault="000F77EA" w:rsidP="000F77EA">
            <w:pPr>
              <w:adjustRightInd w:val="0"/>
              <w:snapToGrid w:val="0"/>
              <w:rPr>
                <w:noProof w:val="0"/>
              </w:rPr>
            </w:pPr>
            <w:r w:rsidRPr="00FF1F5E">
              <w:rPr>
                <w:noProof w:val="0"/>
              </w:rPr>
              <w:t>Tiredness</w:t>
            </w:r>
          </w:p>
          <w:p w14:paraId="2CA79C8F" w14:textId="77777777" w:rsidR="000F77EA" w:rsidRPr="00FF1F5E" w:rsidRDefault="000F77EA" w:rsidP="000F77EA">
            <w:pPr>
              <w:adjustRightInd w:val="0"/>
              <w:snapToGrid w:val="0"/>
              <w:rPr>
                <w:noProof w:val="0"/>
              </w:rPr>
            </w:pPr>
            <w:r w:rsidRPr="00FF1F5E">
              <w:rPr>
                <w:noProof w:val="0"/>
              </w:rPr>
              <w:t xml:space="preserve">Deteriorating </w:t>
            </w:r>
          </w:p>
        </w:tc>
      </w:tr>
      <w:tr w:rsidR="000F77EA" w:rsidRPr="00FF1F5E" w14:paraId="3ED52D09" w14:textId="77777777" w:rsidTr="0011363A">
        <w:tc>
          <w:tcPr>
            <w:tcW w:w="4510" w:type="dxa"/>
            <w:tcBorders>
              <w:top w:val="single" w:sz="4" w:space="0" w:color="000000"/>
              <w:left w:val="single" w:sz="4" w:space="0" w:color="000000"/>
              <w:bottom w:val="single" w:sz="4" w:space="0" w:color="000000"/>
            </w:tcBorders>
            <w:shd w:val="clear" w:color="auto" w:fill="auto"/>
          </w:tcPr>
          <w:p w14:paraId="3F69F87E" w14:textId="77777777" w:rsidR="000F77EA" w:rsidRPr="00FF1F5E" w:rsidRDefault="000F77EA" w:rsidP="000F77EA">
            <w:pPr>
              <w:adjustRightInd w:val="0"/>
              <w:snapToGrid w:val="0"/>
              <w:rPr>
                <w:noProof w:val="0"/>
              </w:rPr>
            </w:pPr>
            <w:r w:rsidRPr="00FF1F5E">
              <w:rPr>
                <w:b/>
                <w:noProof w:val="0"/>
              </w:rPr>
              <w:t>Contrasted elements</w:t>
            </w:r>
          </w:p>
          <w:p w14:paraId="5F6EE1C6" w14:textId="77777777" w:rsidR="000F77EA" w:rsidRPr="00FF1F5E" w:rsidRDefault="000F77EA" w:rsidP="000F77EA">
            <w:pPr>
              <w:adjustRightInd w:val="0"/>
              <w:snapToGrid w:val="0"/>
              <w:rPr>
                <w:b/>
                <w:noProof w:val="0"/>
              </w:rPr>
            </w:pPr>
          </w:p>
          <w:p w14:paraId="3BD84744" w14:textId="77777777" w:rsidR="000F77EA" w:rsidRPr="00FF1F5E" w:rsidRDefault="000F77EA" w:rsidP="000F77EA">
            <w:pPr>
              <w:adjustRightInd w:val="0"/>
              <w:snapToGrid w:val="0"/>
              <w:rPr>
                <w:noProof w:val="0"/>
              </w:rPr>
            </w:pPr>
            <w:r w:rsidRPr="00FF1F5E">
              <w:rPr>
                <w:noProof w:val="0"/>
              </w:rPr>
              <w:t>Improvement</w:t>
            </w:r>
          </w:p>
          <w:p w14:paraId="7332C97A" w14:textId="77777777" w:rsidR="000F77EA" w:rsidRPr="00FF1F5E" w:rsidRDefault="000F77EA" w:rsidP="000F77EA">
            <w:pPr>
              <w:adjustRightInd w:val="0"/>
              <w:snapToGrid w:val="0"/>
              <w:rPr>
                <w:noProof w:val="0"/>
              </w:rPr>
            </w:pPr>
            <w:r w:rsidRPr="00FF1F5E">
              <w:rPr>
                <w:noProof w:val="0"/>
              </w:rPr>
              <w:t>Aging</w:t>
            </w:r>
          </w:p>
          <w:p w14:paraId="7E683BFC" w14:textId="77777777" w:rsidR="000F77EA" w:rsidRPr="00FF1F5E" w:rsidRDefault="000F77EA" w:rsidP="000F77EA">
            <w:pPr>
              <w:adjustRightInd w:val="0"/>
              <w:snapToGrid w:val="0"/>
              <w:rPr>
                <w:noProof w:val="0"/>
              </w:rPr>
            </w:pPr>
            <w:r w:rsidRPr="00FF1F5E">
              <w:rPr>
                <w:noProof w:val="0"/>
              </w:rPr>
              <w:t>Strength</w:t>
            </w:r>
          </w:p>
          <w:p w14:paraId="7FD23DAF" w14:textId="77777777" w:rsidR="000F77EA" w:rsidRPr="00FF1F5E" w:rsidRDefault="000F77EA" w:rsidP="000F77EA">
            <w:pPr>
              <w:adjustRightInd w:val="0"/>
              <w:snapToGrid w:val="0"/>
              <w:rPr>
                <w:noProof w:val="0"/>
              </w:rPr>
            </w:pPr>
            <w:r w:rsidRPr="00FF1F5E">
              <w:rPr>
                <w:noProof w:val="0"/>
              </w:rPr>
              <w:t>Unhealthy</w:t>
            </w:r>
          </w:p>
          <w:p w14:paraId="3F956E9E" w14:textId="77777777" w:rsidR="000F77EA" w:rsidRPr="00FF1F5E" w:rsidRDefault="000F77EA" w:rsidP="000F77EA">
            <w:pPr>
              <w:adjustRightInd w:val="0"/>
              <w:snapToGrid w:val="0"/>
              <w:rPr>
                <w:noProof w:val="0"/>
              </w:rPr>
            </w:pPr>
            <w:r w:rsidRPr="00FF1F5E">
              <w:rPr>
                <w:noProof w:val="0"/>
              </w:rPr>
              <w:t>Lack of exercise</w:t>
            </w:r>
          </w:p>
          <w:p w14:paraId="62C1699B" w14:textId="77777777" w:rsidR="000F77EA" w:rsidRPr="00FF1F5E" w:rsidRDefault="000F77EA" w:rsidP="000F77EA">
            <w:pPr>
              <w:adjustRightInd w:val="0"/>
              <w:snapToGrid w:val="0"/>
              <w:rPr>
                <w:noProof w:val="0"/>
              </w:rPr>
            </w:pPr>
            <w:r w:rsidRPr="00FF1F5E">
              <w:rPr>
                <w:noProof w:val="0"/>
              </w:rPr>
              <w:t>Maintained</w:t>
            </w:r>
          </w:p>
          <w:p w14:paraId="30FD40B7" w14:textId="77777777" w:rsidR="000F77EA" w:rsidRPr="00FF1F5E" w:rsidRDefault="000F77EA" w:rsidP="000F77EA">
            <w:pPr>
              <w:adjustRightInd w:val="0"/>
              <w:snapToGrid w:val="0"/>
              <w:rPr>
                <w:noProof w:val="0"/>
              </w:rPr>
            </w:pPr>
            <w:r w:rsidRPr="00FF1F5E">
              <w:rPr>
                <w:noProof w:val="0"/>
              </w:rPr>
              <w:t>Mobility</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7EA88B69" w14:textId="77777777" w:rsidR="000F77EA" w:rsidRPr="00FF1F5E" w:rsidRDefault="000F77EA" w:rsidP="000F77EA">
            <w:pPr>
              <w:adjustRightInd w:val="0"/>
              <w:snapToGrid w:val="0"/>
              <w:rPr>
                <w:noProof w:val="0"/>
              </w:rPr>
            </w:pPr>
            <w:r w:rsidRPr="00FF1F5E">
              <w:rPr>
                <w:b/>
                <w:noProof w:val="0"/>
              </w:rPr>
              <w:t>Second periphery</w:t>
            </w:r>
          </w:p>
          <w:p w14:paraId="22F940AB" w14:textId="77777777" w:rsidR="000F77EA" w:rsidRPr="00FF1F5E" w:rsidRDefault="000F77EA" w:rsidP="000F77EA">
            <w:pPr>
              <w:adjustRightInd w:val="0"/>
              <w:snapToGrid w:val="0"/>
              <w:rPr>
                <w:b/>
                <w:noProof w:val="0"/>
              </w:rPr>
            </w:pPr>
          </w:p>
          <w:p w14:paraId="4F32ADF9" w14:textId="77777777" w:rsidR="000F77EA" w:rsidRPr="00FF1F5E" w:rsidRDefault="000F77EA" w:rsidP="000F77EA">
            <w:pPr>
              <w:adjustRightInd w:val="0"/>
              <w:snapToGrid w:val="0"/>
              <w:rPr>
                <w:noProof w:val="0"/>
              </w:rPr>
            </w:pPr>
            <w:r w:rsidRPr="00FF1F5E">
              <w:rPr>
                <w:noProof w:val="0"/>
              </w:rPr>
              <w:t>Optimistic</w:t>
            </w:r>
          </w:p>
          <w:p w14:paraId="6648F8BB" w14:textId="77777777" w:rsidR="000F77EA" w:rsidRPr="00FF1F5E" w:rsidRDefault="000F77EA" w:rsidP="000F77EA">
            <w:pPr>
              <w:adjustRightInd w:val="0"/>
              <w:snapToGrid w:val="0"/>
              <w:rPr>
                <w:noProof w:val="0"/>
              </w:rPr>
            </w:pPr>
            <w:r w:rsidRPr="00FF1F5E">
              <w:rPr>
                <w:noProof w:val="0"/>
              </w:rPr>
              <w:t>Nourishment</w:t>
            </w:r>
          </w:p>
          <w:p w14:paraId="187AFE85" w14:textId="77777777" w:rsidR="000F77EA" w:rsidRPr="00FF1F5E" w:rsidRDefault="000F77EA" w:rsidP="000F77EA">
            <w:pPr>
              <w:adjustRightInd w:val="0"/>
              <w:snapToGrid w:val="0"/>
              <w:rPr>
                <w:noProof w:val="0"/>
              </w:rPr>
            </w:pPr>
            <w:r w:rsidRPr="00FF1F5E">
              <w:rPr>
                <w:noProof w:val="0"/>
              </w:rPr>
              <w:t>Uncontrollable</w:t>
            </w:r>
          </w:p>
          <w:p w14:paraId="4182ECF6" w14:textId="77777777" w:rsidR="000F77EA" w:rsidRPr="00FF1F5E" w:rsidRDefault="000F77EA" w:rsidP="000F77EA">
            <w:pPr>
              <w:adjustRightInd w:val="0"/>
              <w:snapToGrid w:val="0"/>
              <w:rPr>
                <w:noProof w:val="0"/>
              </w:rPr>
            </w:pPr>
            <w:r w:rsidRPr="00FF1F5E">
              <w:rPr>
                <w:noProof w:val="0"/>
              </w:rPr>
              <w:t>Discontent</w:t>
            </w:r>
          </w:p>
          <w:p w14:paraId="56C97F7E" w14:textId="77777777" w:rsidR="000F77EA" w:rsidRPr="00FF1F5E" w:rsidRDefault="000F77EA" w:rsidP="000F77EA">
            <w:pPr>
              <w:adjustRightInd w:val="0"/>
              <w:snapToGrid w:val="0"/>
              <w:rPr>
                <w:noProof w:val="0"/>
              </w:rPr>
            </w:pPr>
            <w:r w:rsidRPr="00FF1F5E">
              <w:rPr>
                <w:noProof w:val="0"/>
              </w:rPr>
              <w:t>Treatments</w:t>
            </w:r>
          </w:p>
          <w:p w14:paraId="0B2CF4B8" w14:textId="77777777" w:rsidR="000F77EA" w:rsidRPr="00FF1F5E" w:rsidRDefault="000F77EA" w:rsidP="000F77EA">
            <w:pPr>
              <w:adjustRightInd w:val="0"/>
              <w:snapToGrid w:val="0"/>
              <w:rPr>
                <w:noProof w:val="0"/>
              </w:rPr>
            </w:pPr>
            <w:r w:rsidRPr="00FF1F5E">
              <w:rPr>
                <w:noProof w:val="0"/>
              </w:rPr>
              <w:t>Hearing health</w:t>
            </w:r>
          </w:p>
          <w:p w14:paraId="56B4F88E" w14:textId="77777777" w:rsidR="000F77EA" w:rsidRPr="00FF1F5E" w:rsidRDefault="000F77EA" w:rsidP="000F77EA">
            <w:pPr>
              <w:adjustRightInd w:val="0"/>
              <w:snapToGrid w:val="0"/>
              <w:rPr>
                <w:noProof w:val="0"/>
              </w:rPr>
            </w:pPr>
            <w:r w:rsidRPr="00FF1F5E">
              <w:rPr>
                <w:noProof w:val="0"/>
              </w:rPr>
              <w:t>Mental wellness</w:t>
            </w:r>
          </w:p>
          <w:p w14:paraId="77B044E3" w14:textId="77777777" w:rsidR="000F77EA" w:rsidRPr="00FF1F5E" w:rsidRDefault="000F77EA" w:rsidP="000F77EA">
            <w:pPr>
              <w:adjustRightInd w:val="0"/>
              <w:snapToGrid w:val="0"/>
              <w:rPr>
                <w:noProof w:val="0"/>
              </w:rPr>
            </w:pPr>
            <w:r w:rsidRPr="00FF1F5E">
              <w:rPr>
                <w:noProof w:val="0"/>
              </w:rPr>
              <w:t>Relationships</w:t>
            </w:r>
          </w:p>
          <w:p w14:paraId="404FA87C" w14:textId="77777777" w:rsidR="000F77EA" w:rsidRPr="00FF1F5E" w:rsidRDefault="000F77EA" w:rsidP="000F77EA">
            <w:pPr>
              <w:adjustRightInd w:val="0"/>
              <w:snapToGrid w:val="0"/>
              <w:rPr>
                <w:noProof w:val="0"/>
              </w:rPr>
            </w:pPr>
            <w:r w:rsidRPr="00FF1F5E">
              <w:rPr>
                <w:noProof w:val="0"/>
              </w:rPr>
              <w:t>Depression</w:t>
            </w:r>
          </w:p>
          <w:p w14:paraId="4AFF65CD" w14:textId="77777777" w:rsidR="000F77EA" w:rsidRPr="00FF1F5E" w:rsidRDefault="000F77EA" w:rsidP="000F77EA">
            <w:pPr>
              <w:adjustRightInd w:val="0"/>
              <w:snapToGrid w:val="0"/>
              <w:rPr>
                <w:noProof w:val="0"/>
              </w:rPr>
            </w:pPr>
            <w:r w:rsidRPr="00FF1F5E">
              <w:rPr>
                <w:noProof w:val="0"/>
              </w:rPr>
              <w:t>Pessimistic</w:t>
            </w:r>
          </w:p>
          <w:p w14:paraId="42F151A0" w14:textId="77777777" w:rsidR="000F77EA" w:rsidRPr="00FF1F5E" w:rsidRDefault="000F77EA" w:rsidP="000F77EA">
            <w:pPr>
              <w:adjustRightInd w:val="0"/>
              <w:snapToGrid w:val="0"/>
              <w:rPr>
                <w:noProof w:val="0"/>
              </w:rPr>
            </w:pPr>
            <w:r w:rsidRPr="00FF1F5E">
              <w:rPr>
                <w:noProof w:val="0"/>
              </w:rPr>
              <w:t>Youthful</w:t>
            </w:r>
          </w:p>
        </w:tc>
      </w:tr>
    </w:tbl>
    <w:p w14:paraId="132D77CE" w14:textId="77777777" w:rsidR="000F77EA" w:rsidRPr="00FF1F5E" w:rsidRDefault="000F77EA" w:rsidP="000F77EA">
      <w:pPr>
        <w:adjustRightInd w:val="0"/>
        <w:snapToGrid w:val="0"/>
        <w:rPr>
          <w:bCs/>
          <w:noProof w:val="0"/>
        </w:rPr>
      </w:pPr>
    </w:p>
    <w:p w14:paraId="5259E2E4" w14:textId="77777777" w:rsidR="000F77EA" w:rsidRPr="00FF1F5E" w:rsidRDefault="000A48BB" w:rsidP="000A48BB">
      <w:pPr>
        <w:pStyle w:val="MDPI21heading1"/>
      </w:pPr>
      <w:r w:rsidRPr="00FF1F5E">
        <w:t xml:space="preserve">5. </w:t>
      </w:r>
      <w:r w:rsidR="000F77EA" w:rsidRPr="00FF1F5E">
        <w:t>Discussion</w:t>
      </w:r>
    </w:p>
    <w:p w14:paraId="5D62227D" w14:textId="3F5B3322" w:rsidR="000F77EA" w:rsidRPr="00FF1F5E" w:rsidRDefault="000F77EA" w:rsidP="000A48BB">
      <w:pPr>
        <w:pStyle w:val="MDPI31text"/>
      </w:pPr>
      <w:r w:rsidRPr="00FF1F5E">
        <w:t xml:space="preserve">The current study examined the representations of </w:t>
      </w:r>
      <w:r w:rsidR="00FF1F5E">
        <w:t>‘</w:t>
      </w:r>
      <w:r w:rsidRPr="00FF1F5E">
        <w:t>tinnitus</w:t>
      </w:r>
      <w:r w:rsidR="00FF1F5E">
        <w:t>’</w:t>
      </w:r>
      <w:r w:rsidRPr="00FF1F5E">
        <w:t xml:space="preserve"> and ‘health’ among individuals with tinnitus using a new theoretical perspective. The responses were analyzed using a range of qualitative and quantitative analyses methods to get a multidimensional understanding of the data. The following sections highlight some key findings and how these are related to existing literature. </w:t>
      </w:r>
    </w:p>
    <w:p w14:paraId="18D1F133" w14:textId="391B00DF" w:rsidR="000F77EA" w:rsidRPr="00FF1F5E" w:rsidRDefault="000F77EA" w:rsidP="00A6499E">
      <w:pPr>
        <w:pStyle w:val="MDPI31text"/>
      </w:pPr>
      <w:r w:rsidRPr="00FF1F5E">
        <w:t xml:space="preserve">When examining the words or expressions provided by participants about their </w:t>
      </w:r>
      <w:r w:rsidR="00FF1F5E">
        <w:t>‘</w:t>
      </w:r>
      <w:r w:rsidRPr="00FF1F5E">
        <w:t>tinnitus</w:t>
      </w:r>
      <w:r w:rsidR="00FF1F5E">
        <w:t>’</w:t>
      </w:r>
      <w:r w:rsidRPr="00FF1F5E">
        <w:t xml:space="preserve">, a </w:t>
      </w:r>
      <w:proofErr w:type="gramStart"/>
      <w:r w:rsidRPr="00FF1F5E">
        <w:t>large proportions of these responses (13.5%)</w:t>
      </w:r>
      <w:proofErr w:type="gramEnd"/>
      <w:r w:rsidRPr="00FF1F5E">
        <w:t xml:space="preserve"> focused on descriptions of tinnitus (e.g., a high-pitched or ringing sound). Moreover, individuals also presented responses about tinnitus being persistent (8%), distracting (5%), and distressing (4%). These results are not surprising as constant awareness of sound as well as its impact (</w:t>
      </w:r>
      <w:proofErr w:type="spellStart"/>
      <w:r w:rsidRPr="00FF1F5E">
        <w:rPr>
          <w:color w:val="212121"/>
          <w:shd w:val="clear" w:color="auto" w:fill="FFFFFF"/>
        </w:rPr>
        <w:t>Colagrosso</w:t>
      </w:r>
      <w:proofErr w:type="spellEnd"/>
      <w:r w:rsidRPr="00FF1F5E">
        <w:rPr>
          <w:color w:val="212121"/>
          <w:shd w:val="clear" w:color="auto" w:fill="FFFFFF"/>
        </w:rPr>
        <w:t xml:space="preserve"> et al., 2019; Watts et al., 2018). The common categories about </w:t>
      </w:r>
      <w:r w:rsidR="00FF1F5E">
        <w:rPr>
          <w:color w:val="212121"/>
          <w:shd w:val="clear" w:color="auto" w:fill="FFFFFF"/>
        </w:rPr>
        <w:t>‘</w:t>
      </w:r>
      <w:r w:rsidRPr="00FF1F5E">
        <w:rPr>
          <w:color w:val="212121"/>
          <w:shd w:val="clear" w:color="auto" w:fill="FFFFFF"/>
        </w:rPr>
        <w:t>health</w:t>
      </w:r>
      <w:r w:rsidR="00FF1F5E">
        <w:rPr>
          <w:color w:val="212121"/>
          <w:shd w:val="clear" w:color="auto" w:fill="FFFFFF"/>
        </w:rPr>
        <w:t>’</w:t>
      </w:r>
      <w:r w:rsidRPr="00FF1F5E">
        <w:rPr>
          <w:color w:val="212121"/>
          <w:shd w:val="clear" w:color="auto" w:fill="FFFFFF"/>
        </w:rPr>
        <w:t xml:space="preserve"> responses included </w:t>
      </w:r>
      <w:r w:rsidRPr="00FF1F5E">
        <w:t xml:space="preserve">content (12%), conditions (8%), being active (7%), take control (6%), overweight (5%), and distressing (4%) which is suggesting that individuals in the current study sample have more positive outlook about their general health. Moreover, when examining the connotations associated with the responses, the positive and negative views towards their </w:t>
      </w:r>
      <w:r w:rsidR="00FF1F5E">
        <w:t>‘</w:t>
      </w:r>
      <w:r w:rsidRPr="00FF1F5E">
        <w:t>tinnitus</w:t>
      </w:r>
      <w:r w:rsidR="00FF1F5E">
        <w:t>’</w:t>
      </w:r>
      <w:r w:rsidRPr="00FF1F5E">
        <w:t xml:space="preserve"> and </w:t>
      </w:r>
      <w:r w:rsidR="00FF1F5E">
        <w:t>‘</w:t>
      </w:r>
      <w:r w:rsidRPr="00FF1F5E">
        <w:t>health</w:t>
      </w:r>
      <w:r w:rsidR="00FF1F5E">
        <w:t>’</w:t>
      </w:r>
      <w:r w:rsidRPr="00FF1F5E">
        <w:t xml:space="preserve"> was more evident. For instance, tinnitus was associated with negative connotations whereas </w:t>
      </w:r>
      <w:r w:rsidR="00FF1F5E">
        <w:t>‘</w:t>
      </w:r>
      <w:r w:rsidRPr="00FF1F5E">
        <w:t>health</w:t>
      </w:r>
      <w:r w:rsidR="00FF1F5E">
        <w:t>’</w:t>
      </w:r>
      <w:r w:rsidRPr="00FF1F5E">
        <w:t xml:space="preserve"> was associated with mixture of positive and negative associations</w:t>
      </w:r>
      <w:r w:rsidR="00A6499E" w:rsidRPr="00FF1F5E">
        <w:t xml:space="preserve">. These results suggest that there was not much commonality on how individuals with tinnitus think about their tinnitus and their general health. </w:t>
      </w:r>
      <w:r w:rsidRPr="00FF1F5E">
        <w:t>Studies on clinical populations as well as examination of social media data on tinnitus has highlighted the negative association with tinnitus (</w:t>
      </w:r>
      <w:proofErr w:type="spellStart"/>
      <w:r w:rsidRPr="00FF1F5E">
        <w:t>Handscomb</w:t>
      </w:r>
      <w:proofErr w:type="spellEnd"/>
      <w:r w:rsidRPr="00FF1F5E">
        <w:t xml:space="preserve"> et al., 2017; </w:t>
      </w:r>
      <w:r w:rsidRPr="00FF1F5E">
        <w:rPr>
          <w:color w:val="212121"/>
          <w:shd w:val="clear" w:color="auto" w:fill="FFFFFF"/>
        </w:rPr>
        <w:t>Kimball et al., 2019). However, interestingly a small percentage of responses about tinnitus were positive which were related to accepting the condition, thinking that this is natural process, and being hopeful.</w:t>
      </w:r>
      <w:r w:rsidR="008C2631" w:rsidRPr="00FF1F5E">
        <w:rPr>
          <w:color w:val="212121"/>
          <w:shd w:val="clear" w:color="auto" w:fill="FFFFFF"/>
        </w:rPr>
        <w:t xml:space="preserve"> A few recent studies have reported individuals with tinnitus reporting positive </w:t>
      </w:r>
      <w:r w:rsidR="008C2631" w:rsidRPr="00FF1F5E">
        <w:rPr>
          <w:color w:val="212121"/>
          <w:szCs w:val="20"/>
          <w:shd w:val="clear" w:color="auto" w:fill="FFFFFF"/>
        </w:rPr>
        <w:t xml:space="preserve">experiences </w:t>
      </w:r>
      <w:proofErr w:type="gramStart"/>
      <w:r w:rsidR="008C2631" w:rsidRPr="00FF1F5E">
        <w:rPr>
          <w:color w:val="212121"/>
          <w:szCs w:val="20"/>
          <w:shd w:val="clear" w:color="auto" w:fill="FFFFFF"/>
        </w:rPr>
        <w:t>as a result of</w:t>
      </w:r>
      <w:proofErr w:type="gramEnd"/>
      <w:r w:rsidR="008C2631" w:rsidRPr="00FF1F5E">
        <w:rPr>
          <w:color w:val="212121"/>
          <w:szCs w:val="20"/>
          <w:shd w:val="clear" w:color="auto" w:fill="FFFFFF"/>
        </w:rPr>
        <w:t xml:space="preserve"> their condition (</w:t>
      </w:r>
      <w:r w:rsidR="00CA0DCD" w:rsidRPr="00FF1F5E">
        <w:rPr>
          <w:color w:val="212121"/>
          <w:szCs w:val="20"/>
          <w:shd w:val="clear" w:color="auto" w:fill="FFFFFF"/>
        </w:rPr>
        <w:t xml:space="preserve">Beukes et al., 2020; </w:t>
      </w:r>
      <w:r w:rsidR="00CA0DCD" w:rsidRPr="00FF1F5E">
        <w:rPr>
          <w:szCs w:val="20"/>
        </w:rPr>
        <w:t xml:space="preserve">Loughlin et al., </w:t>
      </w:r>
      <w:r w:rsidR="00647511" w:rsidRPr="00FF1F5E">
        <w:rPr>
          <w:szCs w:val="20"/>
        </w:rPr>
        <w:t>2023</w:t>
      </w:r>
      <w:r w:rsidR="008C2631" w:rsidRPr="00FF1F5E">
        <w:rPr>
          <w:color w:val="212121"/>
          <w:szCs w:val="20"/>
          <w:shd w:val="clear" w:color="auto" w:fill="FFFFFF"/>
        </w:rPr>
        <w:t xml:space="preserve">). This may demonstrate their </w:t>
      </w:r>
      <w:r w:rsidR="008C2631" w:rsidRPr="00FF1F5E">
        <w:rPr>
          <w:color w:val="212121"/>
          <w:szCs w:val="20"/>
          <w:shd w:val="clear" w:color="auto" w:fill="FFFFFF"/>
        </w:rPr>
        <w:lastRenderedPageBreak/>
        <w:t>temperament and acceptance of the condition. Taken together,</w:t>
      </w:r>
      <w:r w:rsidRPr="00FF1F5E">
        <w:rPr>
          <w:color w:val="212121"/>
          <w:szCs w:val="20"/>
          <w:shd w:val="clear" w:color="auto" w:fill="FFFFFF"/>
        </w:rPr>
        <w:t xml:space="preserve"> </w:t>
      </w:r>
      <w:r w:rsidR="008C2631" w:rsidRPr="00FF1F5E">
        <w:rPr>
          <w:color w:val="212121"/>
          <w:szCs w:val="20"/>
          <w:shd w:val="clear" w:color="auto" w:fill="FFFFFF"/>
        </w:rPr>
        <w:t>t</w:t>
      </w:r>
      <w:r w:rsidRPr="00FF1F5E">
        <w:rPr>
          <w:color w:val="212121"/>
          <w:szCs w:val="20"/>
          <w:shd w:val="clear" w:color="auto" w:fill="FFFFFF"/>
        </w:rPr>
        <w:t>hese</w:t>
      </w:r>
      <w:r w:rsidRPr="00FF1F5E">
        <w:rPr>
          <w:color w:val="212121"/>
          <w:shd w:val="clear" w:color="auto" w:fill="FFFFFF"/>
        </w:rPr>
        <w:t xml:space="preserve"> </w:t>
      </w:r>
      <w:r w:rsidR="008C2631" w:rsidRPr="00FF1F5E">
        <w:rPr>
          <w:color w:val="212121"/>
          <w:shd w:val="clear" w:color="auto" w:fill="FFFFFF"/>
        </w:rPr>
        <w:t xml:space="preserve">findings </w:t>
      </w:r>
      <w:r w:rsidRPr="00FF1F5E">
        <w:rPr>
          <w:color w:val="212121"/>
          <w:shd w:val="clear" w:color="auto" w:fill="FFFFFF"/>
        </w:rPr>
        <w:t xml:space="preserve">have important therapeutic implications as reducing negative associations and strengthening positive associations should be the goal of </w:t>
      </w:r>
      <w:r w:rsidR="00227DE8" w:rsidRPr="00FF1F5E">
        <w:rPr>
          <w:color w:val="212121"/>
          <w:shd w:val="clear" w:color="auto" w:fill="FFFFFF"/>
        </w:rPr>
        <w:t>psychological management of tinnitus</w:t>
      </w:r>
      <w:r w:rsidRPr="00FF1F5E">
        <w:rPr>
          <w:color w:val="212121"/>
          <w:shd w:val="clear" w:color="auto" w:fill="FFFFFF"/>
        </w:rPr>
        <w:t xml:space="preserve">. </w:t>
      </w:r>
    </w:p>
    <w:p w14:paraId="491EF88F" w14:textId="77777777" w:rsidR="000F77EA" w:rsidRPr="00FF1F5E" w:rsidRDefault="000F77EA" w:rsidP="000A48BB">
      <w:pPr>
        <w:pStyle w:val="MDPI31text"/>
        <w:rPr>
          <w:shd w:val="clear" w:color="auto" w:fill="FFFFFF"/>
        </w:rPr>
      </w:pPr>
    </w:p>
    <w:p w14:paraId="44326748" w14:textId="2C95E8A3" w:rsidR="000F77EA" w:rsidRPr="00FF1F5E" w:rsidRDefault="000F77EA" w:rsidP="000A48BB">
      <w:pPr>
        <w:pStyle w:val="MDPI31text"/>
      </w:pPr>
      <w:r w:rsidRPr="00FF1F5E">
        <w:rPr>
          <w:shd w:val="clear" w:color="auto" w:fill="FFFFFF"/>
        </w:rPr>
        <w:t xml:space="preserve">The similarities analysis provided some useful insights into what categories are related. Interesting to note that categories that were positive and/or negative were grouped together. In other words, when respondents provide some positive (or negative) responses, they are likely to be providing similar responses. The category </w:t>
      </w:r>
      <w:r w:rsidRPr="00FF1F5E">
        <w:rPr>
          <w:i/>
          <w:iCs/>
          <w:highlight w:val="yellow"/>
          <w:shd w:val="clear" w:color="auto" w:fill="FFFFFF"/>
        </w:rPr>
        <w:t>annoying</w:t>
      </w:r>
      <w:r w:rsidRPr="00FF1F5E">
        <w:rPr>
          <w:shd w:val="clear" w:color="auto" w:fill="FFFFFF"/>
        </w:rPr>
        <w:t xml:space="preserve"> was reported by respondents who also reported other negatively associated categories such as frustrating, </w:t>
      </w:r>
      <w:proofErr w:type="gramStart"/>
      <w:r w:rsidRPr="00FF1F5E">
        <w:rPr>
          <w:shd w:val="clear" w:color="auto" w:fill="FFFFFF"/>
        </w:rPr>
        <w:t>persistent</w:t>
      </w:r>
      <w:proofErr w:type="gramEnd"/>
      <w:r w:rsidRPr="00FF1F5E">
        <w:rPr>
          <w:shd w:val="clear" w:color="auto" w:fill="FFFFFF"/>
        </w:rPr>
        <w:t xml:space="preserve"> and distressing indicating that tinnitus can lead to negative emotions (add some supporting literature). </w:t>
      </w:r>
      <w:r w:rsidR="008C2631" w:rsidRPr="00FF1F5E">
        <w:rPr>
          <w:shd w:val="clear" w:color="auto" w:fill="FFFFFF"/>
        </w:rPr>
        <w:t xml:space="preserve">In the current study, a </w:t>
      </w:r>
      <w:r w:rsidRPr="00FF1F5E">
        <w:rPr>
          <w:shd w:val="clear" w:color="auto" w:fill="FFFFFF"/>
        </w:rPr>
        <w:t xml:space="preserve">small subgroup of respondents who reported category annoying also reported accepting highlighting that respondents may be positive if they accept tinnitus (literature). Moreover, prototypical association identified an important finding suggesting that although individuals with tinnitus have very negative elements in their central zone (e.g., horrible, bothersome), they have surprisingly positive elements about </w:t>
      </w:r>
      <w:r w:rsidR="00FF1F5E">
        <w:rPr>
          <w:shd w:val="clear" w:color="auto" w:fill="FFFFFF"/>
        </w:rPr>
        <w:t>‘</w:t>
      </w:r>
      <w:r w:rsidRPr="00FF1F5E">
        <w:rPr>
          <w:shd w:val="clear" w:color="auto" w:fill="FFFFFF"/>
        </w:rPr>
        <w:t>health</w:t>
      </w:r>
      <w:r w:rsidR="00FF1F5E">
        <w:rPr>
          <w:shd w:val="clear" w:color="auto" w:fill="FFFFFF"/>
        </w:rPr>
        <w:t>’</w:t>
      </w:r>
      <w:r w:rsidRPr="00FF1F5E">
        <w:rPr>
          <w:shd w:val="clear" w:color="auto" w:fill="FFFFFF"/>
        </w:rPr>
        <w:t xml:space="preserve"> in the central zone (e.g., </w:t>
      </w:r>
      <w:r w:rsidRPr="00FF1F5E">
        <w:rPr>
          <w:bCs/>
        </w:rPr>
        <w:t>content, active, healthy, grateful</w:t>
      </w:r>
      <w:r w:rsidRPr="00FF1F5E">
        <w:rPr>
          <w:shd w:val="clear" w:color="auto" w:fill="FFFFFF"/>
        </w:rPr>
        <w:t>). In other words, individuals with tinnitus do</w:t>
      </w:r>
      <w:r w:rsidR="00F77C6A" w:rsidRPr="00FF1F5E">
        <w:rPr>
          <w:shd w:val="clear" w:color="auto" w:fill="FFFFFF"/>
        </w:rPr>
        <w:t xml:space="preserve"> no</w:t>
      </w:r>
      <w:r w:rsidRPr="00FF1F5E">
        <w:rPr>
          <w:shd w:val="clear" w:color="auto" w:fill="FFFFFF"/>
        </w:rPr>
        <w:t xml:space="preserve">t have much commonality regarding how they think about their health and about their tinnitus. There is growing interest in examining the relationship between general health and tinnitus (Stegeman et al., 2021), hence this area needs to be further explored in future studies. </w:t>
      </w:r>
    </w:p>
    <w:p w14:paraId="5CB10D1F" w14:textId="32083FBD" w:rsidR="000F77EA" w:rsidRPr="00FF1F5E" w:rsidRDefault="000A48BB" w:rsidP="000A48BB">
      <w:pPr>
        <w:pStyle w:val="MDPI22heading2"/>
        <w:spacing w:before="240"/>
      </w:pPr>
      <w:r w:rsidRPr="00FF1F5E">
        <w:t xml:space="preserve">5.1. </w:t>
      </w:r>
      <w:r w:rsidR="00952B64" w:rsidRPr="00FF1F5E">
        <w:t>Theoritical and P</w:t>
      </w:r>
      <w:r w:rsidR="000F77EA" w:rsidRPr="00FF1F5E">
        <w:t>ractice Implications</w:t>
      </w:r>
    </w:p>
    <w:p w14:paraId="0F51418C" w14:textId="374A1110" w:rsidR="000F77EA" w:rsidRPr="00FF1F5E" w:rsidRDefault="000F77EA" w:rsidP="000A48BB">
      <w:pPr>
        <w:pStyle w:val="MDPI31text"/>
      </w:pPr>
      <w:r w:rsidRPr="00FF1F5E">
        <w:t>As highlighted earlier, a biopsychosocial perspective is needed to get a multidimensional perspective of tinnitus (</w:t>
      </w:r>
      <w:proofErr w:type="spellStart"/>
      <w:r w:rsidRPr="00FF1F5E">
        <w:t>Baugley</w:t>
      </w:r>
      <w:proofErr w:type="spellEnd"/>
      <w:r w:rsidRPr="00FF1F5E">
        <w:t xml:space="preserve"> et al., 2013b; Manchaiah et al., 2018a) as it is a highly heterogeneous condition (Beukes et al., 2021a, 2021b). SRT provides a new theoretical framework to understand tinnitus. </w:t>
      </w:r>
      <w:r w:rsidR="007C4375" w:rsidRPr="00FF1F5E">
        <w:t>U</w:t>
      </w:r>
      <w:r w:rsidRPr="00FF1F5E">
        <w:t xml:space="preserve">sing free association task </w:t>
      </w:r>
      <w:r w:rsidRPr="00FF1F5E">
        <w:rPr>
          <w:highlight w:val="yellow"/>
        </w:rPr>
        <w:t>ha</w:t>
      </w:r>
      <w:r w:rsidR="00FF1F5E" w:rsidRPr="00FF1F5E">
        <w:rPr>
          <w:highlight w:val="yellow"/>
        </w:rPr>
        <w:t>s</w:t>
      </w:r>
      <w:r w:rsidRPr="00FF1F5E">
        <w:t xml:space="preserve"> several advantages as it is more neutral </w:t>
      </w:r>
      <w:proofErr w:type="gramStart"/>
      <w:r w:rsidRPr="00FF1F5E">
        <w:t>and also</w:t>
      </w:r>
      <w:proofErr w:type="gramEnd"/>
      <w:r w:rsidRPr="00FF1F5E">
        <w:t xml:space="preserve"> open-ended which elicits responses from participants that truly matter to them. Moreover, as the social representations are influenced by elements such as cultural, economic, political, and religious beliefs (Moscovici, 1988), these representations provide insights that are beyond the understanding of tinnitus as a body function as it is often addressed clinically. </w:t>
      </w:r>
      <w:r w:rsidR="00256AAF" w:rsidRPr="00FF1F5E">
        <w:t>The study results also have practice implications</w:t>
      </w:r>
      <w:r w:rsidR="001703C5" w:rsidRPr="00FF1F5E">
        <w:t xml:space="preserve"> in terms of public health</w:t>
      </w:r>
      <w:r w:rsidR="00256AAF" w:rsidRPr="00FF1F5E">
        <w:t xml:space="preserve">. </w:t>
      </w:r>
      <w:r w:rsidR="00905406" w:rsidRPr="00FF1F5E">
        <w:t>Proponents of</w:t>
      </w:r>
      <w:r w:rsidR="001703C5" w:rsidRPr="00FF1F5E">
        <w:t xml:space="preserve"> SRT</w:t>
      </w:r>
      <w:r w:rsidR="00905406" w:rsidRPr="00FF1F5E">
        <w:t xml:space="preserve"> suggest that media has a big role to play in the way social representations are create and changed</w:t>
      </w:r>
      <w:r w:rsidR="001703C5" w:rsidRPr="00FF1F5E">
        <w:t xml:space="preserve"> (Manchaiah et al., 2019)</w:t>
      </w:r>
      <w:r w:rsidR="00256AAF" w:rsidRPr="00FF1F5E">
        <w:t>.</w:t>
      </w:r>
      <w:r w:rsidR="00905406" w:rsidRPr="00FF1F5E">
        <w:t xml:space="preserve"> Hence, developing public health campaigns through media especially through digital and social media may help create more positive views and association about tinnitus. This can be seen as a first step in addressing the impact of tinnitus in a population level. </w:t>
      </w:r>
      <w:r w:rsidR="00256AAF" w:rsidRPr="00FF1F5E">
        <w:t xml:space="preserve"> </w:t>
      </w:r>
      <w:r w:rsidR="00860313" w:rsidRPr="00FF1F5E">
        <w:t xml:space="preserve"> </w:t>
      </w:r>
    </w:p>
    <w:p w14:paraId="3B4C3ED3" w14:textId="77777777" w:rsidR="000F77EA" w:rsidRPr="00FF1F5E" w:rsidRDefault="000A48BB" w:rsidP="000A48BB">
      <w:pPr>
        <w:pStyle w:val="MDPI22heading2"/>
        <w:spacing w:before="240"/>
      </w:pPr>
      <w:r w:rsidRPr="00FF1F5E">
        <w:t xml:space="preserve">5.2. </w:t>
      </w:r>
      <w:r w:rsidR="000F77EA" w:rsidRPr="00FF1F5E">
        <w:t xml:space="preserve">Study Limitations and Future Directions </w:t>
      </w:r>
    </w:p>
    <w:p w14:paraId="7712E982" w14:textId="007CAC35" w:rsidR="000F77EA" w:rsidRPr="00FF1F5E" w:rsidRDefault="000F77EA" w:rsidP="002E3594">
      <w:pPr>
        <w:pStyle w:val="MDPI31text"/>
      </w:pPr>
      <w:r w:rsidRPr="00FF1F5E">
        <w:t xml:space="preserve">The current study is to our knowledge the first to examine the social representations of tinnitus. There are limitations that need to be </w:t>
      </w:r>
      <w:proofErr w:type="gramStart"/>
      <w:r w:rsidRPr="00FF1F5E">
        <w:t>taken into account</w:t>
      </w:r>
      <w:proofErr w:type="gramEnd"/>
      <w:r w:rsidRPr="00FF1F5E">
        <w:t xml:space="preserve">. The study sample included only those with bothersome tinnitus who were seeking psychological interventions. Moreover, as the participants self-selected to participate in the study, sampling bias may exist. </w:t>
      </w:r>
      <w:r w:rsidR="002E3594" w:rsidRPr="00FF1F5E">
        <w:t xml:space="preserve">Characteristics of study sample suggest that the study included a heterogeneous sample. However, majority of the participants (&gt;80%) had consulted hearing healthcare professionals before enrolling in the study which may suggest that this sample is close to the clinical tinnitus population. </w:t>
      </w:r>
      <w:r w:rsidRPr="00FF1F5E">
        <w:t xml:space="preserve">Nevertheless, the study results should be considered exploratory and should not be generalized to all individuals with tinnitus. There is a tremendous scope for further research in this area. More specifically, we propose three specific questions for future research. Firstly, the current study examined the social representations collectively for all participants. However, future studies may examine the sub-group of participants within this based their responses using cluster analysis (e.g., </w:t>
      </w:r>
      <w:proofErr w:type="spellStart"/>
      <w:r w:rsidRPr="00FF1F5E">
        <w:t>Germundsson</w:t>
      </w:r>
      <w:proofErr w:type="spellEnd"/>
      <w:r w:rsidRPr="00FF1F5E">
        <w:t xml:space="preserve"> et al., 2018; Manchaiah et al., 2018b). Secondly, while it is hard to change the social representations, it is suggested that a strong intervention can influence the social </w:t>
      </w:r>
      <w:r w:rsidRPr="00FF1F5E">
        <w:lastRenderedPageBreak/>
        <w:t xml:space="preserve">representations. Future studies should examine whether psychological interventions such as Cognitive Behavioral Therapy (CBT) for tinnitus have any bearing towards changing the social representations especially in strengthening positive associations and reducing negative associations. In addition, social representations of different sub-groups of tinnitus as well as how social support (e.g., support from friends/family, peer-support groups) may influence the social representations would be interesting to be considered in future studies. </w:t>
      </w:r>
    </w:p>
    <w:p w14:paraId="2B951DA8" w14:textId="77777777" w:rsidR="000F77EA" w:rsidRPr="00FF1F5E" w:rsidRDefault="000A48BB" w:rsidP="000A48BB">
      <w:pPr>
        <w:pStyle w:val="MDPI62BackMatter"/>
        <w:spacing w:before="240"/>
        <w:rPr>
          <w:rFonts w:eastAsia="Calibri"/>
        </w:rPr>
      </w:pPr>
      <w:r w:rsidRPr="00FF1F5E">
        <w:rPr>
          <w:rFonts w:eastAsia="Calibri"/>
          <w:b/>
          <w:bCs/>
        </w:rPr>
        <w:t>Author Contribution</w:t>
      </w:r>
      <w:r w:rsidR="000F77EA" w:rsidRPr="00FF1F5E">
        <w:rPr>
          <w:rFonts w:eastAsia="Calibri"/>
          <w:b/>
          <w:bCs/>
        </w:rPr>
        <w:t>s:</w:t>
      </w:r>
      <w:r w:rsidR="000F77EA" w:rsidRPr="00FF1F5E">
        <w:rPr>
          <w:rFonts w:eastAsia="Calibri"/>
          <w:b/>
        </w:rPr>
        <w:t xml:space="preserve"> </w:t>
      </w:r>
      <w:r w:rsidR="000F77EA" w:rsidRPr="00FF1F5E">
        <w:rPr>
          <w:rFonts w:eastAsia="Calibri"/>
        </w:rPr>
        <w:t>Conceptualization, VM, SC, PR, GA and EWB; methodology and formal analysis, VM and SC; writing—original draft preparation and editing, VM; reviewing and editing, SC, PR, and GA. All authors have read and agreed to the published version of the manuscript.</w:t>
      </w:r>
    </w:p>
    <w:p w14:paraId="129F9292" w14:textId="77777777" w:rsidR="000F77EA" w:rsidRPr="00FF1F5E" w:rsidRDefault="000F77EA" w:rsidP="000A48BB">
      <w:pPr>
        <w:pStyle w:val="MDPI62BackMatter"/>
        <w:rPr>
          <w:b/>
        </w:rPr>
      </w:pPr>
      <w:r w:rsidRPr="00FF1F5E">
        <w:rPr>
          <w:rFonts w:eastAsia="Calibri"/>
          <w:b/>
          <w:bCs/>
        </w:rPr>
        <w:t>Funding:</w:t>
      </w:r>
      <w:r w:rsidRPr="00FF1F5E">
        <w:rPr>
          <w:rFonts w:eastAsia="Calibri"/>
          <w:b/>
        </w:rPr>
        <w:t xml:space="preserve"> </w:t>
      </w:r>
      <w:r w:rsidRPr="00FF1F5E">
        <w:rPr>
          <w:shd w:val="clear" w:color="auto" w:fill="FFFFFF"/>
        </w:rPr>
        <w:t>This work was partially funded by the National Institute on Deafness and Communication Disorders (NIDCD) of the National Institute of Health (NIH) under the award number R21DC017214.</w:t>
      </w:r>
      <w:r w:rsidRPr="00FF1F5E">
        <w:rPr>
          <w:b/>
        </w:rPr>
        <w:t xml:space="preserve"> </w:t>
      </w:r>
      <w:r w:rsidRPr="00FF1F5E">
        <w:rPr>
          <w:bCs/>
        </w:rPr>
        <w:t>Funding agency did not have any role in the design or execution of the study.</w:t>
      </w:r>
      <w:r w:rsidRPr="00FF1F5E">
        <w:rPr>
          <w:b/>
        </w:rPr>
        <w:t xml:space="preserve"> </w:t>
      </w:r>
    </w:p>
    <w:p w14:paraId="0EC6AB08" w14:textId="77777777" w:rsidR="000F77EA" w:rsidRPr="00FF1F5E" w:rsidRDefault="000F77EA" w:rsidP="000A48BB">
      <w:pPr>
        <w:pStyle w:val="MDPI62BackMatter"/>
        <w:rPr>
          <w:rFonts w:eastAsia="Calibri"/>
        </w:rPr>
      </w:pPr>
      <w:r w:rsidRPr="00FF1F5E">
        <w:rPr>
          <w:rFonts w:eastAsia="Calibri"/>
          <w:b/>
          <w:bCs/>
        </w:rPr>
        <w:t>Informed Consent Statement:</w:t>
      </w:r>
      <w:r w:rsidRPr="00FF1F5E">
        <w:rPr>
          <w:rFonts w:eastAsia="Calibri"/>
          <w:b/>
        </w:rPr>
        <w:t xml:space="preserve"> </w:t>
      </w:r>
      <w:r w:rsidRPr="00FF1F5E">
        <w:rPr>
          <w:rFonts w:eastAsia="Calibri"/>
        </w:rPr>
        <w:t xml:space="preserve">All participants completed informed consent before participating in the study. </w:t>
      </w:r>
    </w:p>
    <w:p w14:paraId="769C0A06" w14:textId="77777777" w:rsidR="000F77EA" w:rsidRPr="00FF1F5E" w:rsidRDefault="000F77EA" w:rsidP="000A48BB">
      <w:pPr>
        <w:pStyle w:val="MDPI62BackMatter"/>
        <w:rPr>
          <w:b/>
        </w:rPr>
      </w:pPr>
      <w:r w:rsidRPr="00FF1F5E">
        <w:rPr>
          <w:rFonts w:eastAsia="Calibri"/>
          <w:b/>
          <w:bCs/>
        </w:rPr>
        <w:t>Data Availability Statement:</w:t>
      </w:r>
      <w:r w:rsidRPr="00FF1F5E">
        <w:rPr>
          <w:rFonts w:eastAsia="Calibri"/>
          <w:b/>
        </w:rPr>
        <w:t xml:space="preserve"> </w:t>
      </w:r>
      <w:r w:rsidRPr="00FF1F5E">
        <w:t xml:space="preserve">The data that support the findings of this study are openly available in </w:t>
      </w:r>
      <w:proofErr w:type="spellStart"/>
      <w:r w:rsidRPr="00FF1F5E">
        <w:t>Figshare</w:t>
      </w:r>
      <w:proofErr w:type="spellEnd"/>
      <w:r w:rsidRPr="00FF1F5E">
        <w:t xml:space="preserve"> at </w:t>
      </w:r>
      <w:hyperlink r:id="rId10" w:history="1">
        <w:r w:rsidRPr="00FF1F5E">
          <w:rPr>
            <w:rStyle w:val="Hyperlink"/>
          </w:rPr>
          <w:t>http://doi.org/10.6084/m9.figshare.13681924</w:t>
        </w:r>
      </w:hyperlink>
      <w:r w:rsidRPr="00FF1F5E">
        <w:rPr>
          <w:b/>
        </w:rPr>
        <w:t xml:space="preserve">. </w:t>
      </w:r>
    </w:p>
    <w:p w14:paraId="5B398A41" w14:textId="77777777" w:rsidR="000F77EA" w:rsidRPr="00FF1F5E" w:rsidRDefault="000F77EA" w:rsidP="000A48BB">
      <w:pPr>
        <w:pStyle w:val="MDPI62BackMatter"/>
      </w:pPr>
      <w:r w:rsidRPr="00FF1F5E">
        <w:rPr>
          <w:rFonts w:eastAsia="Calibri"/>
          <w:b/>
        </w:rPr>
        <w:t xml:space="preserve">Conflicts of Interest: </w:t>
      </w:r>
      <w:r w:rsidRPr="00FF1F5E">
        <w:t xml:space="preserve">None to declare. </w:t>
      </w:r>
    </w:p>
    <w:p w14:paraId="4979C60A" w14:textId="77777777" w:rsidR="000F77EA" w:rsidRPr="00FF1F5E" w:rsidRDefault="000F77EA" w:rsidP="000A48BB">
      <w:pPr>
        <w:pStyle w:val="MDPI21heading1"/>
        <w:ind w:left="0"/>
      </w:pPr>
      <w:r w:rsidRPr="00FF1F5E">
        <w:t>References</w:t>
      </w:r>
    </w:p>
    <w:p w14:paraId="5FAF5316"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eastAsia="sv-SE"/>
        </w:rPr>
      </w:pPr>
      <w:r w:rsidRPr="00FF1F5E">
        <w:rPr>
          <w:rFonts w:ascii="Palatino Linotype" w:hAnsi="Palatino Linotype"/>
          <w:sz w:val="18"/>
          <w:szCs w:val="18"/>
          <w:lang w:eastAsia="sv-SE"/>
        </w:rPr>
        <w:t xml:space="preserve">Andersson, G., </w:t>
      </w:r>
      <w:proofErr w:type="spellStart"/>
      <w:r w:rsidRPr="00FF1F5E">
        <w:rPr>
          <w:rFonts w:ascii="Palatino Linotype" w:hAnsi="Palatino Linotype"/>
          <w:sz w:val="18"/>
          <w:szCs w:val="18"/>
          <w:lang w:eastAsia="sv-SE"/>
        </w:rPr>
        <w:t>Hesser</w:t>
      </w:r>
      <w:proofErr w:type="spellEnd"/>
      <w:r w:rsidRPr="00FF1F5E">
        <w:rPr>
          <w:rFonts w:ascii="Palatino Linotype" w:hAnsi="Palatino Linotype"/>
          <w:sz w:val="18"/>
          <w:szCs w:val="18"/>
          <w:lang w:eastAsia="sv-SE"/>
        </w:rPr>
        <w:t xml:space="preserve">, H., &amp; McKenna, L. (2016). Psychological mechanisms and tinnitus. </w:t>
      </w:r>
    </w:p>
    <w:p w14:paraId="64134A95"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eastAsia="sv-SE"/>
        </w:rPr>
      </w:pPr>
      <w:r w:rsidRPr="00FF1F5E">
        <w:rPr>
          <w:rFonts w:ascii="Palatino Linotype" w:hAnsi="Palatino Linotype"/>
          <w:sz w:val="18"/>
          <w:szCs w:val="18"/>
          <w:lang w:eastAsia="sv-SE"/>
        </w:rPr>
        <w:t xml:space="preserve">In D. M. Baguley &amp; M. </w:t>
      </w:r>
      <w:proofErr w:type="spellStart"/>
      <w:r w:rsidRPr="00FF1F5E">
        <w:rPr>
          <w:rFonts w:ascii="Palatino Linotype" w:hAnsi="Palatino Linotype"/>
          <w:sz w:val="18"/>
          <w:szCs w:val="18"/>
          <w:lang w:eastAsia="sv-SE"/>
        </w:rPr>
        <w:t>Fagelson</w:t>
      </w:r>
      <w:proofErr w:type="spellEnd"/>
      <w:r w:rsidRPr="00FF1F5E">
        <w:rPr>
          <w:rFonts w:ascii="Palatino Linotype" w:hAnsi="Palatino Linotype"/>
          <w:sz w:val="18"/>
          <w:szCs w:val="18"/>
          <w:lang w:eastAsia="sv-SE"/>
        </w:rPr>
        <w:t xml:space="preserve"> (Eds.), </w:t>
      </w:r>
      <w:r w:rsidRPr="00FF1F5E">
        <w:rPr>
          <w:rFonts w:ascii="Palatino Linotype" w:hAnsi="Palatino Linotype"/>
          <w:i/>
          <w:iCs/>
          <w:sz w:val="18"/>
          <w:szCs w:val="18"/>
          <w:lang w:eastAsia="sv-SE"/>
        </w:rPr>
        <w:t>Tinnitus. Clinical and research perspectives</w:t>
      </w:r>
      <w:r w:rsidRPr="00FF1F5E">
        <w:rPr>
          <w:rFonts w:ascii="Palatino Linotype" w:hAnsi="Palatino Linotype"/>
          <w:sz w:val="18"/>
          <w:szCs w:val="18"/>
          <w:lang w:eastAsia="sv-SE"/>
        </w:rPr>
        <w:t xml:space="preserve"> (pp. 63-</w:t>
      </w:r>
    </w:p>
    <w:p w14:paraId="53211CEE"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eastAsia="sv-SE"/>
        </w:rPr>
      </w:pPr>
      <w:r w:rsidRPr="00FF1F5E">
        <w:rPr>
          <w:rFonts w:ascii="Palatino Linotype" w:hAnsi="Palatino Linotype"/>
          <w:sz w:val="18"/>
          <w:szCs w:val="18"/>
          <w:lang w:eastAsia="sv-SE"/>
        </w:rPr>
        <w:t>73). San Diego: Plural.</w:t>
      </w:r>
    </w:p>
    <w:p w14:paraId="385FB865"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shd w:val="clear" w:color="auto" w:fill="FFFFFF"/>
        </w:rPr>
        <w:t xml:space="preserve">Bastien, C. H., </w:t>
      </w:r>
      <w:proofErr w:type="spellStart"/>
      <w:r w:rsidRPr="00FF1F5E">
        <w:rPr>
          <w:rFonts w:ascii="Palatino Linotype" w:hAnsi="Palatino Linotype"/>
          <w:sz w:val="18"/>
          <w:szCs w:val="18"/>
          <w:shd w:val="clear" w:color="auto" w:fill="FFFFFF"/>
        </w:rPr>
        <w:t>Vallières</w:t>
      </w:r>
      <w:proofErr w:type="spellEnd"/>
      <w:r w:rsidRPr="00FF1F5E">
        <w:rPr>
          <w:rFonts w:ascii="Palatino Linotype" w:hAnsi="Palatino Linotype"/>
          <w:sz w:val="18"/>
          <w:szCs w:val="18"/>
          <w:shd w:val="clear" w:color="auto" w:fill="FFFFFF"/>
        </w:rPr>
        <w:t xml:space="preserve">, A., &amp; Morin, C. M. (2001). Validation of the Insomnia Severity Index as an outcome measure for insomnia research. </w:t>
      </w:r>
      <w:r w:rsidRPr="00FF1F5E">
        <w:rPr>
          <w:rFonts w:ascii="Palatino Linotype" w:hAnsi="Palatino Linotype"/>
          <w:i/>
          <w:iCs/>
          <w:sz w:val="18"/>
          <w:szCs w:val="18"/>
          <w:shd w:val="clear" w:color="auto" w:fill="FFFFFF"/>
        </w:rPr>
        <w:t>Sleep Medicine</w:t>
      </w:r>
      <w:r w:rsidRPr="00FF1F5E">
        <w:rPr>
          <w:rFonts w:ascii="Palatino Linotype" w:hAnsi="Palatino Linotype"/>
          <w:sz w:val="18"/>
          <w:szCs w:val="18"/>
          <w:shd w:val="clear" w:color="auto" w:fill="FFFFFF"/>
        </w:rPr>
        <w:t xml:space="preserve">, </w:t>
      </w:r>
      <w:r w:rsidRPr="00FF1F5E">
        <w:rPr>
          <w:rFonts w:ascii="Palatino Linotype" w:hAnsi="Palatino Linotype"/>
          <w:i/>
          <w:iCs/>
          <w:sz w:val="18"/>
          <w:szCs w:val="18"/>
          <w:shd w:val="clear" w:color="auto" w:fill="FFFFFF"/>
        </w:rPr>
        <w:t>2</w:t>
      </w:r>
      <w:r w:rsidRPr="00FF1F5E">
        <w:rPr>
          <w:rFonts w:ascii="Palatino Linotype" w:hAnsi="Palatino Linotype"/>
          <w:sz w:val="18"/>
          <w:szCs w:val="18"/>
          <w:shd w:val="clear" w:color="auto" w:fill="FFFFFF"/>
        </w:rPr>
        <w:t xml:space="preserve">(4), 297–307. </w:t>
      </w:r>
      <w:hyperlink r:id="rId11" w:history="1">
        <w:r w:rsidRPr="00FF1F5E">
          <w:rPr>
            <w:rStyle w:val="Hyperlink"/>
            <w:rFonts w:ascii="Palatino Linotype" w:hAnsi="Palatino Linotype"/>
            <w:sz w:val="18"/>
            <w:szCs w:val="18"/>
            <w:shd w:val="clear" w:color="auto" w:fill="FFFFFF"/>
            <w:lang w:val="en-US"/>
          </w:rPr>
          <w:t>https://doi.org/10.1016/s1389-9457(00)00065-4</w:t>
        </w:r>
      </w:hyperlink>
    </w:p>
    <w:p w14:paraId="4B31BDAD"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sz w:val="18"/>
          <w:szCs w:val="18"/>
          <w:shd w:val="clear" w:color="auto" w:fill="FFFFFF"/>
        </w:rPr>
        <w:t>Baguely</w:t>
      </w:r>
      <w:proofErr w:type="spellEnd"/>
      <w:r w:rsidRPr="00FF1F5E">
        <w:rPr>
          <w:rFonts w:ascii="Palatino Linotype" w:hAnsi="Palatino Linotype"/>
          <w:sz w:val="18"/>
          <w:szCs w:val="18"/>
          <w:shd w:val="clear" w:color="auto" w:fill="FFFFFF"/>
        </w:rPr>
        <w:t xml:space="preserve"> D, </w:t>
      </w:r>
      <w:proofErr w:type="spellStart"/>
      <w:r w:rsidRPr="00FF1F5E">
        <w:rPr>
          <w:rFonts w:ascii="Palatino Linotype" w:hAnsi="Palatino Linotype"/>
          <w:sz w:val="18"/>
          <w:szCs w:val="18"/>
          <w:shd w:val="clear" w:color="auto" w:fill="FFFFFF"/>
        </w:rPr>
        <w:t>McFerran</w:t>
      </w:r>
      <w:proofErr w:type="spellEnd"/>
      <w:r w:rsidRPr="00FF1F5E">
        <w:rPr>
          <w:rFonts w:ascii="Palatino Linotype" w:hAnsi="Palatino Linotype"/>
          <w:sz w:val="18"/>
          <w:szCs w:val="18"/>
          <w:shd w:val="clear" w:color="auto" w:fill="FFFFFF"/>
        </w:rPr>
        <w:t xml:space="preserve"> D, Hall D. </w:t>
      </w:r>
      <w:r w:rsidRPr="00FF1F5E">
        <w:rPr>
          <w:rStyle w:val="ref-title"/>
          <w:rFonts w:ascii="Palatino Linotype" w:hAnsi="Palatino Linotype"/>
          <w:color w:val="000000"/>
          <w:sz w:val="18"/>
          <w:szCs w:val="18"/>
          <w:shd w:val="clear" w:color="auto" w:fill="FFFFFF"/>
          <w:lang w:val="en-US"/>
        </w:rPr>
        <w:t>Tinnitus</w:t>
      </w:r>
      <w:r w:rsidRPr="00FF1F5E">
        <w:rPr>
          <w:rFonts w:ascii="Palatino Linotype" w:hAnsi="Palatino Linotype"/>
          <w:sz w:val="18"/>
          <w:szCs w:val="18"/>
          <w:shd w:val="clear" w:color="auto" w:fill="FFFFFF"/>
        </w:rPr>
        <w:t xml:space="preserve">. </w:t>
      </w:r>
      <w:r w:rsidRPr="00FF1F5E">
        <w:rPr>
          <w:rStyle w:val="ref-journal"/>
          <w:rFonts w:ascii="Palatino Linotype" w:hAnsi="Palatino Linotype"/>
          <w:i/>
          <w:iCs/>
          <w:color w:val="000000"/>
          <w:sz w:val="18"/>
          <w:szCs w:val="18"/>
          <w:shd w:val="clear" w:color="auto" w:fill="FFFFFF"/>
          <w:lang w:val="en-US"/>
        </w:rPr>
        <w:t>Lancet</w:t>
      </w:r>
      <w:r w:rsidRPr="00FF1F5E">
        <w:rPr>
          <w:rFonts w:ascii="Palatino Linotype" w:hAnsi="Palatino Linotype"/>
          <w:sz w:val="18"/>
          <w:szCs w:val="18"/>
          <w:shd w:val="clear" w:color="auto" w:fill="FFFFFF"/>
        </w:rPr>
        <w:t xml:space="preserve">. (2013a) </w:t>
      </w:r>
      <w:r w:rsidRPr="00FF1F5E">
        <w:rPr>
          <w:rStyle w:val="ref-vol"/>
          <w:rFonts w:ascii="Palatino Linotype" w:hAnsi="Palatino Linotype"/>
          <w:color w:val="000000"/>
          <w:sz w:val="18"/>
          <w:szCs w:val="18"/>
          <w:shd w:val="clear" w:color="auto" w:fill="FFFFFF"/>
          <w:lang w:val="en-US"/>
        </w:rPr>
        <w:t>382</w:t>
      </w:r>
      <w:r w:rsidRPr="00FF1F5E">
        <w:rPr>
          <w:rFonts w:ascii="Palatino Linotype" w:hAnsi="Palatino Linotype"/>
          <w:sz w:val="18"/>
          <w:szCs w:val="18"/>
          <w:shd w:val="clear" w:color="auto" w:fill="FFFFFF"/>
        </w:rPr>
        <w:t>:1600–7. 10.1016/S0140-6736(13)60142-7</w:t>
      </w:r>
    </w:p>
    <w:p w14:paraId="4E467E86"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sz w:val="18"/>
          <w:szCs w:val="18"/>
        </w:rPr>
        <w:t>Baugley</w:t>
      </w:r>
      <w:proofErr w:type="spellEnd"/>
      <w:r w:rsidRPr="00FF1F5E">
        <w:rPr>
          <w:rFonts w:ascii="Palatino Linotype" w:hAnsi="Palatino Linotype"/>
          <w:sz w:val="18"/>
          <w:szCs w:val="18"/>
        </w:rPr>
        <w:t xml:space="preserve">, D., Andersson, G., </w:t>
      </w:r>
      <w:proofErr w:type="spellStart"/>
      <w:r w:rsidRPr="00FF1F5E">
        <w:rPr>
          <w:rFonts w:ascii="Palatino Linotype" w:hAnsi="Palatino Linotype"/>
          <w:sz w:val="18"/>
          <w:szCs w:val="18"/>
        </w:rPr>
        <w:t>McFerran</w:t>
      </w:r>
      <w:proofErr w:type="spellEnd"/>
      <w:r w:rsidRPr="00FF1F5E">
        <w:rPr>
          <w:rFonts w:ascii="Palatino Linotype" w:hAnsi="Palatino Linotype"/>
          <w:sz w:val="18"/>
          <w:szCs w:val="18"/>
        </w:rPr>
        <w:t xml:space="preserve">, D., &amp; </w:t>
      </w:r>
      <w:proofErr w:type="spellStart"/>
      <w:r w:rsidRPr="00FF1F5E">
        <w:rPr>
          <w:rFonts w:ascii="Palatino Linotype" w:hAnsi="Palatino Linotype"/>
          <w:sz w:val="18"/>
          <w:szCs w:val="18"/>
        </w:rPr>
        <w:t>mcKenna</w:t>
      </w:r>
      <w:proofErr w:type="spellEnd"/>
      <w:r w:rsidRPr="00FF1F5E">
        <w:rPr>
          <w:rFonts w:ascii="Palatino Linotype" w:hAnsi="Palatino Linotype"/>
          <w:sz w:val="18"/>
          <w:szCs w:val="18"/>
        </w:rPr>
        <w:t xml:space="preserve">, L. (2013b). Tinnitus: A Multidisciplinary Approach, 2nd Edition. Wiley-Blackwell. </w:t>
      </w:r>
    </w:p>
    <w:p w14:paraId="0170AB02"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t xml:space="preserve">Beukes, E. W., Manchaiah, V., Valien, T. E., Baguley, D. M., Allen, P. M., &amp; Andersson, G. (2018). Positive experiences related to living with tinnitus: A cross-sectional survey. </w:t>
      </w:r>
      <w:r w:rsidRPr="00FF1F5E">
        <w:rPr>
          <w:rFonts w:ascii="Palatino Linotype" w:hAnsi="Palatino Linotype"/>
          <w:i/>
          <w:iCs/>
          <w:color w:val="212121"/>
          <w:sz w:val="18"/>
          <w:szCs w:val="18"/>
          <w:shd w:val="clear" w:color="auto" w:fill="FFFFFF"/>
        </w:rPr>
        <w:t>Clinical Otolaryngology</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43</w:t>
      </w:r>
      <w:r w:rsidRPr="00FF1F5E">
        <w:rPr>
          <w:rFonts w:ascii="Palatino Linotype" w:hAnsi="Palatino Linotype"/>
          <w:color w:val="212121"/>
          <w:sz w:val="18"/>
          <w:szCs w:val="18"/>
          <w:shd w:val="clear" w:color="auto" w:fill="FFFFFF"/>
        </w:rPr>
        <w:t xml:space="preserve">(2), 489–495. </w:t>
      </w:r>
      <w:hyperlink r:id="rId12" w:history="1">
        <w:r w:rsidRPr="00FF1F5E">
          <w:rPr>
            <w:rStyle w:val="Hyperlink"/>
            <w:rFonts w:ascii="Palatino Linotype" w:hAnsi="Palatino Linotype"/>
            <w:sz w:val="18"/>
            <w:szCs w:val="18"/>
            <w:shd w:val="clear" w:color="auto" w:fill="FFFFFF"/>
            <w:lang w:val="en-US"/>
          </w:rPr>
          <w:t>https://doi.org/10.1111/coa.13002</w:t>
        </w:r>
      </w:hyperlink>
      <w:r w:rsidRPr="00FF1F5E">
        <w:rPr>
          <w:rFonts w:ascii="Palatino Linotype" w:hAnsi="Palatino Linotype"/>
          <w:color w:val="212121"/>
          <w:sz w:val="18"/>
          <w:szCs w:val="18"/>
          <w:shd w:val="clear" w:color="auto" w:fill="FFFFFF"/>
        </w:rPr>
        <w:t xml:space="preserve"> </w:t>
      </w:r>
    </w:p>
    <w:p w14:paraId="5A5D1469" w14:textId="77777777" w:rsidR="000F77EA" w:rsidRPr="00FF1F5E" w:rsidRDefault="000F77EA" w:rsidP="000A48BB">
      <w:pPr>
        <w:pStyle w:val="ListParagraph"/>
        <w:numPr>
          <w:ilvl w:val="0"/>
          <w:numId w:val="42"/>
        </w:numPr>
        <w:suppressAutoHyphens w:val="0"/>
        <w:adjustRightInd w:val="0"/>
        <w:snapToGrid w:val="0"/>
        <w:spacing w:after="0" w:line="228" w:lineRule="auto"/>
        <w:ind w:left="425" w:hanging="425"/>
        <w:contextualSpacing w:val="0"/>
        <w:jc w:val="both"/>
        <w:rPr>
          <w:rFonts w:ascii="Palatino Linotype" w:hAnsi="Palatino Linotype"/>
          <w:sz w:val="18"/>
          <w:szCs w:val="18"/>
          <w:lang w:val="en-US"/>
        </w:rPr>
      </w:pPr>
      <w:r w:rsidRPr="00FF1F5E">
        <w:rPr>
          <w:rFonts w:ascii="Palatino Linotype" w:hAnsi="Palatino Linotype"/>
          <w:sz w:val="18"/>
          <w:szCs w:val="18"/>
          <w:lang w:val="en-US"/>
        </w:rPr>
        <w:t xml:space="preserve">Beukes, E.W., Manchaiah, V., Allen, P.A., Andersson, G.A. &amp; Baguley, D.M. (2021a). Exploring tinnitus </w:t>
      </w:r>
      <w:r w:rsidRPr="00FF1F5E">
        <w:rPr>
          <w:rFonts w:ascii="Palatino Linotype" w:hAnsi="Palatino Linotype"/>
          <w:color w:val="000000"/>
          <w:sz w:val="18"/>
          <w:szCs w:val="18"/>
          <w:lang w:val="en-US"/>
        </w:rPr>
        <w:t xml:space="preserve">heterogeneity. </w:t>
      </w:r>
      <w:r w:rsidRPr="00FF1F5E">
        <w:rPr>
          <w:rFonts w:ascii="Palatino Linotype" w:hAnsi="Palatino Linotype"/>
          <w:i/>
          <w:color w:val="000000"/>
          <w:sz w:val="18"/>
          <w:szCs w:val="18"/>
          <w:lang w:val="en-US"/>
        </w:rPr>
        <w:t xml:space="preserve">Progress in Brain Research, </w:t>
      </w:r>
      <w:r w:rsidRPr="00FF1F5E">
        <w:rPr>
          <w:rFonts w:ascii="Palatino Linotype" w:hAnsi="Palatino Linotype"/>
          <w:iCs/>
          <w:color w:val="000000"/>
          <w:sz w:val="18"/>
          <w:szCs w:val="18"/>
          <w:lang w:val="en-US"/>
        </w:rPr>
        <w:t xml:space="preserve">260, 79-99. </w:t>
      </w:r>
      <w:hyperlink r:id="rId13" w:history="1">
        <w:r w:rsidRPr="00FF1F5E">
          <w:rPr>
            <w:rStyle w:val="Hyperlink"/>
            <w:rFonts w:ascii="Palatino Linotype" w:hAnsi="Palatino Linotype"/>
            <w:sz w:val="18"/>
            <w:szCs w:val="18"/>
            <w:lang w:val="en-US"/>
          </w:rPr>
          <w:t>https://doi.org/10.1016/bs.pbr.2020.05.022</w:t>
        </w:r>
      </w:hyperlink>
      <w:r w:rsidRPr="00FF1F5E">
        <w:rPr>
          <w:rFonts w:ascii="Palatino Linotype" w:hAnsi="Palatino Linotype"/>
          <w:color w:val="000000"/>
          <w:sz w:val="18"/>
          <w:szCs w:val="18"/>
          <w:lang w:val="en-US"/>
        </w:rPr>
        <w:t xml:space="preserve"> </w:t>
      </w:r>
    </w:p>
    <w:p w14:paraId="3FE4F230" w14:textId="77777777" w:rsidR="000F77EA" w:rsidRPr="00FF1F5E" w:rsidRDefault="000F77EA" w:rsidP="000A48BB">
      <w:pPr>
        <w:pStyle w:val="ListParagraph"/>
        <w:numPr>
          <w:ilvl w:val="0"/>
          <w:numId w:val="42"/>
        </w:numPr>
        <w:suppressAutoHyphens w:val="0"/>
        <w:adjustRightInd w:val="0"/>
        <w:snapToGrid w:val="0"/>
        <w:spacing w:after="0" w:line="228" w:lineRule="auto"/>
        <w:ind w:left="425" w:hanging="425"/>
        <w:contextualSpacing w:val="0"/>
        <w:jc w:val="both"/>
        <w:rPr>
          <w:rFonts w:ascii="Palatino Linotype" w:hAnsi="Palatino Linotype"/>
          <w:sz w:val="18"/>
          <w:szCs w:val="18"/>
          <w:lang w:val="en-US"/>
        </w:rPr>
      </w:pPr>
      <w:r w:rsidRPr="00FF1F5E">
        <w:rPr>
          <w:rFonts w:ascii="Palatino Linotype" w:hAnsi="Palatino Linotype"/>
          <w:sz w:val="18"/>
          <w:szCs w:val="18"/>
          <w:lang w:val="en-US"/>
        </w:rPr>
        <w:t xml:space="preserve">Beukes, E.W., Baguley, D.M., </w:t>
      </w:r>
      <w:r w:rsidRPr="00FF1F5E">
        <w:rPr>
          <w:rFonts w:ascii="Palatino Linotype" w:hAnsi="Palatino Linotype"/>
          <w:color w:val="000000"/>
          <w:sz w:val="18"/>
          <w:szCs w:val="18"/>
          <w:lang w:val="en-US"/>
        </w:rPr>
        <w:t xml:space="preserve">Manchaiah, V., Andersson, G., Allen, P.M., </w:t>
      </w:r>
      <w:proofErr w:type="spellStart"/>
      <w:r w:rsidRPr="00FF1F5E">
        <w:rPr>
          <w:rFonts w:ascii="Palatino Linotype" w:hAnsi="Palatino Linotype"/>
          <w:color w:val="000000"/>
          <w:sz w:val="18"/>
          <w:szCs w:val="18"/>
          <w:lang w:val="en-US"/>
        </w:rPr>
        <w:t>Kaldo</w:t>
      </w:r>
      <w:proofErr w:type="spellEnd"/>
      <w:r w:rsidRPr="00FF1F5E">
        <w:rPr>
          <w:rFonts w:ascii="Palatino Linotype" w:hAnsi="Palatino Linotype"/>
          <w:color w:val="000000"/>
          <w:sz w:val="18"/>
          <w:szCs w:val="18"/>
          <w:lang w:val="en-US"/>
        </w:rPr>
        <w:t xml:space="preserve">, V., </w:t>
      </w:r>
      <w:proofErr w:type="spellStart"/>
      <w:r w:rsidRPr="00FF1F5E">
        <w:rPr>
          <w:rFonts w:ascii="Palatino Linotype" w:hAnsi="Palatino Linotype"/>
          <w:color w:val="000000"/>
          <w:sz w:val="18"/>
          <w:szCs w:val="18"/>
          <w:lang w:val="en-US"/>
        </w:rPr>
        <w:t>Jacquemin</w:t>
      </w:r>
      <w:proofErr w:type="spellEnd"/>
      <w:r w:rsidRPr="00FF1F5E">
        <w:rPr>
          <w:rFonts w:ascii="Palatino Linotype" w:hAnsi="Palatino Linotype"/>
          <w:color w:val="000000"/>
          <w:sz w:val="18"/>
          <w:szCs w:val="18"/>
          <w:lang w:val="en-US"/>
        </w:rPr>
        <w:t xml:space="preserve">, L., Lourenco, M.P.C.G., </w:t>
      </w:r>
      <w:proofErr w:type="spellStart"/>
      <w:r w:rsidRPr="00FF1F5E">
        <w:rPr>
          <w:rFonts w:ascii="Palatino Linotype" w:hAnsi="Palatino Linotype"/>
          <w:color w:val="000000"/>
          <w:sz w:val="18"/>
          <w:szCs w:val="18"/>
          <w:lang w:val="en-US"/>
        </w:rPr>
        <w:t>Onozuka</w:t>
      </w:r>
      <w:proofErr w:type="spellEnd"/>
      <w:r w:rsidRPr="00FF1F5E">
        <w:rPr>
          <w:rFonts w:ascii="Palatino Linotype" w:hAnsi="Palatino Linotype"/>
          <w:color w:val="000000"/>
          <w:sz w:val="18"/>
          <w:szCs w:val="18"/>
          <w:lang w:val="en-US"/>
        </w:rPr>
        <w:t>, J., Stockdale, D., &amp; Maidment, D. (</w:t>
      </w:r>
      <w:r w:rsidRPr="00FF1F5E">
        <w:rPr>
          <w:rFonts w:ascii="Palatino Linotype" w:hAnsi="Palatino Linotype"/>
          <w:sz w:val="18"/>
          <w:szCs w:val="18"/>
          <w:lang w:val="en-US"/>
        </w:rPr>
        <w:t>2021b</w:t>
      </w:r>
      <w:r w:rsidRPr="00FF1F5E">
        <w:rPr>
          <w:rFonts w:ascii="Palatino Linotype" w:hAnsi="Palatino Linotype"/>
          <w:color w:val="000000"/>
          <w:sz w:val="18"/>
          <w:szCs w:val="18"/>
          <w:lang w:val="en-US"/>
        </w:rPr>
        <w:t xml:space="preserve">). Investigating tinnitus subgroups based on hearing-related difficulties. </w:t>
      </w:r>
      <w:r w:rsidRPr="00FF1F5E">
        <w:rPr>
          <w:rFonts w:ascii="Palatino Linotype" w:hAnsi="Palatino Linotype"/>
          <w:i/>
          <w:iCs/>
          <w:sz w:val="18"/>
          <w:szCs w:val="18"/>
          <w:lang w:val="en-US"/>
        </w:rPr>
        <w:t xml:space="preserve">International Journal of Clinical Practice, </w:t>
      </w:r>
      <w:r w:rsidRPr="00FF1F5E">
        <w:rPr>
          <w:rFonts w:ascii="Palatino Linotype" w:hAnsi="Palatino Linotype"/>
          <w:sz w:val="18"/>
          <w:szCs w:val="18"/>
          <w:lang w:val="en-US"/>
        </w:rPr>
        <w:t>75(10), e14684</w:t>
      </w:r>
      <w:r w:rsidRPr="00FF1F5E">
        <w:rPr>
          <w:rFonts w:ascii="Palatino Linotype" w:hAnsi="Palatino Linotype"/>
          <w:i/>
          <w:iCs/>
          <w:sz w:val="18"/>
          <w:szCs w:val="18"/>
          <w:lang w:val="en-US"/>
        </w:rPr>
        <w:t xml:space="preserve">. </w:t>
      </w:r>
      <w:hyperlink r:id="rId14" w:history="1">
        <w:r w:rsidRPr="00FF1F5E">
          <w:rPr>
            <w:rStyle w:val="Hyperlink"/>
            <w:rFonts w:ascii="Palatino Linotype" w:hAnsi="Palatino Linotype"/>
            <w:sz w:val="18"/>
            <w:szCs w:val="18"/>
            <w:shd w:val="clear" w:color="auto" w:fill="FFFFFF"/>
            <w:lang w:val="en-US"/>
          </w:rPr>
          <w:t>https://doi.org/10.1111/ijcp.14684</w:t>
        </w:r>
      </w:hyperlink>
      <w:r w:rsidRPr="00FF1F5E">
        <w:rPr>
          <w:rFonts w:ascii="Palatino Linotype" w:hAnsi="Palatino Linotype"/>
          <w:sz w:val="18"/>
          <w:szCs w:val="18"/>
          <w:shd w:val="clear" w:color="auto" w:fill="FFFFFF"/>
          <w:lang w:val="en-US"/>
        </w:rPr>
        <w:t xml:space="preserve"> </w:t>
      </w:r>
    </w:p>
    <w:p w14:paraId="4D2BEBE9"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color w:val="212121"/>
          <w:sz w:val="18"/>
          <w:szCs w:val="18"/>
          <w:shd w:val="clear" w:color="auto" w:fill="FFFFFF"/>
        </w:rPr>
      </w:pPr>
      <w:r w:rsidRPr="00FF1F5E">
        <w:rPr>
          <w:rFonts w:ascii="Palatino Linotype" w:hAnsi="Palatino Linotype"/>
          <w:color w:val="212121"/>
          <w:sz w:val="18"/>
          <w:szCs w:val="18"/>
          <w:shd w:val="clear" w:color="auto" w:fill="FFFFFF"/>
        </w:rPr>
        <w:t xml:space="preserve">Beukes, E. W., Andersson, G., </w:t>
      </w:r>
      <w:proofErr w:type="spellStart"/>
      <w:r w:rsidRPr="00FF1F5E">
        <w:rPr>
          <w:rFonts w:ascii="Palatino Linotype" w:hAnsi="Palatino Linotype"/>
          <w:color w:val="212121"/>
          <w:sz w:val="18"/>
          <w:szCs w:val="18"/>
          <w:shd w:val="clear" w:color="auto" w:fill="FFFFFF"/>
        </w:rPr>
        <w:t>Fagelson</w:t>
      </w:r>
      <w:proofErr w:type="spellEnd"/>
      <w:r w:rsidRPr="00FF1F5E">
        <w:rPr>
          <w:rFonts w:ascii="Palatino Linotype" w:hAnsi="Palatino Linotype"/>
          <w:color w:val="212121"/>
          <w:sz w:val="18"/>
          <w:szCs w:val="18"/>
          <w:shd w:val="clear" w:color="auto" w:fill="FFFFFF"/>
        </w:rPr>
        <w:t xml:space="preserve">, M., &amp; Manchaiah, V. (2021c). Audiologist-Supported Internet-Based Cognitive Behavioral Therapy for Tinnitus in the United States: A Pilot Trial. </w:t>
      </w:r>
      <w:r w:rsidRPr="00FF1F5E">
        <w:rPr>
          <w:rFonts w:ascii="Palatino Linotype" w:hAnsi="Palatino Linotype"/>
          <w:i/>
          <w:iCs/>
          <w:color w:val="212121"/>
          <w:sz w:val="18"/>
          <w:szCs w:val="18"/>
          <w:shd w:val="clear" w:color="auto" w:fill="FFFFFF"/>
        </w:rPr>
        <w:t>American journal of audiology</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30</w:t>
      </w:r>
      <w:r w:rsidRPr="00FF1F5E">
        <w:rPr>
          <w:rFonts w:ascii="Palatino Linotype" w:hAnsi="Palatino Linotype"/>
          <w:color w:val="212121"/>
          <w:sz w:val="18"/>
          <w:szCs w:val="18"/>
          <w:shd w:val="clear" w:color="auto" w:fill="FFFFFF"/>
        </w:rPr>
        <w:t xml:space="preserve">(3), 717–729. </w:t>
      </w:r>
      <w:hyperlink r:id="rId15" w:history="1">
        <w:r w:rsidRPr="00FF1F5E">
          <w:rPr>
            <w:rStyle w:val="Hyperlink"/>
            <w:rFonts w:ascii="Palatino Linotype" w:hAnsi="Palatino Linotype"/>
            <w:sz w:val="18"/>
            <w:szCs w:val="18"/>
            <w:shd w:val="clear" w:color="auto" w:fill="FFFFFF"/>
            <w:lang w:val="en-US"/>
          </w:rPr>
          <w:t>https://doi.org/10.1044/2021_AJA-20-00222</w:t>
        </w:r>
      </w:hyperlink>
    </w:p>
    <w:p w14:paraId="290626A2"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 xml:space="preserve">Beukes, E. W., Andersson, G., </w:t>
      </w:r>
      <w:proofErr w:type="spellStart"/>
      <w:r w:rsidRPr="00FF1F5E">
        <w:rPr>
          <w:rFonts w:ascii="Palatino Linotype" w:hAnsi="Palatino Linotype"/>
          <w:sz w:val="18"/>
          <w:szCs w:val="18"/>
        </w:rPr>
        <w:t>Fagelson</w:t>
      </w:r>
      <w:proofErr w:type="spellEnd"/>
      <w:r w:rsidRPr="00FF1F5E">
        <w:rPr>
          <w:rFonts w:ascii="Palatino Linotype" w:hAnsi="Palatino Linotype"/>
          <w:sz w:val="18"/>
          <w:szCs w:val="18"/>
        </w:rPr>
        <w:t>, M. A., &amp; Manchaiah, V. (2021d). Internet-based audiologist-guided cognitive behavioral therapy tinnitus in the United States: A randomized controlled trial</w:t>
      </w:r>
      <w:r w:rsidRPr="00FF1F5E">
        <w:rPr>
          <w:rFonts w:ascii="Palatino Linotype" w:hAnsi="Palatino Linotype"/>
          <w:i/>
          <w:iCs/>
          <w:sz w:val="18"/>
          <w:szCs w:val="18"/>
        </w:rPr>
        <w:t>. Journal of Medical Internet Research</w:t>
      </w:r>
      <w:r w:rsidRPr="00FF1F5E">
        <w:rPr>
          <w:rFonts w:ascii="Palatino Linotype" w:hAnsi="Palatino Linotype"/>
          <w:i/>
          <w:iCs/>
          <w:color w:val="000000"/>
          <w:sz w:val="18"/>
          <w:szCs w:val="18"/>
        </w:rPr>
        <w:t xml:space="preserve">. </w:t>
      </w:r>
      <w:hyperlink r:id="rId16" w:history="1">
        <w:r w:rsidRPr="00FF1F5E">
          <w:rPr>
            <w:rStyle w:val="Hyperlink"/>
            <w:rFonts w:ascii="Palatino Linotype" w:hAnsi="Palatino Linotype"/>
            <w:sz w:val="18"/>
            <w:szCs w:val="18"/>
            <w:lang w:val="en-US"/>
          </w:rPr>
          <w:t>https://preprints.jmir.org/preprint/27584</w:t>
        </w:r>
      </w:hyperlink>
    </w:p>
    <w:p w14:paraId="6C04D849"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 xml:space="preserve">Beukes, E. W., Andersson, G., </w:t>
      </w:r>
      <w:proofErr w:type="spellStart"/>
      <w:r w:rsidRPr="00FF1F5E">
        <w:rPr>
          <w:rFonts w:ascii="Palatino Linotype" w:hAnsi="Palatino Linotype"/>
          <w:sz w:val="18"/>
          <w:szCs w:val="18"/>
        </w:rPr>
        <w:t>Fagelson</w:t>
      </w:r>
      <w:proofErr w:type="spellEnd"/>
      <w:r w:rsidRPr="00FF1F5E">
        <w:rPr>
          <w:rFonts w:ascii="Palatino Linotype" w:hAnsi="Palatino Linotype"/>
          <w:sz w:val="18"/>
          <w:szCs w:val="18"/>
        </w:rPr>
        <w:t xml:space="preserve">, M. A., &amp; Manchaiah, V. (2021e). Dismantling internet-based cognitive behavioral therapy for tinnitus. The contribution of applied relaxation: A randomized controlled trial. </w:t>
      </w:r>
      <w:r w:rsidRPr="00FF1F5E">
        <w:rPr>
          <w:rFonts w:ascii="Palatino Linotype" w:hAnsi="Palatino Linotype"/>
          <w:i/>
          <w:iCs/>
          <w:sz w:val="18"/>
          <w:szCs w:val="18"/>
        </w:rPr>
        <w:t>Internet Interventions,</w:t>
      </w:r>
      <w:r w:rsidRPr="00FF1F5E">
        <w:rPr>
          <w:rFonts w:ascii="Palatino Linotype" w:hAnsi="Palatino Linotype"/>
          <w:sz w:val="18"/>
          <w:szCs w:val="18"/>
        </w:rPr>
        <w:t xml:space="preserve"> </w:t>
      </w:r>
      <w:r w:rsidRPr="00FF1F5E">
        <w:rPr>
          <w:rFonts w:ascii="Palatino Linotype" w:hAnsi="Palatino Linotype"/>
          <w:i/>
          <w:iCs/>
          <w:sz w:val="18"/>
          <w:szCs w:val="18"/>
        </w:rPr>
        <w:t xml:space="preserve">25, </w:t>
      </w:r>
      <w:r w:rsidRPr="00FF1F5E">
        <w:rPr>
          <w:rFonts w:ascii="Palatino Linotype" w:hAnsi="Palatino Linotype"/>
          <w:sz w:val="18"/>
          <w:szCs w:val="18"/>
        </w:rPr>
        <w:t xml:space="preserve">100402. </w:t>
      </w:r>
      <w:hyperlink r:id="rId17" w:history="1">
        <w:r w:rsidRPr="00FF1F5E">
          <w:rPr>
            <w:rStyle w:val="Hyperlink"/>
            <w:rFonts w:ascii="Palatino Linotype" w:hAnsi="Palatino Linotype"/>
            <w:sz w:val="18"/>
            <w:szCs w:val="18"/>
            <w:lang w:val="en-US"/>
          </w:rPr>
          <w:t>https://doi.org/10.1016/j.invent.2021.100402</w:t>
        </w:r>
      </w:hyperlink>
    </w:p>
    <w:p w14:paraId="7DD8992F" w14:textId="580670C3" w:rsidR="00C44008" w:rsidRPr="00FF1F5E" w:rsidRDefault="00C44008" w:rsidP="000A48BB">
      <w:pPr>
        <w:pStyle w:val="ListParagraph"/>
        <w:numPr>
          <w:ilvl w:val="0"/>
          <w:numId w:val="42"/>
        </w:numPr>
        <w:adjustRightInd w:val="0"/>
        <w:snapToGrid w:val="0"/>
        <w:spacing w:after="0" w:line="228" w:lineRule="auto"/>
        <w:ind w:left="425" w:hanging="425"/>
        <w:contextualSpacing w:val="0"/>
        <w:jc w:val="both"/>
        <w:rPr>
          <w:rStyle w:val="personname"/>
          <w:rFonts w:ascii="Palatino Linotype" w:hAnsi="Palatino Linotype"/>
          <w:sz w:val="18"/>
          <w:szCs w:val="18"/>
          <w:lang w:val="en-US"/>
        </w:rPr>
      </w:pPr>
      <w:proofErr w:type="spellStart"/>
      <w:r w:rsidRPr="00FF1F5E">
        <w:rPr>
          <w:rFonts w:ascii="Palatino Linotype" w:hAnsi="Palatino Linotype" w:cs="Segoe UI"/>
          <w:color w:val="212121"/>
          <w:sz w:val="18"/>
          <w:szCs w:val="18"/>
          <w:shd w:val="clear" w:color="auto" w:fill="FFFFFF"/>
        </w:rPr>
        <w:t>Beyera</w:t>
      </w:r>
      <w:proofErr w:type="spellEnd"/>
      <w:r w:rsidRPr="00FF1F5E">
        <w:rPr>
          <w:rFonts w:ascii="Palatino Linotype" w:hAnsi="Palatino Linotype" w:cs="Segoe UI"/>
          <w:color w:val="212121"/>
          <w:sz w:val="18"/>
          <w:szCs w:val="18"/>
          <w:shd w:val="clear" w:color="auto" w:fill="FFFFFF"/>
        </w:rPr>
        <w:t>, G. K., O'Brien, J., &amp; Campbell, S. (2022). Choosing a health behaviour theory or model for related research projects: a narrative review. </w:t>
      </w:r>
      <w:r w:rsidRPr="00FF1F5E">
        <w:rPr>
          <w:rFonts w:ascii="Palatino Linotype" w:hAnsi="Palatino Linotype" w:cs="Segoe UI"/>
          <w:i/>
          <w:iCs/>
          <w:color w:val="212121"/>
          <w:sz w:val="18"/>
          <w:szCs w:val="18"/>
          <w:shd w:val="clear" w:color="auto" w:fill="FFFFFF"/>
        </w:rPr>
        <w:t>Journal of Research in Nursing</w:t>
      </w:r>
      <w:r w:rsidRPr="00FF1F5E">
        <w:rPr>
          <w:rFonts w:ascii="Palatino Linotype" w:hAnsi="Palatino Linotype" w:cs="Segoe UI"/>
          <w:color w:val="212121"/>
          <w:sz w:val="18"/>
          <w:szCs w:val="18"/>
          <w:shd w:val="clear" w:color="auto" w:fill="FFFFFF"/>
        </w:rPr>
        <w:t>, </w:t>
      </w:r>
      <w:r w:rsidRPr="00FF1F5E">
        <w:rPr>
          <w:rFonts w:ascii="Palatino Linotype" w:hAnsi="Palatino Linotype" w:cs="Segoe UI"/>
          <w:i/>
          <w:iCs/>
          <w:color w:val="212121"/>
          <w:sz w:val="18"/>
          <w:szCs w:val="18"/>
          <w:shd w:val="clear" w:color="auto" w:fill="FFFFFF"/>
        </w:rPr>
        <w:t>27</w:t>
      </w:r>
      <w:r w:rsidRPr="00FF1F5E">
        <w:rPr>
          <w:rFonts w:ascii="Palatino Linotype" w:hAnsi="Palatino Linotype" w:cs="Segoe UI"/>
          <w:color w:val="212121"/>
          <w:sz w:val="18"/>
          <w:szCs w:val="18"/>
          <w:shd w:val="clear" w:color="auto" w:fill="FFFFFF"/>
        </w:rPr>
        <w:t xml:space="preserve">(5), 436–446. </w:t>
      </w:r>
      <w:hyperlink r:id="rId18" w:history="1">
        <w:r w:rsidRPr="00FF1F5E">
          <w:rPr>
            <w:rStyle w:val="Hyperlink"/>
            <w:rFonts w:ascii="Palatino Linotype" w:hAnsi="Palatino Linotype" w:cs="Segoe UI"/>
            <w:sz w:val="18"/>
            <w:szCs w:val="18"/>
            <w:shd w:val="clear" w:color="auto" w:fill="FFFFFF"/>
          </w:rPr>
          <w:t>https://doi.org/10.1177/17449871211051566</w:t>
        </w:r>
      </w:hyperlink>
      <w:r w:rsidRPr="00FF1F5E">
        <w:rPr>
          <w:rFonts w:ascii="Palatino Linotype" w:hAnsi="Palatino Linotype" w:cs="Segoe UI"/>
          <w:color w:val="212121"/>
          <w:sz w:val="18"/>
          <w:szCs w:val="18"/>
          <w:shd w:val="clear" w:color="auto" w:fill="FFFFFF"/>
        </w:rPr>
        <w:t xml:space="preserve"> </w:t>
      </w:r>
      <w:r w:rsidRPr="00FF1F5E">
        <w:rPr>
          <w:rStyle w:val="personname"/>
          <w:rFonts w:ascii="Palatino Linotype" w:hAnsi="Palatino Linotype"/>
          <w:sz w:val="18"/>
          <w:szCs w:val="18"/>
          <w:lang w:val="en-US"/>
        </w:rPr>
        <w:t xml:space="preserve"> </w:t>
      </w:r>
    </w:p>
    <w:p w14:paraId="10EA54A5" w14:textId="65C97D4B"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val="en-US"/>
        </w:rPr>
      </w:pPr>
      <w:proofErr w:type="spellStart"/>
      <w:r w:rsidRPr="00FF1F5E">
        <w:rPr>
          <w:rStyle w:val="personname"/>
          <w:rFonts w:ascii="Palatino Linotype" w:hAnsi="Palatino Linotype"/>
          <w:sz w:val="18"/>
          <w:szCs w:val="18"/>
          <w:lang w:val="en-US"/>
        </w:rPr>
        <w:t>Chundu</w:t>
      </w:r>
      <w:proofErr w:type="spellEnd"/>
      <w:r w:rsidRPr="00FF1F5E">
        <w:rPr>
          <w:rStyle w:val="personname"/>
          <w:rFonts w:ascii="Palatino Linotype" w:hAnsi="Palatino Linotype"/>
          <w:sz w:val="18"/>
          <w:szCs w:val="18"/>
          <w:lang w:val="en-US"/>
        </w:rPr>
        <w:t xml:space="preserve">, S., Manchaiah, V., Han, W., </w:t>
      </w:r>
      <w:proofErr w:type="spellStart"/>
      <w:r w:rsidRPr="00FF1F5E">
        <w:rPr>
          <w:rStyle w:val="personname"/>
          <w:rFonts w:ascii="Palatino Linotype" w:hAnsi="Palatino Linotype"/>
          <w:sz w:val="18"/>
          <w:szCs w:val="18"/>
          <w:lang w:val="en-US"/>
        </w:rPr>
        <w:t>Thammaiah</w:t>
      </w:r>
      <w:proofErr w:type="spellEnd"/>
      <w:r w:rsidRPr="00FF1F5E">
        <w:rPr>
          <w:rStyle w:val="personname"/>
          <w:rFonts w:ascii="Palatino Linotype" w:hAnsi="Palatino Linotype"/>
          <w:sz w:val="18"/>
          <w:szCs w:val="18"/>
          <w:lang w:val="en-US"/>
        </w:rPr>
        <w:t xml:space="preserve">, S., </w:t>
      </w:r>
      <w:proofErr w:type="spellStart"/>
      <w:r w:rsidRPr="00FF1F5E">
        <w:rPr>
          <w:rStyle w:val="personname"/>
          <w:rFonts w:ascii="Palatino Linotype" w:hAnsi="Palatino Linotype"/>
          <w:sz w:val="18"/>
          <w:szCs w:val="18"/>
          <w:lang w:val="en-US"/>
        </w:rPr>
        <w:t>Ratinaud</w:t>
      </w:r>
      <w:proofErr w:type="spellEnd"/>
      <w:r w:rsidRPr="00FF1F5E">
        <w:rPr>
          <w:rStyle w:val="personname"/>
          <w:rFonts w:ascii="Palatino Linotype" w:hAnsi="Palatino Linotype"/>
          <w:sz w:val="18"/>
          <w:szCs w:val="18"/>
          <w:lang w:val="en-US"/>
        </w:rPr>
        <w:t xml:space="preserve">, P. &amp; Allen, P.M. (2020). Social representation of ‘hearing loss’ among people with hearing loss: An exploratory cross-cultural study. </w:t>
      </w:r>
      <w:r w:rsidRPr="00FF1F5E">
        <w:rPr>
          <w:rStyle w:val="personname"/>
          <w:rFonts w:ascii="Palatino Linotype" w:hAnsi="Palatino Linotype"/>
          <w:i/>
          <w:sz w:val="18"/>
          <w:szCs w:val="18"/>
          <w:lang w:val="en-US"/>
        </w:rPr>
        <w:t>Journal of the American Academy of Audiology</w:t>
      </w:r>
      <w:r w:rsidRPr="00FF1F5E">
        <w:rPr>
          <w:rStyle w:val="personname"/>
          <w:rFonts w:ascii="Palatino Linotype" w:hAnsi="Palatino Linotype"/>
          <w:sz w:val="18"/>
          <w:szCs w:val="18"/>
          <w:lang w:val="en-US"/>
        </w:rPr>
        <w:t>, 31(1), 725-739</w:t>
      </w:r>
      <w:r w:rsidRPr="00FF1F5E">
        <w:rPr>
          <w:rStyle w:val="personname"/>
          <w:rFonts w:ascii="Palatino Linotype" w:hAnsi="Palatino Linotype"/>
          <w:color w:val="000000"/>
          <w:sz w:val="18"/>
          <w:szCs w:val="18"/>
          <w:lang w:val="en-US"/>
        </w:rPr>
        <w:t xml:space="preserve">. </w:t>
      </w:r>
      <w:hyperlink r:id="rId19" w:history="1">
        <w:r w:rsidRPr="00FF1F5E">
          <w:rPr>
            <w:rStyle w:val="Hyperlink"/>
            <w:rFonts w:ascii="Palatino Linotype" w:hAnsi="Palatino Linotype"/>
            <w:sz w:val="18"/>
            <w:szCs w:val="18"/>
            <w:lang w:val="en-US"/>
          </w:rPr>
          <w:t>https://</w:t>
        </w:r>
        <w:r w:rsidRPr="00FF1F5E">
          <w:rPr>
            <w:rStyle w:val="Hyperlink"/>
            <w:rFonts w:ascii="Palatino Linotype" w:hAnsi="Palatino Linotype"/>
            <w:sz w:val="18"/>
            <w:szCs w:val="18"/>
            <w:shd w:val="clear" w:color="auto" w:fill="FFFFFF"/>
            <w:lang w:val="en-US"/>
          </w:rPr>
          <w:t>doi.org/10.1055/s-0040-1719127</w:t>
        </w:r>
      </w:hyperlink>
      <w:r w:rsidRPr="00FF1F5E">
        <w:rPr>
          <w:rFonts w:ascii="Palatino Linotype" w:hAnsi="Palatino Linotype"/>
          <w:color w:val="000000"/>
          <w:sz w:val="18"/>
          <w:szCs w:val="18"/>
          <w:shd w:val="clear" w:color="auto" w:fill="FFFFFF"/>
          <w:lang w:val="en-US"/>
        </w:rPr>
        <w:t xml:space="preserve"> </w:t>
      </w:r>
    </w:p>
    <w:p w14:paraId="08BDF59E"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val="en-US"/>
        </w:rPr>
      </w:pPr>
      <w:proofErr w:type="spellStart"/>
      <w:r w:rsidRPr="00FF1F5E">
        <w:rPr>
          <w:rStyle w:val="personname"/>
          <w:rFonts w:ascii="Palatino Linotype" w:hAnsi="Palatino Linotype"/>
          <w:sz w:val="18"/>
          <w:szCs w:val="18"/>
          <w:lang w:val="en-US"/>
        </w:rPr>
        <w:t>Chundu</w:t>
      </w:r>
      <w:proofErr w:type="spellEnd"/>
      <w:r w:rsidRPr="00FF1F5E">
        <w:rPr>
          <w:rStyle w:val="personname"/>
          <w:rFonts w:ascii="Palatino Linotype" w:hAnsi="Palatino Linotype"/>
          <w:sz w:val="18"/>
          <w:szCs w:val="18"/>
          <w:lang w:val="en-US"/>
        </w:rPr>
        <w:t xml:space="preserve">, S., Allen, P.M., Han, W., </w:t>
      </w:r>
      <w:proofErr w:type="spellStart"/>
      <w:r w:rsidRPr="00FF1F5E">
        <w:rPr>
          <w:rStyle w:val="personname"/>
          <w:rFonts w:ascii="Palatino Linotype" w:hAnsi="Palatino Linotype"/>
          <w:sz w:val="18"/>
          <w:szCs w:val="18"/>
          <w:lang w:val="en-US"/>
        </w:rPr>
        <w:t>Ratinaud</w:t>
      </w:r>
      <w:proofErr w:type="spellEnd"/>
      <w:r w:rsidRPr="00FF1F5E">
        <w:rPr>
          <w:rStyle w:val="personname"/>
          <w:rFonts w:ascii="Palatino Linotype" w:hAnsi="Palatino Linotype"/>
          <w:sz w:val="18"/>
          <w:szCs w:val="18"/>
          <w:lang w:val="en-US"/>
        </w:rPr>
        <w:t xml:space="preserve">, P., Krishna, R., &amp; Manchaiah, V. (2021). Social representation of ‘hearing aids’ among adults with hearing loss across countries: An exploratory study. </w:t>
      </w:r>
      <w:r w:rsidRPr="00FF1F5E">
        <w:rPr>
          <w:rStyle w:val="personname"/>
          <w:rFonts w:ascii="Palatino Linotype" w:hAnsi="Palatino Linotype"/>
          <w:i/>
          <w:iCs/>
          <w:sz w:val="18"/>
          <w:szCs w:val="18"/>
          <w:lang w:val="en-US"/>
        </w:rPr>
        <w:t>International Journal of Audiology</w:t>
      </w:r>
      <w:r w:rsidRPr="00FF1F5E">
        <w:rPr>
          <w:rStyle w:val="personname"/>
          <w:rFonts w:ascii="Palatino Linotype" w:hAnsi="Palatino Linotype"/>
          <w:sz w:val="18"/>
          <w:szCs w:val="18"/>
          <w:lang w:val="en-US"/>
        </w:rPr>
        <w:t xml:space="preserve">, Published Online. </w:t>
      </w:r>
    </w:p>
    <w:p w14:paraId="7A84604C"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color w:val="212121"/>
          <w:sz w:val="18"/>
          <w:szCs w:val="18"/>
          <w:shd w:val="clear" w:color="auto" w:fill="FFFFFF"/>
        </w:rPr>
        <w:t>Colagrosso</w:t>
      </w:r>
      <w:proofErr w:type="spellEnd"/>
      <w:r w:rsidRPr="00FF1F5E">
        <w:rPr>
          <w:rFonts w:ascii="Palatino Linotype" w:hAnsi="Palatino Linotype"/>
          <w:color w:val="212121"/>
          <w:sz w:val="18"/>
          <w:szCs w:val="18"/>
          <w:shd w:val="clear" w:color="auto" w:fill="FFFFFF"/>
        </w:rPr>
        <w:t xml:space="preserve">, E., Fournier, P., Fitzpatrick, E. M., &amp; Hébert, S. (2019). A Qualitative Study on Factors Modulating Tinnitus Experience. </w:t>
      </w:r>
      <w:r w:rsidRPr="00FF1F5E">
        <w:rPr>
          <w:rFonts w:ascii="Palatino Linotype" w:hAnsi="Palatino Linotype"/>
          <w:i/>
          <w:iCs/>
          <w:color w:val="212121"/>
          <w:sz w:val="18"/>
          <w:szCs w:val="18"/>
          <w:shd w:val="clear" w:color="auto" w:fill="FFFFFF"/>
        </w:rPr>
        <w:t>Ear and hearing</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40</w:t>
      </w:r>
      <w:r w:rsidRPr="00FF1F5E">
        <w:rPr>
          <w:rFonts w:ascii="Palatino Linotype" w:hAnsi="Palatino Linotype"/>
          <w:color w:val="212121"/>
          <w:sz w:val="18"/>
          <w:szCs w:val="18"/>
          <w:shd w:val="clear" w:color="auto" w:fill="FFFFFF"/>
        </w:rPr>
        <w:t xml:space="preserve">(3), 636–644. </w:t>
      </w:r>
      <w:hyperlink r:id="rId20" w:history="1">
        <w:r w:rsidRPr="00FF1F5E">
          <w:rPr>
            <w:rStyle w:val="Hyperlink"/>
            <w:rFonts w:ascii="Palatino Linotype" w:hAnsi="Palatino Linotype"/>
            <w:sz w:val="18"/>
            <w:szCs w:val="18"/>
            <w:shd w:val="clear" w:color="auto" w:fill="FFFFFF"/>
            <w:lang w:val="en-US"/>
          </w:rPr>
          <w:t>https://doi.org/10.1097/AUD.0000000000000642</w:t>
        </w:r>
      </w:hyperlink>
      <w:r w:rsidRPr="00FF1F5E">
        <w:rPr>
          <w:rFonts w:ascii="Palatino Linotype" w:hAnsi="Palatino Linotype"/>
          <w:color w:val="212121"/>
          <w:sz w:val="18"/>
          <w:szCs w:val="18"/>
          <w:shd w:val="clear" w:color="auto" w:fill="FFFFFF"/>
        </w:rPr>
        <w:t xml:space="preserve"> </w:t>
      </w:r>
    </w:p>
    <w:p w14:paraId="436F42C3"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sz w:val="18"/>
          <w:szCs w:val="18"/>
        </w:rPr>
        <w:t>Danermark</w:t>
      </w:r>
      <w:proofErr w:type="spellEnd"/>
      <w:r w:rsidRPr="00FF1F5E">
        <w:rPr>
          <w:rFonts w:ascii="Palatino Linotype" w:hAnsi="Palatino Linotype"/>
          <w:sz w:val="18"/>
          <w:szCs w:val="18"/>
        </w:rPr>
        <w:t xml:space="preserve">, B., U. Englund, P. </w:t>
      </w:r>
      <w:proofErr w:type="spellStart"/>
      <w:r w:rsidRPr="00FF1F5E">
        <w:rPr>
          <w:rFonts w:ascii="Palatino Linotype" w:hAnsi="Palatino Linotype"/>
          <w:sz w:val="18"/>
          <w:szCs w:val="18"/>
        </w:rPr>
        <w:t>Germundsson</w:t>
      </w:r>
      <w:proofErr w:type="spellEnd"/>
      <w:r w:rsidRPr="00FF1F5E">
        <w:rPr>
          <w:rFonts w:ascii="Palatino Linotype" w:hAnsi="Palatino Linotype"/>
          <w:sz w:val="18"/>
          <w:szCs w:val="18"/>
        </w:rPr>
        <w:t xml:space="preserve">, and P. </w:t>
      </w:r>
      <w:proofErr w:type="spellStart"/>
      <w:r w:rsidRPr="00FF1F5E">
        <w:rPr>
          <w:rFonts w:ascii="Palatino Linotype" w:hAnsi="Palatino Linotype"/>
          <w:sz w:val="18"/>
          <w:szCs w:val="18"/>
        </w:rPr>
        <w:t>Ratinaud</w:t>
      </w:r>
      <w:proofErr w:type="spellEnd"/>
      <w:r w:rsidRPr="00FF1F5E">
        <w:rPr>
          <w:rFonts w:ascii="Palatino Linotype" w:hAnsi="Palatino Linotype"/>
          <w:sz w:val="18"/>
          <w:szCs w:val="18"/>
        </w:rPr>
        <w:t xml:space="preserve">. 2014. “French and Swedish Teachers’ Social Representations of Social Workers.” European Journal of Social Work 17 (4): 491–507. </w:t>
      </w:r>
      <w:hyperlink r:id="rId21" w:history="1">
        <w:r w:rsidRPr="00FF1F5E">
          <w:rPr>
            <w:rStyle w:val="Hyperlink"/>
            <w:rFonts w:ascii="Palatino Linotype" w:hAnsi="Palatino Linotype"/>
            <w:sz w:val="18"/>
            <w:szCs w:val="18"/>
            <w:lang w:val="en-US"/>
          </w:rPr>
          <w:t>https://</w:t>
        </w:r>
        <w:r w:rsidRPr="00FF1F5E">
          <w:rPr>
            <w:rStyle w:val="Hyperlink"/>
            <w:rFonts w:ascii="Palatino Linotype" w:hAnsi="Palatino Linotype"/>
            <w:sz w:val="18"/>
            <w:szCs w:val="18"/>
            <w:shd w:val="clear" w:color="auto" w:fill="FFFFFF"/>
            <w:lang w:val="en-US"/>
          </w:rPr>
          <w:t>doi.org/</w:t>
        </w:r>
        <w:r w:rsidRPr="00FF1F5E">
          <w:rPr>
            <w:rStyle w:val="Hyperlink"/>
            <w:rFonts w:ascii="Palatino Linotype" w:hAnsi="Palatino Linotype"/>
            <w:sz w:val="18"/>
            <w:szCs w:val="18"/>
            <w:lang w:val="en-US"/>
          </w:rPr>
          <w:t>10.1080/13691457. 2013.829803</w:t>
        </w:r>
      </w:hyperlink>
      <w:r w:rsidRPr="00FF1F5E">
        <w:rPr>
          <w:rFonts w:ascii="Palatino Linotype" w:hAnsi="Palatino Linotype"/>
          <w:sz w:val="18"/>
          <w:szCs w:val="18"/>
        </w:rPr>
        <w:t xml:space="preserve"> </w:t>
      </w:r>
    </w:p>
    <w:p w14:paraId="1E61161F"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sz w:val="18"/>
          <w:szCs w:val="18"/>
        </w:rPr>
        <w:t>Flament</w:t>
      </w:r>
      <w:proofErr w:type="spellEnd"/>
      <w:r w:rsidRPr="00FF1F5E">
        <w:rPr>
          <w:rFonts w:ascii="Palatino Linotype" w:hAnsi="Palatino Linotype"/>
          <w:sz w:val="18"/>
          <w:szCs w:val="18"/>
        </w:rPr>
        <w:t xml:space="preserve">, C. (1965). </w:t>
      </w:r>
      <w:proofErr w:type="spellStart"/>
      <w:r w:rsidRPr="00FF1F5E">
        <w:rPr>
          <w:rFonts w:ascii="Palatino Linotype" w:hAnsi="Palatino Linotype"/>
          <w:i/>
          <w:iCs/>
          <w:sz w:val="18"/>
          <w:szCs w:val="18"/>
        </w:rPr>
        <w:t>Theorie</w:t>
      </w:r>
      <w:proofErr w:type="spellEnd"/>
      <w:r w:rsidRPr="00FF1F5E">
        <w:rPr>
          <w:rFonts w:ascii="Palatino Linotype" w:hAnsi="Palatino Linotype"/>
          <w:i/>
          <w:iCs/>
          <w:sz w:val="18"/>
          <w:szCs w:val="18"/>
        </w:rPr>
        <w:t xml:space="preserve"> des </w:t>
      </w:r>
      <w:proofErr w:type="spellStart"/>
      <w:r w:rsidRPr="00FF1F5E">
        <w:rPr>
          <w:rFonts w:ascii="Palatino Linotype" w:hAnsi="Palatino Linotype"/>
          <w:i/>
          <w:iCs/>
          <w:sz w:val="18"/>
          <w:szCs w:val="18"/>
        </w:rPr>
        <w:t>Graphes</w:t>
      </w:r>
      <w:proofErr w:type="spellEnd"/>
      <w:r w:rsidRPr="00FF1F5E">
        <w:rPr>
          <w:rFonts w:ascii="Palatino Linotype" w:hAnsi="Palatino Linotype"/>
          <w:i/>
          <w:iCs/>
          <w:sz w:val="18"/>
          <w:szCs w:val="18"/>
        </w:rPr>
        <w:t xml:space="preserve"> et Structures </w:t>
      </w:r>
      <w:proofErr w:type="spellStart"/>
      <w:r w:rsidRPr="00FF1F5E">
        <w:rPr>
          <w:rFonts w:ascii="Palatino Linotype" w:hAnsi="Palatino Linotype"/>
          <w:i/>
          <w:iCs/>
          <w:sz w:val="18"/>
          <w:szCs w:val="18"/>
        </w:rPr>
        <w:t>Sociales</w:t>
      </w:r>
      <w:proofErr w:type="spellEnd"/>
      <w:r w:rsidRPr="00FF1F5E">
        <w:rPr>
          <w:rFonts w:ascii="Palatino Linotype" w:hAnsi="Palatino Linotype"/>
          <w:sz w:val="18"/>
          <w:szCs w:val="18"/>
        </w:rPr>
        <w:t xml:space="preserve">. Paris, France: Gauthier-Villars. </w:t>
      </w:r>
    </w:p>
    <w:p w14:paraId="0D9A7097"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color w:val="212121"/>
          <w:sz w:val="18"/>
          <w:szCs w:val="18"/>
          <w:shd w:val="clear" w:color="auto" w:fill="FFFFFF"/>
        </w:rPr>
        <w:lastRenderedPageBreak/>
        <w:t>Germundsson</w:t>
      </w:r>
      <w:proofErr w:type="spellEnd"/>
      <w:r w:rsidRPr="00FF1F5E">
        <w:rPr>
          <w:rFonts w:ascii="Palatino Linotype" w:hAnsi="Palatino Linotype"/>
          <w:color w:val="212121"/>
          <w:sz w:val="18"/>
          <w:szCs w:val="18"/>
          <w:shd w:val="clear" w:color="auto" w:fill="FFFFFF"/>
        </w:rPr>
        <w:t xml:space="preserve">, P., Manchaiah, V., </w:t>
      </w:r>
      <w:proofErr w:type="spellStart"/>
      <w:r w:rsidRPr="00FF1F5E">
        <w:rPr>
          <w:rFonts w:ascii="Palatino Linotype" w:hAnsi="Palatino Linotype"/>
          <w:color w:val="212121"/>
          <w:sz w:val="18"/>
          <w:szCs w:val="18"/>
          <w:shd w:val="clear" w:color="auto" w:fill="FFFFFF"/>
        </w:rPr>
        <w:t>Ratinaud</w:t>
      </w:r>
      <w:proofErr w:type="spellEnd"/>
      <w:r w:rsidRPr="00FF1F5E">
        <w:rPr>
          <w:rFonts w:ascii="Palatino Linotype" w:hAnsi="Palatino Linotype"/>
          <w:color w:val="212121"/>
          <w:sz w:val="18"/>
          <w:szCs w:val="18"/>
          <w:shd w:val="clear" w:color="auto" w:fill="FFFFFF"/>
        </w:rPr>
        <w:t xml:space="preserve">, P., </w:t>
      </w:r>
      <w:proofErr w:type="spellStart"/>
      <w:r w:rsidRPr="00FF1F5E">
        <w:rPr>
          <w:rFonts w:ascii="Palatino Linotype" w:hAnsi="Palatino Linotype"/>
          <w:color w:val="212121"/>
          <w:sz w:val="18"/>
          <w:szCs w:val="18"/>
          <w:shd w:val="clear" w:color="auto" w:fill="FFFFFF"/>
        </w:rPr>
        <w:t>Tympas</w:t>
      </w:r>
      <w:proofErr w:type="spellEnd"/>
      <w:r w:rsidRPr="00FF1F5E">
        <w:rPr>
          <w:rFonts w:ascii="Palatino Linotype" w:hAnsi="Palatino Linotype"/>
          <w:color w:val="212121"/>
          <w:sz w:val="18"/>
          <w:szCs w:val="18"/>
          <w:shd w:val="clear" w:color="auto" w:fill="FFFFFF"/>
        </w:rPr>
        <w:t xml:space="preserve">, A., &amp; </w:t>
      </w:r>
      <w:proofErr w:type="spellStart"/>
      <w:r w:rsidRPr="00FF1F5E">
        <w:rPr>
          <w:rFonts w:ascii="Palatino Linotype" w:hAnsi="Palatino Linotype"/>
          <w:color w:val="212121"/>
          <w:sz w:val="18"/>
          <w:szCs w:val="18"/>
          <w:shd w:val="clear" w:color="auto" w:fill="FFFFFF"/>
        </w:rPr>
        <w:t>Danermark</w:t>
      </w:r>
      <w:proofErr w:type="spellEnd"/>
      <w:r w:rsidRPr="00FF1F5E">
        <w:rPr>
          <w:rFonts w:ascii="Palatino Linotype" w:hAnsi="Palatino Linotype"/>
          <w:color w:val="212121"/>
          <w:sz w:val="18"/>
          <w:szCs w:val="18"/>
          <w:shd w:val="clear" w:color="auto" w:fill="FFFFFF"/>
        </w:rPr>
        <w:t xml:space="preserve">, B. (2018). Patterns in the social representation of "hearing loss" across countries: how do demographic factors influence this </w:t>
      </w:r>
      <w:proofErr w:type="gramStart"/>
      <w:r w:rsidRPr="00FF1F5E">
        <w:rPr>
          <w:rFonts w:ascii="Palatino Linotype" w:hAnsi="Palatino Linotype"/>
          <w:color w:val="212121"/>
          <w:sz w:val="18"/>
          <w:szCs w:val="18"/>
          <w:shd w:val="clear" w:color="auto" w:fill="FFFFFF"/>
        </w:rPr>
        <w:t>representation?.</w:t>
      </w:r>
      <w:proofErr w:type="gramEnd"/>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International Journal of Audiology</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57</w:t>
      </w:r>
      <w:r w:rsidRPr="00FF1F5E">
        <w:rPr>
          <w:rFonts w:ascii="Palatino Linotype" w:hAnsi="Palatino Linotype"/>
          <w:color w:val="212121"/>
          <w:sz w:val="18"/>
          <w:szCs w:val="18"/>
          <w:shd w:val="clear" w:color="auto" w:fill="FFFFFF"/>
        </w:rPr>
        <w:t xml:space="preserve">(12), 925–932. </w:t>
      </w:r>
      <w:hyperlink r:id="rId22" w:history="1">
        <w:r w:rsidRPr="00FF1F5E">
          <w:rPr>
            <w:rStyle w:val="Hyperlink"/>
            <w:rFonts w:ascii="Palatino Linotype" w:hAnsi="Palatino Linotype"/>
            <w:sz w:val="18"/>
            <w:szCs w:val="18"/>
            <w:shd w:val="clear" w:color="auto" w:fill="FFFFFF"/>
            <w:lang w:val="en-US"/>
          </w:rPr>
          <w:t>https://doi.org/10.1080/14992027.2018.1516894</w:t>
        </w:r>
      </w:hyperlink>
      <w:r w:rsidRPr="00FF1F5E">
        <w:rPr>
          <w:rFonts w:ascii="Palatino Linotype" w:hAnsi="Palatino Linotype"/>
          <w:color w:val="212121"/>
          <w:sz w:val="18"/>
          <w:szCs w:val="18"/>
          <w:shd w:val="clear" w:color="auto" w:fill="FFFFFF"/>
        </w:rPr>
        <w:t xml:space="preserve"> </w:t>
      </w:r>
    </w:p>
    <w:p w14:paraId="78DE15B6"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color w:val="212121"/>
          <w:sz w:val="18"/>
          <w:szCs w:val="18"/>
          <w:shd w:val="clear" w:color="auto" w:fill="FFFFFF"/>
        </w:rPr>
        <w:t>Graneheim</w:t>
      </w:r>
      <w:proofErr w:type="spellEnd"/>
      <w:r w:rsidRPr="00FF1F5E">
        <w:rPr>
          <w:rFonts w:ascii="Palatino Linotype" w:hAnsi="Palatino Linotype"/>
          <w:color w:val="212121"/>
          <w:sz w:val="18"/>
          <w:szCs w:val="18"/>
          <w:shd w:val="clear" w:color="auto" w:fill="FFFFFF"/>
        </w:rPr>
        <w:t xml:space="preserve">, U. H., &amp; </w:t>
      </w:r>
      <w:proofErr w:type="spellStart"/>
      <w:r w:rsidRPr="00FF1F5E">
        <w:rPr>
          <w:rFonts w:ascii="Palatino Linotype" w:hAnsi="Palatino Linotype"/>
          <w:color w:val="212121"/>
          <w:sz w:val="18"/>
          <w:szCs w:val="18"/>
          <w:shd w:val="clear" w:color="auto" w:fill="FFFFFF"/>
        </w:rPr>
        <w:t>Lundman</w:t>
      </w:r>
      <w:proofErr w:type="spellEnd"/>
      <w:r w:rsidRPr="00FF1F5E">
        <w:rPr>
          <w:rFonts w:ascii="Palatino Linotype" w:hAnsi="Palatino Linotype"/>
          <w:color w:val="212121"/>
          <w:sz w:val="18"/>
          <w:szCs w:val="18"/>
          <w:shd w:val="clear" w:color="auto" w:fill="FFFFFF"/>
        </w:rPr>
        <w:t xml:space="preserve">, B. (2004). Qualitative content analysis in nursing research: concepts, </w:t>
      </w:r>
      <w:proofErr w:type="gramStart"/>
      <w:r w:rsidRPr="00FF1F5E">
        <w:rPr>
          <w:rFonts w:ascii="Palatino Linotype" w:hAnsi="Palatino Linotype"/>
          <w:color w:val="212121"/>
          <w:sz w:val="18"/>
          <w:szCs w:val="18"/>
          <w:shd w:val="clear" w:color="auto" w:fill="FFFFFF"/>
        </w:rPr>
        <w:t>procedures</w:t>
      </w:r>
      <w:proofErr w:type="gramEnd"/>
      <w:r w:rsidRPr="00FF1F5E">
        <w:rPr>
          <w:rFonts w:ascii="Palatino Linotype" w:hAnsi="Palatino Linotype"/>
          <w:color w:val="212121"/>
          <w:sz w:val="18"/>
          <w:szCs w:val="18"/>
          <w:shd w:val="clear" w:color="auto" w:fill="FFFFFF"/>
        </w:rPr>
        <w:t xml:space="preserve"> and measures to achieve trustworthiness. </w:t>
      </w:r>
      <w:r w:rsidRPr="00FF1F5E">
        <w:rPr>
          <w:rFonts w:ascii="Palatino Linotype" w:hAnsi="Palatino Linotype"/>
          <w:i/>
          <w:iCs/>
          <w:color w:val="212121"/>
          <w:sz w:val="18"/>
          <w:szCs w:val="18"/>
          <w:shd w:val="clear" w:color="auto" w:fill="FFFFFF"/>
        </w:rPr>
        <w:t>Nurse Education Today</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24</w:t>
      </w:r>
      <w:r w:rsidRPr="00FF1F5E">
        <w:rPr>
          <w:rFonts w:ascii="Palatino Linotype" w:hAnsi="Palatino Linotype"/>
          <w:color w:val="212121"/>
          <w:sz w:val="18"/>
          <w:szCs w:val="18"/>
          <w:shd w:val="clear" w:color="auto" w:fill="FFFFFF"/>
        </w:rPr>
        <w:t xml:space="preserve">(2), 105–112. </w:t>
      </w:r>
      <w:hyperlink r:id="rId23" w:history="1">
        <w:r w:rsidRPr="00FF1F5E">
          <w:rPr>
            <w:rStyle w:val="Hyperlink"/>
            <w:rFonts w:ascii="Palatino Linotype" w:hAnsi="Palatino Linotype"/>
            <w:sz w:val="18"/>
            <w:szCs w:val="18"/>
            <w:shd w:val="clear" w:color="auto" w:fill="FFFFFF"/>
            <w:lang w:val="en-US"/>
          </w:rPr>
          <w:t>https://doi.org/10.1016/j.nedt.2003.10.001</w:t>
        </w:r>
      </w:hyperlink>
      <w:r w:rsidRPr="00FF1F5E">
        <w:rPr>
          <w:rFonts w:ascii="Palatino Linotype" w:hAnsi="Palatino Linotype"/>
          <w:color w:val="212121"/>
          <w:sz w:val="18"/>
          <w:szCs w:val="18"/>
          <w:shd w:val="clear" w:color="auto" w:fill="FFFFFF"/>
        </w:rPr>
        <w:t xml:space="preserve"> </w:t>
      </w:r>
    </w:p>
    <w:p w14:paraId="7AF3E48B"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sz w:val="18"/>
          <w:szCs w:val="18"/>
          <w:shd w:val="clear" w:color="auto" w:fill="FFFFFF"/>
        </w:rPr>
        <w:t>Handscomb</w:t>
      </w:r>
      <w:proofErr w:type="spellEnd"/>
      <w:r w:rsidRPr="00FF1F5E">
        <w:rPr>
          <w:rFonts w:ascii="Palatino Linotype" w:hAnsi="Palatino Linotype"/>
          <w:sz w:val="18"/>
          <w:szCs w:val="18"/>
          <w:shd w:val="clear" w:color="auto" w:fill="FFFFFF"/>
        </w:rPr>
        <w:t xml:space="preserve">, L. E., Hall, D. A., Shorter, G. W., &amp; Hoare, D. J. (2017). Positive and Negative Thinking in Tinnitus: Factor Structure of the Tinnitus Cognitions Questionnaire. </w:t>
      </w:r>
      <w:r w:rsidRPr="00FF1F5E">
        <w:rPr>
          <w:rFonts w:ascii="Palatino Linotype" w:hAnsi="Palatino Linotype"/>
          <w:i/>
          <w:iCs/>
          <w:sz w:val="18"/>
          <w:szCs w:val="18"/>
          <w:shd w:val="clear" w:color="auto" w:fill="FFFFFF"/>
        </w:rPr>
        <w:t>Ear and Hearing</w:t>
      </w:r>
      <w:r w:rsidRPr="00FF1F5E">
        <w:rPr>
          <w:rFonts w:ascii="Palatino Linotype" w:hAnsi="Palatino Linotype"/>
          <w:sz w:val="18"/>
          <w:szCs w:val="18"/>
          <w:shd w:val="clear" w:color="auto" w:fill="FFFFFF"/>
        </w:rPr>
        <w:t xml:space="preserve">, </w:t>
      </w:r>
      <w:r w:rsidRPr="00FF1F5E">
        <w:rPr>
          <w:rFonts w:ascii="Palatino Linotype" w:hAnsi="Palatino Linotype"/>
          <w:i/>
          <w:iCs/>
          <w:sz w:val="18"/>
          <w:szCs w:val="18"/>
          <w:shd w:val="clear" w:color="auto" w:fill="FFFFFF"/>
        </w:rPr>
        <w:t>38</w:t>
      </w:r>
      <w:r w:rsidRPr="00FF1F5E">
        <w:rPr>
          <w:rFonts w:ascii="Palatino Linotype" w:hAnsi="Palatino Linotype"/>
          <w:sz w:val="18"/>
          <w:szCs w:val="18"/>
          <w:shd w:val="clear" w:color="auto" w:fill="FFFFFF"/>
        </w:rPr>
        <w:t xml:space="preserve">(1), 126–132. </w:t>
      </w:r>
      <w:hyperlink r:id="rId24" w:history="1">
        <w:r w:rsidRPr="00FF1F5E">
          <w:rPr>
            <w:rStyle w:val="Hyperlink"/>
            <w:rFonts w:ascii="Palatino Linotype" w:hAnsi="Palatino Linotype"/>
            <w:sz w:val="18"/>
            <w:szCs w:val="18"/>
            <w:shd w:val="clear" w:color="auto" w:fill="FFFFFF"/>
            <w:lang w:val="en-US"/>
          </w:rPr>
          <w:t>https://doi.org/10.1097/AUD.0000000000000365</w:t>
        </w:r>
      </w:hyperlink>
      <w:r w:rsidRPr="00FF1F5E">
        <w:rPr>
          <w:rFonts w:ascii="Palatino Linotype" w:hAnsi="Palatino Linotype"/>
          <w:sz w:val="18"/>
          <w:szCs w:val="18"/>
          <w:shd w:val="clear" w:color="auto" w:fill="FFFFFF"/>
        </w:rPr>
        <w:t xml:space="preserve"> </w:t>
      </w:r>
    </w:p>
    <w:p w14:paraId="7993AB65"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sz w:val="18"/>
          <w:szCs w:val="18"/>
        </w:rPr>
        <w:t>Hovardas</w:t>
      </w:r>
      <w:proofErr w:type="spellEnd"/>
      <w:r w:rsidRPr="00FF1F5E">
        <w:rPr>
          <w:rFonts w:ascii="Palatino Linotype" w:hAnsi="Palatino Linotype"/>
          <w:sz w:val="18"/>
          <w:szCs w:val="18"/>
        </w:rPr>
        <w:t xml:space="preserve">, T., &amp; K. J. </w:t>
      </w:r>
      <w:proofErr w:type="spellStart"/>
      <w:r w:rsidRPr="00FF1F5E">
        <w:rPr>
          <w:rFonts w:ascii="Palatino Linotype" w:hAnsi="Palatino Linotype"/>
          <w:sz w:val="18"/>
          <w:szCs w:val="18"/>
        </w:rPr>
        <w:t>Korfiatis</w:t>
      </w:r>
      <w:proofErr w:type="spellEnd"/>
      <w:r w:rsidRPr="00FF1F5E">
        <w:rPr>
          <w:rFonts w:ascii="Palatino Linotype" w:hAnsi="Palatino Linotype"/>
          <w:sz w:val="18"/>
          <w:szCs w:val="18"/>
        </w:rPr>
        <w:t xml:space="preserve">. (2006). Word associations as a tool for assessing conceptual change in science education. </w:t>
      </w:r>
      <w:r w:rsidRPr="00FF1F5E">
        <w:rPr>
          <w:rFonts w:ascii="Palatino Linotype" w:hAnsi="Palatino Linotype"/>
          <w:i/>
          <w:iCs/>
          <w:sz w:val="18"/>
          <w:szCs w:val="18"/>
        </w:rPr>
        <w:t>Learning and Instruction</w:t>
      </w:r>
      <w:r w:rsidRPr="00FF1F5E">
        <w:rPr>
          <w:rFonts w:ascii="Palatino Linotype" w:hAnsi="Palatino Linotype"/>
          <w:sz w:val="18"/>
          <w:szCs w:val="18"/>
        </w:rPr>
        <w:t xml:space="preserve">, 16(5), 416–432. </w:t>
      </w:r>
      <w:hyperlink r:id="rId25" w:history="1">
        <w:r w:rsidRPr="00FF1F5E">
          <w:rPr>
            <w:rStyle w:val="Hyperlink"/>
            <w:rFonts w:ascii="Palatino Linotype" w:hAnsi="Palatino Linotype"/>
            <w:sz w:val="18"/>
            <w:szCs w:val="18"/>
            <w:lang w:val="en-US"/>
          </w:rPr>
          <w:t>https://</w:t>
        </w:r>
        <w:r w:rsidRPr="00FF1F5E">
          <w:rPr>
            <w:rStyle w:val="Hyperlink"/>
            <w:rFonts w:ascii="Palatino Linotype" w:hAnsi="Palatino Linotype"/>
            <w:sz w:val="18"/>
            <w:szCs w:val="18"/>
            <w:shd w:val="clear" w:color="auto" w:fill="FFFFFF"/>
            <w:lang w:val="en-US"/>
          </w:rPr>
          <w:t>doi.org/</w:t>
        </w:r>
        <w:r w:rsidRPr="00FF1F5E">
          <w:rPr>
            <w:rStyle w:val="Hyperlink"/>
            <w:rFonts w:ascii="Palatino Linotype" w:hAnsi="Palatino Linotype"/>
            <w:sz w:val="18"/>
            <w:szCs w:val="18"/>
            <w:lang w:val="en-US"/>
          </w:rPr>
          <w:t>10.1016/j.learninstruc.2006.09.003</w:t>
        </w:r>
      </w:hyperlink>
      <w:r w:rsidRPr="00FF1F5E">
        <w:rPr>
          <w:rFonts w:ascii="Palatino Linotype" w:hAnsi="Palatino Linotype"/>
          <w:color w:val="00007F"/>
          <w:sz w:val="18"/>
          <w:szCs w:val="18"/>
        </w:rPr>
        <w:t xml:space="preserve"> </w:t>
      </w:r>
    </w:p>
    <w:p w14:paraId="3123281F"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t xml:space="preserve">Kimball, S. H., Hamilton, T., </w:t>
      </w:r>
      <w:proofErr w:type="spellStart"/>
      <w:r w:rsidRPr="00FF1F5E">
        <w:rPr>
          <w:rFonts w:ascii="Palatino Linotype" w:hAnsi="Palatino Linotype"/>
          <w:color w:val="212121"/>
          <w:sz w:val="18"/>
          <w:szCs w:val="18"/>
          <w:shd w:val="clear" w:color="auto" w:fill="FFFFFF"/>
        </w:rPr>
        <w:t>Benear</w:t>
      </w:r>
      <w:proofErr w:type="spellEnd"/>
      <w:r w:rsidRPr="00FF1F5E">
        <w:rPr>
          <w:rFonts w:ascii="Palatino Linotype" w:hAnsi="Palatino Linotype"/>
          <w:color w:val="212121"/>
          <w:sz w:val="18"/>
          <w:szCs w:val="18"/>
          <w:shd w:val="clear" w:color="auto" w:fill="FFFFFF"/>
        </w:rPr>
        <w:t xml:space="preserve">, E., &amp; Baldwin, J. (2019). Determining Emotional Tone and Verbal Behavior in Patients </w:t>
      </w:r>
      <w:proofErr w:type="gramStart"/>
      <w:r w:rsidRPr="00FF1F5E">
        <w:rPr>
          <w:rFonts w:ascii="Palatino Linotype" w:hAnsi="Palatino Linotype"/>
          <w:color w:val="212121"/>
          <w:sz w:val="18"/>
          <w:szCs w:val="18"/>
          <w:shd w:val="clear" w:color="auto" w:fill="FFFFFF"/>
        </w:rPr>
        <w:t>With</w:t>
      </w:r>
      <w:proofErr w:type="gramEnd"/>
      <w:r w:rsidRPr="00FF1F5E">
        <w:rPr>
          <w:rFonts w:ascii="Palatino Linotype" w:hAnsi="Palatino Linotype"/>
          <w:color w:val="212121"/>
          <w:sz w:val="18"/>
          <w:szCs w:val="18"/>
          <w:shd w:val="clear" w:color="auto" w:fill="FFFFFF"/>
        </w:rPr>
        <w:t xml:space="preserve"> Tinnitus and Hyperacusis: An Exploratory Mixed-Methods Study. </w:t>
      </w:r>
      <w:r w:rsidRPr="00FF1F5E">
        <w:rPr>
          <w:rFonts w:ascii="Palatino Linotype" w:hAnsi="Palatino Linotype"/>
          <w:i/>
          <w:iCs/>
          <w:color w:val="212121"/>
          <w:sz w:val="18"/>
          <w:szCs w:val="18"/>
          <w:shd w:val="clear" w:color="auto" w:fill="FFFFFF"/>
        </w:rPr>
        <w:t>American Journal of Audiology</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28</w:t>
      </w:r>
      <w:r w:rsidRPr="00FF1F5E">
        <w:rPr>
          <w:rFonts w:ascii="Palatino Linotype" w:hAnsi="Palatino Linotype"/>
          <w:color w:val="212121"/>
          <w:sz w:val="18"/>
          <w:szCs w:val="18"/>
          <w:shd w:val="clear" w:color="auto" w:fill="FFFFFF"/>
        </w:rPr>
        <w:t xml:space="preserve">(3), 660–672. </w:t>
      </w:r>
      <w:hyperlink r:id="rId26" w:history="1">
        <w:r w:rsidRPr="00FF1F5E">
          <w:rPr>
            <w:rStyle w:val="Hyperlink"/>
            <w:rFonts w:ascii="Palatino Linotype" w:hAnsi="Palatino Linotype"/>
            <w:sz w:val="18"/>
            <w:szCs w:val="18"/>
            <w:shd w:val="clear" w:color="auto" w:fill="FFFFFF"/>
            <w:lang w:val="en-US"/>
          </w:rPr>
          <w:t>https://doi.org/10.1044/2019_AJA-18-0136</w:t>
        </w:r>
      </w:hyperlink>
      <w:r w:rsidRPr="00FF1F5E">
        <w:rPr>
          <w:rFonts w:ascii="Palatino Linotype" w:hAnsi="Palatino Linotype"/>
          <w:color w:val="212121"/>
          <w:sz w:val="18"/>
          <w:szCs w:val="18"/>
          <w:shd w:val="clear" w:color="auto" w:fill="FFFFFF"/>
        </w:rPr>
        <w:t xml:space="preserve"> </w:t>
      </w:r>
    </w:p>
    <w:p w14:paraId="60D1DA12" w14:textId="77777777" w:rsidR="00CA0DCD" w:rsidRPr="00FF1F5E" w:rsidRDefault="000F77EA" w:rsidP="00CA0DCD">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shd w:val="clear" w:color="auto" w:fill="FFFFFF"/>
        </w:rPr>
        <w:t xml:space="preserve">Kroenke, K., Spitzer, R. L., &amp; Williams, J. B. (2001). The PHQ-9: Validity of a brief depression severity measure. </w:t>
      </w:r>
      <w:r w:rsidRPr="00FF1F5E">
        <w:rPr>
          <w:rFonts w:ascii="Palatino Linotype" w:hAnsi="Palatino Linotype"/>
          <w:i/>
          <w:iCs/>
          <w:sz w:val="18"/>
          <w:szCs w:val="18"/>
          <w:shd w:val="clear" w:color="auto" w:fill="FFFFFF"/>
        </w:rPr>
        <w:t>Journal of General Internal Medicine</w:t>
      </w:r>
      <w:r w:rsidRPr="00FF1F5E">
        <w:rPr>
          <w:rFonts w:ascii="Palatino Linotype" w:hAnsi="Palatino Linotype"/>
          <w:sz w:val="18"/>
          <w:szCs w:val="18"/>
          <w:shd w:val="clear" w:color="auto" w:fill="FFFFFF"/>
        </w:rPr>
        <w:t xml:space="preserve">, </w:t>
      </w:r>
      <w:r w:rsidRPr="00FF1F5E">
        <w:rPr>
          <w:rFonts w:ascii="Palatino Linotype" w:hAnsi="Palatino Linotype"/>
          <w:i/>
          <w:iCs/>
          <w:sz w:val="18"/>
          <w:szCs w:val="18"/>
          <w:shd w:val="clear" w:color="auto" w:fill="FFFFFF"/>
        </w:rPr>
        <w:t>16</w:t>
      </w:r>
      <w:r w:rsidRPr="00FF1F5E">
        <w:rPr>
          <w:rFonts w:ascii="Palatino Linotype" w:hAnsi="Palatino Linotype"/>
          <w:sz w:val="18"/>
          <w:szCs w:val="18"/>
          <w:shd w:val="clear" w:color="auto" w:fill="FFFFFF"/>
        </w:rPr>
        <w:t xml:space="preserve">(9), 606–613. </w:t>
      </w:r>
      <w:hyperlink r:id="rId27" w:history="1">
        <w:r w:rsidRPr="00FF1F5E">
          <w:rPr>
            <w:rStyle w:val="Hyperlink"/>
            <w:rFonts w:ascii="Palatino Linotype" w:hAnsi="Palatino Linotype"/>
            <w:sz w:val="18"/>
            <w:szCs w:val="18"/>
            <w:shd w:val="clear" w:color="auto" w:fill="FFFFFF"/>
            <w:lang w:val="en-US"/>
          </w:rPr>
          <w:t>https://doi.org/10.1046/j.1525-1497.2001.016009606.x</w:t>
        </w:r>
      </w:hyperlink>
      <w:r w:rsidRPr="00FF1F5E">
        <w:rPr>
          <w:rFonts w:ascii="Palatino Linotype" w:hAnsi="Palatino Linotype"/>
          <w:sz w:val="18"/>
          <w:szCs w:val="18"/>
          <w:shd w:val="clear" w:color="auto" w:fill="FFFFFF"/>
        </w:rPr>
        <w:t xml:space="preserve"> </w:t>
      </w:r>
    </w:p>
    <w:p w14:paraId="2F261AAE" w14:textId="1B1D0FBA" w:rsidR="00CA0DCD" w:rsidRPr="00FF1F5E" w:rsidRDefault="00CA0DCD" w:rsidP="00CA0DCD">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Loughlin, A., Das, V., Manchaiah, V., Beukes, E.W., Andersson, G., &amp; Shekhawat, R.S. (</w:t>
      </w:r>
      <w:r w:rsidR="00647511" w:rsidRPr="00FF1F5E">
        <w:rPr>
          <w:rFonts w:ascii="Palatino Linotype" w:hAnsi="Palatino Linotype"/>
          <w:sz w:val="18"/>
          <w:szCs w:val="18"/>
        </w:rPr>
        <w:t>2023</w:t>
      </w:r>
      <w:r w:rsidRPr="00FF1F5E">
        <w:rPr>
          <w:rFonts w:ascii="Palatino Linotype" w:hAnsi="Palatino Linotype"/>
          <w:sz w:val="18"/>
          <w:szCs w:val="18"/>
        </w:rPr>
        <w:t xml:space="preserve">). The positive side of living with tinnitus: A cross-sectional study. </w:t>
      </w:r>
      <w:r w:rsidRPr="00FF1F5E">
        <w:rPr>
          <w:rFonts w:ascii="Palatino Linotype" w:hAnsi="Palatino Linotype"/>
          <w:i/>
          <w:iCs/>
          <w:sz w:val="18"/>
          <w:szCs w:val="18"/>
        </w:rPr>
        <w:t>International Journal of Audiology</w:t>
      </w:r>
      <w:r w:rsidR="00647511" w:rsidRPr="00FF1F5E">
        <w:rPr>
          <w:rFonts w:ascii="Palatino Linotype" w:hAnsi="Palatino Linotype"/>
          <w:sz w:val="18"/>
          <w:szCs w:val="18"/>
        </w:rPr>
        <w:t xml:space="preserve">, Under Review. </w:t>
      </w:r>
      <w:r w:rsidRPr="00FF1F5E">
        <w:rPr>
          <w:rFonts w:ascii="Palatino Linotype" w:hAnsi="Palatino Linotype"/>
          <w:sz w:val="18"/>
          <w:szCs w:val="18"/>
        </w:rPr>
        <w:t xml:space="preserve"> </w:t>
      </w:r>
    </w:p>
    <w:p w14:paraId="6668F028"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t xml:space="preserve">Manchaiah, V., Baguley, D. M., </w:t>
      </w:r>
      <w:proofErr w:type="spellStart"/>
      <w:r w:rsidRPr="00FF1F5E">
        <w:rPr>
          <w:rFonts w:ascii="Palatino Linotype" w:hAnsi="Palatino Linotype"/>
          <w:color w:val="212121"/>
          <w:sz w:val="18"/>
          <w:szCs w:val="18"/>
          <w:shd w:val="clear" w:color="auto" w:fill="FFFFFF"/>
        </w:rPr>
        <w:t>Pyykkö</w:t>
      </w:r>
      <w:proofErr w:type="spellEnd"/>
      <w:r w:rsidRPr="00FF1F5E">
        <w:rPr>
          <w:rFonts w:ascii="Palatino Linotype" w:hAnsi="Palatino Linotype"/>
          <w:color w:val="212121"/>
          <w:sz w:val="18"/>
          <w:szCs w:val="18"/>
          <w:shd w:val="clear" w:color="auto" w:fill="FFFFFF"/>
        </w:rPr>
        <w:t xml:space="preserve">, I., </w:t>
      </w:r>
      <w:proofErr w:type="spellStart"/>
      <w:r w:rsidRPr="00FF1F5E">
        <w:rPr>
          <w:rFonts w:ascii="Palatino Linotype" w:hAnsi="Palatino Linotype"/>
          <w:color w:val="212121"/>
          <w:sz w:val="18"/>
          <w:szCs w:val="18"/>
          <w:shd w:val="clear" w:color="auto" w:fill="FFFFFF"/>
        </w:rPr>
        <w:t>Kentala</w:t>
      </w:r>
      <w:proofErr w:type="spellEnd"/>
      <w:r w:rsidRPr="00FF1F5E">
        <w:rPr>
          <w:rFonts w:ascii="Palatino Linotype" w:hAnsi="Palatino Linotype"/>
          <w:color w:val="212121"/>
          <w:sz w:val="18"/>
          <w:szCs w:val="18"/>
          <w:shd w:val="clear" w:color="auto" w:fill="FFFFFF"/>
        </w:rPr>
        <w:t xml:space="preserve">, E., &amp; </w:t>
      </w:r>
      <w:proofErr w:type="spellStart"/>
      <w:r w:rsidRPr="00FF1F5E">
        <w:rPr>
          <w:rFonts w:ascii="Palatino Linotype" w:hAnsi="Palatino Linotype"/>
          <w:color w:val="212121"/>
          <w:sz w:val="18"/>
          <w:szCs w:val="18"/>
          <w:shd w:val="clear" w:color="auto" w:fill="FFFFFF"/>
        </w:rPr>
        <w:t>Levo</w:t>
      </w:r>
      <w:proofErr w:type="spellEnd"/>
      <w:r w:rsidRPr="00FF1F5E">
        <w:rPr>
          <w:rFonts w:ascii="Palatino Linotype" w:hAnsi="Palatino Linotype"/>
          <w:color w:val="212121"/>
          <w:sz w:val="18"/>
          <w:szCs w:val="18"/>
          <w:shd w:val="clear" w:color="auto" w:fill="FFFFFF"/>
        </w:rPr>
        <w:t xml:space="preserve">, H. (2015a). Positive experiences associated with acquired hearing loss, Ménière's disease, and tinnitus: a review. </w:t>
      </w:r>
      <w:r w:rsidRPr="00FF1F5E">
        <w:rPr>
          <w:rFonts w:ascii="Palatino Linotype" w:hAnsi="Palatino Linotype"/>
          <w:i/>
          <w:iCs/>
          <w:color w:val="212121"/>
          <w:sz w:val="18"/>
          <w:szCs w:val="18"/>
          <w:shd w:val="clear" w:color="auto" w:fill="FFFFFF"/>
        </w:rPr>
        <w:t>International journal of audiology</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54</w:t>
      </w:r>
      <w:r w:rsidRPr="00FF1F5E">
        <w:rPr>
          <w:rFonts w:ascii="Palatino Linotype" w:hAnsi="Palatino Linotype"/>
          <w:color w:val="212121"/>
          <w:sz w:val="18"/>
          <w:szCs w:val="18"/>
          <w:shd w:val="clear" w:color="auto" w:fill="FFFFFF"/>
        </w:rPr>
        <w:t xml:space="preserve">(1), 1–10. </w:t>
      </w:r>
      <w:hyperlink r:id="rId28" w:history="1">
        <w:r w:rsidRPr="00FF1F5E">
          <w:rPr>
            <w:rStyle w:val="Hyperlink"/>
            <w:rFonts w:ascii="Palatino Linotype" w:hAnsi="Palatino Linotype"/>
            <w:sz w:val="18"/>
            <w:szCs w:val="18"/>
            <w:shd w:val="clear" w:color="auto" w:fill="FFFFFF"/>
            <w:lang w:val="en-US"/>
          </w:rPr>
          <w:t>https://doi.org/10.3109/14992027.2014.953217</w:t>
        </w:r>
      </w:hyperlink>
      <w:r w:rsidRPr="00FF1F5E">
        <w:rPr>
          <w:rFonts w:ascii="Palatino Linotype" w:hAnsi="Palatino Linotype"/>
          <w:color w:val="212121"/>
          <w:sz w:val="18"/>
          <w:szCs w:val="18"/>
          <w:shd w:val="clear" w:color="auto" w:fill="FFFFFF"/>
        </w:rPr>
        <w:t xml:space="preserve"> </w:t>
      </w:r>
    </w:p>
    <w:p w14:paraId="62D21136"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val="en-US"/>
        </w:rPr>
      </w:pPr>
      <w:r w:rsidRPr="00FF1F5E">
        <w:rPr>
          <w:rFonts w:ascii="Palatino Linotype" w:hAnsi="Palatino Linotype"/>
          <w:sz w:val="18"/>
          <w:szCs w:val="18"/>
          <w:lang w:val="en-US"/>
        </w:rPr>
        <w:t xml:space="preserve">Manchaiah, V., </w:t>
      </w:r>
      <w:proofErr w:type="spellStart"/>
      <w:r w:rsidRPr="00FF1F5E">
        <w:rPr>
          <w:rFonts w:ascii="Palatino Linotype" w:hAnsi="Palatino Linotype"/>
          <w:sz w:val="18"/>
          <w:szCs w:val="18"/>
          <w:lang w:val="en-US"/>
        </w:rPr>
        <w:t>Danermark</w:t>
      </w:r>
      <w:proofErr w:type="spellEnd"/>
      <w:r w:rsidRPr="00FF1F5E">
        <w:rPr>
          <w:rFonts w:ascii="Palatino Linotype" w:hAnsi="Palatino Linotype"/>
          <w:sz w:val="18"/>
          <w:szCs w:val="18"/>
          <w:lang w:val="en-US"/>
        </w:rPr>
        <w:t xml:space="preserve">, B., Ahmadi, T., Tomé, D., Rajalakshmi, K., Zhao, F., Li, Q. &amp; </w:t>
      </w:r>
      <w:proofErr w:type="spellStart"/>
      <w:r w:rsidRPr="00FF1F5E">
        <w:rPr>
          <w:rFonts w:ascii="Palatino Linotype" w:hAnsi="Palatino Linotype"/>
          <w:sz w:val="18"/>
          <w:szCs w:val="18"/>
          <w:lang w:val="en-US"/>
        </w:rPr>
        <w:t>Germundsson</w:t>
      </w:r>
      <w:proofErr w:type="spellEnd"/>
      <w:r w:rsidRPr="00FF1F5E">
        <w:rPr>
          <w:rFonts w:ascii="Palatino Linotype" w:hAnsi="Palatino Linotype"/>
          <w:sz w:val="18"/>
          <w:szCs w:val="18"/>
          <w:lang w:val="en-US"/>
        </w:rPr>
        <w:t xml:space="preserve">, P. (2015b). Social representation of ‘hearing loss’: Cross-cultural exploratory study in India, Iran, </w:t>
      </w:r>
      <w:proofErr w:type="gramStart"/>
      <w:r w:rsidRPr="00FF1F5E">
        <w:rPr>
          <w:rFonts w:ascii="Palatino Linotype" w:hAnsi="Palatino Linotype"/>
          <w:sz w:val="18"/>
          <w:szCs w:val="18"/>
          <w:lang w:val="en-US"/>
        </w:rPr>
        <w:t>Portugal</w:t>
      </w:r>
      <w:proofErr w:type="gramEnd"/>
      <w:r w:rsidRPr="00FF1F5E">
        <w:rPr>
          <w:rFonts w:ascii="Palatino Linotype" w:hAnsi="Palatino Linotype"/>
          <w:sz w:val="18"/>
          <w:szCs w:val="18"/>
          <w:lang w:val="en-US"/>
        </w:rPr>
        <w:t xml:space="preserve"> and United Kingdom. </w:t>
      </w:r>
      <w:r w:rsidRPr="00FF1F5E">
        <w:rPr>
          <w:rFonts w:ascii="Palatino Linotype" w:hAnsi="Palatino Linotype"/>
          <w:i/>
          <w:sz w:val="18"/>
          <w:szCs w:val="18"/>
          <w:lang w:val="en-US"/>
        </w:rPr>
        <w:t xml:space="preserve">Clinical Interventions in Aging, </w:t>
      </w:r>
      <w:r w:rsidRPr="00FF1F5E">
        <w:rPr>
          <w:rFonts w:ascii="Palatino Linotype" w:hAnsi="Palatino Linotype"/>
          <w:sz w:val="18"/>
          <w:szCs w:val="18"/>
          <w:lang w:val="en-US"/>
        </w:rPr>
        <w:t xml:space="preserve">10, 1857-1872. DOI </w:t>
      </w:r>
      <w:hyperlink r:id="rId29" w:history="1">
        <w:r w:rsidRPr="00FF1F5E">
          <w:rPr>
            <w:rStyle w:val="Hyperlink"/>
            <w:rFonts w:ascii="Palatino Linotype" w:hAnsi="Palatino Linotype"/>
            <w:sz w:val="18"/>
            <w:szCs w:val="18"/>
            <w:lang w:val="en-US"/>
          </w:rPr>
          <w:t>http://dx.doi.org/10.2147/CIA.S91076</w:t>
        </w:r>
      </w:hyperlink>
      <w:r w:rsidRPr="00FF1F5E">
        <w:rPr>
          <w:rFonts w:ascii="Palatino Linotype" w:hAnsi="Palatino Linotype"/>
          <w:sz w:val="18"/>
          <w:szCs w:val="18"/>
          <w:lang w:val="en-US"/>
        </w:rPr>
        <w:t xml:space="preserve"> </w:t>
      </w:r>
    </w:p>
    <w:p w14:paraId="2FEB26ED"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val="en-US"/>
        </w:rPr>
      </w:pPr>
      <w:r w:rsidRPr="00FF1F5E">
        <w:rPr>
          <w:rFonts w:ascii="Palatino Linotype" w:hAnsi="Palatino Linotype"/>
          <w:sz w:val="18"/>
          <w:szCs w:val="18"/>
          <w:lang w:val="en-US"/>
        </w:rPr>
        <w:t xml:space="preserve">Manchaiah, V., </w:t>
      </w:r>
      <w:proofErr w:type="spellStart"/>
      <w:r w:rsidRPr="00FF1F5E">
        <w:rPr>
          <w:rFonts w:ascii="Palatino Linotype" w:hAnsi="Palatino Linotype"/>
          <w:sz w:val="18"/>
          <w:szCs w:val="18"/>
          <w:lang w:val="en-US"/>
        </w:rPr>
        <w:t>Danermark</w:t>
      </w:r>
      <w:proofErr w:type="spellEnd"/>
      <w:r w:rsidRPr="00FF1F5E">
        <w:rPr>
          <w:rFonts w:ascii="Palatino Linotype" w:hAnsi="Palatino Linotype"/>
          <w:sz w:val="18"/>
          <w:szCs w:val="18"/>
          <w:lang w:val="en-US"/>
        </w:rPr>
        <w:t xml:space="preserve">, B., Vinay., Ahmadi, T., Tomé, D., Rajalakshmi, K., &amp; </w:t>
      </w:r>
      <w:proofErr w:type="spellStart"/>
      <w:r w:rsidRPr="00FF1F5E">
        <w:rPr>
          <w:rFonts w:ascii="Palatino Linotype" w:hAnsi="Palatino Linotype"/>
          <w:sz w:val="18"/>
          <w:szCs w:val="18"/>
          <w:lang w:val="en-US"/>
        </w:rPr>
        <w:t>Germundsson</w:t>
      </w:r>
      <w:proofErr w:type="spellEnd"/>
      <w:r w:rsidRPr="00FF1F5E">
        <w:rPr>
          <w:rFonts w:ascii="Palatino Linotype" w:hAnsi="Palatino Linotype"/>
          <w:sz w:val="18"/>
          <w:szCs w:val="18"/>
          <w:lang w:val="en-US"/>
        </w:rPr>
        <w:t>, P. (</w:t>
      </w:r>
      <w:r w:rsidRPr="00FF1F5E">
        <w:rPr>
          <w:rStyle w:val="personname"/>
          <w:rFonts w:ascii="Palatino Linotype" w:hAnsi="Palatino Linotype"/>
          <w:sz w:val="18"/>
          <w:szCs w:val="18"/>
          <w:lang w:val="en-US"/>
        </w:rPr>
        <w:t>2015c</w:t>
      </w:r>
      <w:r w:rsidRPr="00FF1F5E">
        <w:rPr>
          <w:rFonts w:ascii="Palatino Linotype" w:hAnsi="Palatino Linotype"/>
          <w:sz w:val="18"/>
          <w:szCs w:val="18"/>
          <w:lang w:val="en-US"/>
        </w:rPr>
        <w:t xml:space="preserve">). Social representation of ‘hearing aids’: Cross-cultural study in India, Iran, </w:t>
      </w:r>
      <w:proofErr w:type="gramStart"/>
      <w:r w:rsidRPr="00FF1F5E">
        <w:rPr>
          <w:rFonts w:ascii="Palatino Linotype" w:hAnsi="Palatino Linotype"/>
          <w:sz w:val="18"/>
          <w:szCs w:val="18"/>
          <w:lang w:val="en-US"/>
        </w:rPr>
        <w:t>Portugal</w:t>
      </w:r>
      <w:proofErr w:type="gramEnd"/>
      <w:r w:rsidRPr="00FF1F5E">
        <w:rPr>
          <w:rFonts w:ascii="Palatino Linotype" w:hAnsi="Palatino Linotype"/>
          <w:sz w:val="18"/>
          <w:szCs w:val="18"/>
          <w:lang w:val="en-US"/>
        </w:rPr>
        <w:t xml:space="preserve"> and United Kingdom. </w:t>
      </w:r>
      <w:r w:rsidRPr="00FF1F5E">
        <w:rPr>
          <w:rFonts w:ascii="Palatino Linotype" w:hAnsi="Palatino Linotype"/>
          <w:i/>
          <w:sz w:val="18"/>
          <w:szCs w:val="18"/>
          <w:lang w:val="en-US"/>
        </w:rPr>
        <w:t>Clinical Interventions in Aging</w:t>
      </w:r>
      <w:r w:rsidRPr="00FF1F5E">
        <w:rPr>
          <w:rFonts w:ascii="Palatino Linotype" w:hAnsi="Palatino Linotype"/>
          <w:sz w:val="18"/>
          <w:szCs w:val="18"/>
          <w:lang w:val="en-US"/>
        </w:rPr>
        <w:t xml:space="preserve">, 10, 1601-1615. </w:t>
      </w:r>
      <w:hyperlink r:id="rId30" w:history="1">
        <w:r w:rsidRPr="00FF1F5E">
          <w:rPr>
            <w:rStyle w:val="Hyperlink"/>
            <w:rFonts w:ascii="Palatino Linotype" w:hAnsi="Palatino Linotype"/>
            <w:sz w:val="18"/>
            <w:szCs w:val="18"/>
            <w:lang w:val="en-US"/>
          </w:rPr>
          <w:t>http://dx.doi.org/10.2147/CIA.S86108</w:t>
        </w:r>
      </w:hyperlink>
      <w:r w:rsidRPr="00FF1F5E">
        <w:rPr>
          <w:rFonts w:ascii="Palatino Linotype" w:hAnsi="Palatino Linotype"/>
          <w:sz w:val="18"/>
          <w:szCs w:val="18"/>
          <w:lang w:val="en-US"/>
        </w:rPr>
        <w:t xml:space="preserve"> </w:t>
      </w:r>
      <w:r w:rsidRPr="00FF1F5E">
        <w:rPr>
          <w:rFonts w:ascii="Palatino Linotype" w:hAnsi="Palatino Linotype"/>
          <w:color w:val="FF0000"/>
          <w:sz w:val="18"/>
          <w:szCs w:val="18"/>
          <w:lang w:val="en-US"/>
        </w:rPr>
        <w:t xml:space="preserve"> </w:t>
      </w:r>
    </w:p>
    <w:p w14:paraId="6B41118F"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color w:val="333333"/>
          <w:sz w:val="18"/>
          <w:szCs w:val="18"/>
        </w:rPr>
      </w:pPr>
      <w:r w:rsidRPr="00FF1F5E">
        <w:rPr>
          <w:rFonts w:ascii="Palatino Linotype" w:hAnsi="Palatino Linotype"/>
          <w:sz w:val="18"/>
          <w:szCs w:val="18"/>
        </w:rPr>
        <w:t xml:space="preserve">Manchaiah, V., Zhao, F., Widen, S., </w:t>
      </w:r>
      <w:proofErr w:type="spellStart"/>
      <w:r w:rsidRPr="00FF1F5E">
        <w:rPr>
          <w:rFonts w:ascii="Palatino Linotype" w:hAnsi="Palatino Linotype"/>
          <w:sz w:val="18"/>
          <w:szCs w:val="18"/>
          <w:u w:val="single"/>
        </w:rPr>
        <w:t>Auzenne</w:t>
      </w:r>
      <w:proofErr w:type="spellEnd"/>
      <w:r w:rsidRPr="00FF1F5E">
        <w:rPr>
          <w:rFonts w:ascii="Palatino Linotype" w:hAnsi="Palatino Linotype"/>
          <w:sz w:val="18"/>
          <w:szCs w:val="18"/>
          <w:u w:val="single"/>
        </w:rPr>
        <w:t>, J.</w:t>
      </w:r>
      <w:r w:rsidRPr="00FF1F5E">
        <w:rPr>
          <w:rFonts w:ascii="Palatino Linotype" w:hAnsi="Palatino Linotype"/>
          <w:sz w:val="18"/>
          <w:szCs w:val="18"/>
        </w:rPr>
        <w:t xml:space="preserve">, Beukes, E.W., Ahmadi, T., Tomé, D., Mahadeva, D., Rajalakshmi, K. &amp; </w:t>
      </w:r>
      <w:proofErr w:type="spellStart"/>
      <w:r w:rsidRPr="00FF1F5E">
        <w:rPr>
          <w:rFonts w:ascii="Palatino Linotype" w:hAnsi="Palatino Linotype"/>
          <w:sz w:val="18"/>
          <w:szCs w:val="18"/>
        </w:rPr>
        <w:t>Germundsson</w:t>
      </w:r>
      <w:proofErr w:type="spellEnd"/>
      <w:r w:rsidRPr="00FF1F5E">
        <w:rPr>
          <w:rFonts w:ascii="Palatino Linotype" w:hAnsi="Palatino Linotype"/>
          <w:sz w:val="18"/>
          <w:szCs w:val="18"/>
        </w:rPr>
        <w:t>, P. (</w:t>
      </w:r>
      <w:r w:rsidRPr="00FF1F5E">
        <w:rPr>
          <w:rStyle w:val="personname"/>
          <w:rFonts w:ascii="Palatino Linotype" w:hAnsi="Palatino Linotype"/>
          <w:sz w:val="18"/>
          <w:szCs w:val="18"/>
          <w:lang w:val="en-US"/>
        </w:rPr>
        <w:t>2017a</w:t>
      </w:r>
      <w:r w:rsidRPr="00FF1F5E">
        <w:rPr>
          <w:rFonts w:ascii="Palatino Linotype" w:hAnsi="Palatino Linotype"/>
          <w:sz w:val="18"/>
          <w:szCs w:val="18"/>
        </w:rPr>
        <w:t xml:space="preserve">). Social representation of ‘music’ in young adults: A cross-cultural study. </w:t>
      </w:r>
      <w:r w:rsidRPr="00FF1F5E">
        <w:rPr>
          <w:rFonts w:ascii="Palatino Linotype" w:hAnsi="Palatino Linotype"/>
          <w:i/>
          <w:sz w:val="18"/>
          <w:szCs w:val="18"/>
        </w:rPr>
        <w:t>International Journal of Audiology</w:t>
      </w:r>
      <w:r w:rsidRPr="00FF1F5E">
        <w:rPr>
          <w:rFonts w:ascii="Palatino Linotype" w:hAnsi="Palatino Linotype"/>
          <w:sz w:val="18"/>
          <w:szCs w:val="18"/>
        </w:rPr>
        <w:t>, 56(1), 24-32.</w:t>
      </w:r>
      <w:r w:rsidRPr="00FF1F5E">
        <w:rPr>
          <w:rFonts w:ascii="Palatino Linotype" w:hAnsi="Palatino Linotype"/>
          <w:color w:val="FF0000"/>
          <w:sz w:val="18"/>
          <w:szCs w:val="18"/>
        </w:rPr>
        <w:t xml:space="preserve"> </w:t>
      </w:r>
      <w:hyperlink r:id="rId31" w:history="1">
        <w:r w:rsidRPr="00FF1F5E">
          <w:rPr>
            <w:rStyle w:val="Hyperlink"/>
            <w:rFonts w:ascii="Palatino Linotype" w:hAnsi="Palatino Linotype"/>
            <w:sz w:val="18"/>
            <w:szCs w:val="18"/>
            <w:lang w:val="en-US"/>
          </w:rPr>
          <w:t>https://doi.org/10.1080/14992027.2016.1227481</w:t>
        </w:r>
      </w:hyperlink>
    </w:p>
    <w:p w14:paraId="3A4B9562"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 xml:space="preserve">Manchaiah, V., Zhao, F., Widen, S., </w:t>
      </w:r>
      <w:proofErr w:type="spellStart"/>
      <w:r w:rsidRPr="00FF1F5E">
        <w:rPr>
          <w:rFonts w:ascii="Palatino Linotype" w:hAnsi="Palatino Linotype"/>
          <w:sz w:val="18"/>
          <w:szCs w:val="18"/>
          <w:u w:val="single"/>
        </w:rPr>
        <w:t>Auzenne</w:t>
      </w:r>
      <w:proofErr w:type="spellEnd"/>
      <w:r w:rsidRPr="00FF1F5E">
        <w:rPr>
          <w:rFonts w:ascii="Palatino Linotype" w:hAnsi="Palatino Linotype"/>
          <w:sz w:val="18"/>
          <w:szCs w:val="18"/>
          <w:u w:val="single"/>
        </w:rPr>
        <w:t>, J.</w:t>
      </w:r>
      <w:r w:rsidRPr="00FF1F5E">
        <w:rPr>
          <w:rFonts w:ascii="Palatino Linotype" w:hAnsi="Palatino Linotype"/>
          <w:sz w:val="18"/>
          <w:szCs w:val="18"/>
        </w:rPr>
        <w:t xml:space="preserve">, Beukes, E.W., Ahmadi, T., Tomé, D., Mahadeva, D., Rajalakshmi, K., &amp; </w:t>
      </w:r>
      <w:proofErr w:type="spellStart"/>
      <w:r w:rsidRPr="00FF1F5E">
        <w:rPr>
          <w:rFonts w:ascii="Palatino Linotype" w:hAnsi="Palatino Linotype"/>
          <w:sz w:val="18"/>
          <w:szCs w:val="18"/>
        </w:rPr>
        <w:t>Germundsson</w:t>
      </w:r>
      <w:proofErr w:type="spellEnd"/>
      <w:r w:rsidRPr="00FF1F5E">
        <w:rPr>
          <w:rFonts w:ascii="Palatino Linotype" w:hAnsi="Palatino Linotype"/>
          <w:sz w:val="18"/>
          <w:szCs w:val="18"/>
        </w:rPr>
        <w:t>, P. (</w:t>
      </w:r>
      <w:r w:rsidRPr="00FF1F5E">
        <w:rPr>
          <w:rStyle w:val="personname"/>
          <w:rFonts w:ascii="Palatino Linotype" w:hAnsi="Palatino Linotype"/>
          <w:sz w:val="18"/>
          <w:szCs w:val="18"/>
          <w:lang w:val="en-US"/>
        </w:rPr>
        <w:t>2017b</w:t>
      </w:r>
      <w:r w:rsidRPr="00FF1F5E">
        <w:rPr>
          <w:rFonts w:ascii="Palatino Linotype" w:hAnsi="Palatino Linotype"/>
          <w:sz w:val="18"/>
          <w:szCs w:val="18"/>
        </w:rPr>
        <w:t xml:space="preserve">). Social representation of ‘loud music’ in adolescents and young adults: A cross-cultural study. </w:t>
      </w:r>
      <w:r w:rsidRPr="00FF1F5E">
        <w:rPr>
          <w:rFonts w:ascii="Palatino Linotype" w:hAnsi="Palatino Linotype"/>
          <w:i/>
          <w:sz w:val="18"/>
          <w:szCs w:val="18"/>
        </w:rPr>
        <w:t>Journal of the American Academy of Audiology</w:t>
      </w:r>
      <w:r w:rsidRPr="00FF1F5E">
        <w:rPr>
          <w:rFonts w:ascii="Palatino Linotype" w:hAnsi="Palatino Linotype"/>
          <w:sz w:val="18"/>
          <w:szCs w:val="18"/>
        </w:rPr>
        <w:t xml:space="preserve">, 28(6), 522-533. </w:t>
      </w:r>
      <w:hyperlink r:id="rId32" w:history="1">
        <w:r w:rsidRPr="00FF1F5E">
          <w:rPr>
            <w:rStyle w:val="Hyperlink"/>
            <w:rFonts w:ascii="Palatino Linotype" w:hAnsi="Palatino Linotype"/>
            <w:sz w:val="18"/>
            <w:szCs w:val="18"/>
            <w:lang w:val="en-US"/>
          </w:rPr>
          <w:t>https://</w:t>
        </w:r>
        <w:r w:rsidRPr="00FF1F5E">
          <w:rPr>
            <w:rStyle w:val="Hyperlink"/>
            <w:rFonts w:ascii="Palatino Linotype" w:hAnsi="Palatino Linotype"/>
            <w:sz w:val="18"/>
            <w:szCs w:val="18"/>
            <w:shd w:val="clear" w:color="auto" w:fill="FFFFFF"/>
            <w:lang w:val="en-US"/>
          </w:rPr>
          <w:t>doi.org/10.3766/jaaa.16046</w:t>
        </w:r>
      </w:hyperlink>
      <w:r w:rsidRPr="00FF1F5E">
        <w:rPr>
          <w:rFonts w:ascii="Palatino Linotype" w:hAnsi="Palatino Linotype"/>
          <w:color w:val="000000"/>
          <w:sz w:val="18"/>
          <w:szCs w:val="18"/>
          <w:shd w:val="clear" w:color="auto" w:fill="FFFFFF"/>
        </w:rPr>
        <w:t xml:space="preserve"> </w:t>
      </w:r>
      <w:r w:rsidRPr="00FF1F5E">
        <w:rPr>
          <w:rFonts w:ascii="Palatino Linotype" w:hAnsi="Palatino Linotype"/>
          <w:sz w:val="18"/>
          <w:szCs w:val="18"/>
        </w:rPr>
        <w:t xml:space="preserve"> </w:t>
      </w:r>
    </w:p>
    <w:p w14:paraId="00AEA2F4"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t xml:space="preserve">Manchaiah, V., Beukes, E. W., </w:t>
      </w:r>
      <w:proofErr w:type="spellStart"/>
      <w:r w:rsidRPr="00FF1F5E">
        <w:rPr>
          <w:rFonts w:ascii="Palatino Linotype" w:hAnsi="Palatino Linotype"/>
          <w:color w:val="212121"/>
          <w:sz w:val="18"/>
          <w:szCs w:val="18"/>
          <w:shd w:val="clear" w:color="auto" w:fill="FFFFFF"/>
        </w:rPr>
        <w:t>Granberg</w:t>
      </w:r>
      <w:proofErr w:type="spellEnd"/>
      <w:r w:rsidRPr="00FF1F5E">
        <w:rPr>
          <w:rFonts w:ascii="Palatino Linotype" w:hAnsi="Palatino Linotype"/>
          <w:color w:val="212121"/>
          <w:sz w:val="18"/>
          <w:szCs w:val="18"/>
          <w:shd w:val="clear" w:color="auto" w:fill="FFFFFF"/>
        </w:rPr>
        <w:t xml:space="preserve">, S., </w:t>
      </w:r>
      <w:proofErr w:type="spellStart"/>
      <w:r w:rsidRPr="00FF1F5E">
        <w:rPr>
          <w:rFonts w:ascii="Palatino Linotype" w:hAnsi="Palatino Linotype"/>
          <w:color w:val="212121"/>
          <w:sz w:val="18"/>
          <w:szCs w:val="18"/>
          <w:shd w:val="clear" w:color="auto" w:fill="FFFFFF"/>
        </w:rPr>
        <w:t>Durisala</w:t>
      </w:r>
      <w:proofErr w:type="spellEnd"/>
      <w:r w:rsidRPr="00FF1F5E">
        <w:rPr>
          <w:rFonts w:ascii="Palatino Linotype" w:hAnsi="Palatino Linotype"/>
          <w:color w:val="212121"/>
          <w:sz w:val="18"/>
          <w:szCs w:val="18"/>
          <w:shd w:val="clear" w:color="auto" w:fill="FFFFFF"/>
        </w:rPr>
        <w:t xml:space="preserve">, N., Baguley, D. M., Allen, P. M., &amp; Andersson, G. (2018a). Problems and Life Effects Experienced by Tinnitus Research Study Volunteers: An Exploratory Study Using the ICF Classification. </w:t>
      </w:r>
      <w:r w:rsidRPr="00FF1F5E">
        <w:rPr>
          <w:rFonts w:ascii="Palatino Linotype" w:hAnsi="Palatino Linotype"/>
          <w:i/>
          <w:iCs/>
          <w:color w:val="212121"/>
          <w:sz w:val="18"/>
          <w:szCs w:val="18"/>
          <w:shd w:val="clear" w:color="auto" w:fill="FFFFFF"/>
        </w:rPr>
        <w:t>Journal of the American Academy of Audiology</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29</w:t>
      </w:r>
      <w:r w:rsidRPr="00FF1F5E">
        <w:rPr>
          <w:rFonts w:ascii="Palatino Linotype" w:hAnsi="Palatino Linotype"/>
          <w:color w:val="212121"/>
          <w:sz w:val="18"/>
          <w:szCs w:val="18"/>
          <w:shd w:val="clear" w:color="auto" w:fill="FFFFFF"/>
        </w:rPr>
        <w:t xml:space="preserve">(10), 936–947. </w:t>
      </w:r>
      <w:hyperlink r:id="rId33" w:history="1">
        <w:r w:rsidRPr="00FF1F5E">
          <w:rPr>
            <w:rStyle w:val="Hyperlink"/>
            <w:rFonts w:ascii="Palatino Linotype" w:hAnsi="Palatino Linotype"/>
            <w:sz w:val="18"/>
            <w:szCs w:val="18"/>
            <w:shd w:val="clear" w:color="auto" w:fill="FFFFFF"/>
            <w:lang w:val="en-US"/>
          </w:rPr>
          <w:t>https://doi.org/10.3766/jaaa.17094</w:t>
        </w:r>
      </w:hyperlink>
      <w:r w:rsidRPr="00FF1F5E">
        <w:rPr>
          <w:rFonts w:ascii="Palatino Linotype" w:hAnsi="Palatino Linotype"/>
          <w:color w:val="212121"/>
          <w:sz w:val="18"/>
          <w:szCs w:val="18"/>
          <w:shd w:val="clear" w:color="auto" w:fill="FFFFFF"/>
        </w:rPr>
        <w:t xml:space="preserve"> </w:t>
      </w:r>
    </w:p>
    <w:p w14:paraId="46AE0FA8"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 xml:space="preserve">Manchaiah, V., </w:t>
      </w:r>
      <w:proofErr w:type="spellStart"/>
      <w:r w:rsidRPr="00FF1F5E">
        <w:rPr>
          <w:rFonts w:ascii="Palatino Linotype" w:hAnsi="Palatino Linotype"/>
          <w:sz w:val="18"/>
          <w:szCs w:val="18"/>
        </w:rPr>
        <w:t>Ratinaud</w:t>
      </w:r>
      <w:proofErr w:type="spellEnd"/>
      <w:r w:rsidRPr="00FF1F5E">
        <w:rPr>
          <w:rFonts w:ascii="Palatino Linotype" w:hAnsi="Palatino Linotype"/>
          <w:sz w:val="18"/>
          <w:szCs w:val="18"/>
        </w:rPr>
        <w:t xml:space="preserve">, P., </w:t>
      </w:r>
      <w:proofErr w:type="spellStart"/>
      <w:r w:rsidRPr="00FF1F5E">
        <w:rPr>
          <w:rFonts w:ascii="Palatino Linotype" w:hAnsi="Palatino Linotype"/>
          <w:sz w:val="18"/>
          <w:szCs w:val="18"/>
        </w:rPr>
        <w:t>Tympas</w:t>
      </w:r>
      <w:proofErr w:type="spellEnd"/>
      <w:r w:rsidRPr="00FF1F5E">
        <w:rPr>
          <w:rFonts w:ascii="Palatino Linotype" w:hAnsi="Palatino Linotype"/>
          <w:sz w:val="18"/>
          <w:szCs w:val="18"/>
        </w:rPr>
        <w:t xml:space="preserve">, A., </w:t>
      </w:r>
      <w:proofErr w:type="spellStart"/>
      <w:r w:rsidRPr="00FF1F5E">
        <w:rPr>
          <w:rFonts w:ascii="Palatino Linotype" w:hAnsi="Palatino Linotype"/>
          <w:sz w:val="18"/>
          <w:szCs w:val="18"/>
        </w:rPr>
        <w:t>Danermark</w:t>
      </w:r>
      <w:proofErr w:type="spellEnd"/>
      <w:r w:rsidRPr="00FF1F5E">
        <w:rPr>
          <w:rFonts w:ascii="Palatino Linotype" w:hAnsi="Palatino Linotype"/>
          <w:sz w:val="18"/>
          <w:szCs w:val="18"/>
        </w:rPr>
        <w:t xml:space="preserve">, B. &amp; </w:t>
      </w:r>
      <w:proofErr w:type="spellStart"/>
      <w:r w:rsidRPr="00FF1F5E">
        <w:rPr>
          <w:rFonts w:ascii="Palatino Linotype" w:hAnsi="Palatino Linotype"/>
          <w:sz w:val="18"/>
          <w:szCs w:val="18"/>
        </w:rPr>
        <w:t>Germundsson</w:t>
      </w:r>
      <w:proofErr w:type="spellEnd"/>
      <w:r w:rsidRPr="00FF1F5E">
        <w:rPr>
          <w:rFonts w:ascii="Palatino Linotype" w:hAnsi="Palatino Linotype"/>
          <w:sz w:val="18"/>
          <w:szCs w:val="18"/>
        </w:rPr>
        <w:t>, P. (</w:t>
      </w:r>
      <w:r w:rsidRPr="00FF1F5E">
        <w:rPr>
          <w:rFonts w:ascii="Palatino Linotype" w:hAnsi="Palatino Linotype"/>
          <w:color w:val="000000"/>
          <w:sz w:val="18"/>
          <w:szCs w:val="18"/>
          <w:shd w:val="clear" w:color="auto" w:fill="FFFFFF"/>
        </w:rPr>
        <w:t>2018b</w:t>
      </w:r>
      <w:r w:rsidRPr="00FF1F5E">
        <w:rPr>
          <w:rFonts w:ascii="Palatino Linotype" w:hAnsi="Palatino Linotype"/>
          <w:sz w:val="18"/>
          <w:szCs w:val="18"/>
        </w:rPr>
        <w:t xml:space="preserve">). Examination of previously published data to identify patterns in the social representation of ‘hearing aids’ across countries. </w:t>
      </w:r>
      <w:r w:rsidRPr="00FF1F5E">
        <w:rPr>
          <w:rFonts w:ascii="Palatino Linotype" w:hAnsi="Palatino Linotype"/>
          <w:i/>
          <w:sz w:val="18"/>
          <w:szCs w:val="18"/>
        </w:rPr>
        <w:t>Journal of Audiology and Otology</w:t>
      </w:r>
      <w:r w:rsidRPr="00FF1F5E">
        <w:rPr>
          <w:rFonts w:ascii="Palatino Linotype" w:hAnsi="Palatino Linotype"/>
          <w:sz w:val="18"/>
          <w:szCs w:val="18"/>
        </w:rPr>
        <w:t xml:space="preserve">, 22(2), 96-104. </w:t>
      </w:r>
      <w:hyperlink r:id="rId34" w:history="1">
        <w:r w:rsidRPr="00FF1F5E">
          <w:rPr>
            <w:rStyle w:val="Hyperlink"/>
            <w:rFonts w:ascii="Palatino Linotype" w:hAnsi="Palatino Linotype"/>
            <w:spacing w:val="2"/>
            <w:sz w:val="18"/>
            <w:szCs w:val="18"/>
            <w:shd w:val="clear" w:color="auto" w:fill="FFFFFF"/>
            <w:lang w:val="en-US"/>
          </w:rPr>
          <w:t>https://doi.org/10.7874/jao.2017.00318</w:t>
        </w:r>
      </w:hyperlink>
      <w:r w:rsidRPr="00FF1F5E">
        <w:rPr>
          <w:rFonts w:ascii="Palatino Linotype" w:hAnsi="Palatino Linotype"/>
          <w:spacing w:val="2"/>
          <w:sz w:val="18"/>
          <w:szCs w:val="18"/>
          <w:shd w:val="clear" w:color="auto" w:fill="FFFFFF"/>
        </w:rPr>
        <w:t xml:space="preserve"> </w:t>
      </w:r>
    </w:p>
    <w:p w14:paraId="1E9B6F89"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lang w:val="en-US"/>
        </w:rPr>
      </w:pPr>
      <w:r w:rsidRPr="00FF1F5E">
        <w:rPr>
          <w:rFonts w:ascii="Palatino Linotype" w:hAnsi="Palatino Linotype"/>
          <w:sz w:val="18"/>
          <w:szCs w:val="18"/>
          <w:lang w:val="en-US"/>
        </w:rPr>
        <w:t xml:space="preserve">Manchaiah, V., </w:t>
      </w:r>
      <w:proofErr w:type="spellStart"/>
      <w:r w:rsidRPr="00FF1F5E">
        <w:rPr>
          <w:rFonts w:ascii="Palatino Linotype" w:hAnsi="Palatino Linotype"/>
          <w:sz w:val="18"/>
          <w:szCs w:val="18"/>
          <w:lang w:val="en-US"/>
        </w:rPr>
        <w:t>Danermark</w:t>
      </w:r>
      <w:proofErr w:type="spellEnd"/>
      <w:r w:rsidRPr="00FF1F5E">
        <w:rPr>
          <w:rFonts w:ascii="Palatino Linotype" w:hAnsi="Palatino Linotype"/>
          <w:sz w:val="18"/>
          <w:szCs w:val="18"/>
          <w:lang w:val="en-US"/>
        </w:rPr>
        <w:t xml:space="preserve">, B., </w:t>
      </w:r>
      <w:proofErr w:type="spellStart"/>
      <w:r w:rsidRPr="00FF1F5E">
        <w:rPr>
          <w:rFonts w:ascii="Palatino Linotype" w:hAnsi="Palatino Linotype"/>
          <w:sz w:val="18"/>
          <w:szCs w:val="18"/>
          <w:lang w:val="en-US"/>
        </w:rPr>
        <w:t>Ratinaud</w:t>
      </w:r>
      <w:proofErr w:type="spellEnd"/>
      <w:r w:rsidRPr="00FF1F5E">
        <w:rPr>
          <w:rFonts w:ascii="Palatino Linotype" w:hAnsi="Palatino Linotype"/>
          <w:sz w:val="18"/>
          <w:szCs w:val="18"/>
          <w:lang w:val="en-US"/>
        </w:rPr>
        <w:t xml:space="preserve">, P. &amp; </w:t>
      </w:r>
      <w:proofErr w:type="spellStart"/>
      <w:r w:rsidRPr="00FF1F5E">
        <w:rPr>
          <w:rFonts w:ascii="Palatino Linotype" w:hAnsi="Palatino Linotype"/>
          <w:sz w:val="18"/>
          <w:szCs w:val="18"/>
          <w:lang w:val="en-US"/>
        </w:rPr>
        <w:t>Germundsson</w:t>
      </w:r>
      <w:proofErr w:type="spellEnd"/>
      <w:r w:rsidRPr="00FF1F5E">
        <w:rPr>
          <w:rFonts w:ascii="Palatino Linotype" w:hAnsi="Palatino Linotype"/>
          <w:sz w:val="18"/>
          <w:szCs w:val="18"/>
          <w:lang w:val="en-US"/>
        </w:rPr>
        <w:t xml:space="preserve">, P. (2019). </w:t>
      </w:r>
      <w:r w:rsidRPr="00FF1F5E">
        <w:rPr>
          <w:rFonts w:ascii="Palatino Linotype" w:hAnsi="Palatino Linotype"/>
          <w:i/>
          <w:sz w:val="18"/>
          <w:szCs w:val="18"/>
          <w:shd w:val="clear" w:color="auto" w:fill="FFFFFF"/>
          <w:lang w:val="en-US"/>
        </w:rPr>
        <w:t>Disability and Social Representation Theory: The Case of Hearing Loss</w:t>
      </w:r>
      <w:r w:rsidRPr="00FF1F5E">
        <w:rPr>
          <w:rFonts w:ascii="Palatino Linotype" w:hAnsi="Palatino Linotype"/>
          <w:i/>
          <w:sz w:val="18"/>
          <w:szCs w:val="18"/>
          <w:lang w:val="en-US"/>
        </w:rPr>
        <w:t>.</w:t>
      </w:r>
      <w:r w:rsidRPr="00FF1F5E">
        <w:rPr>
          <w:rFonts w:ascii="Palatino Linotype" w:hAnsi="Palatino Linotype"/>
          <w:sz w:val="18"/>
          <w:szCs w:val="18"/>
          <w:lang w:val="en-US"/>
        </w:rPr>
        <w:t xml:space="preserve"> Oxon, UK: Routledge.</w:t>
      </w:r>
    </w:p>
    <w:p w14:paraId="4C128EFF"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t xml:space="preserve">Meikle, M. B., Henry, J. A., </w:t>
      </w:r>
      <w:proofErr w:type="spellStart"/>
      <w:r w:rsidRPr="00FF1F5E">
        <w:rPr>
          <w:rFonts w:ascii="Palatino Linotype" w:hAnsi="Palatino Linotype"/>
          <w:color w:val="212121"/>
          <w:sz w:val="18"/>
          <w:szCs w:val="18"/>
          <w:shd w:val="clear" w:color="auto" w:fill="FFFFFF"/>
        </w:rPr>
        <w:t>Griest</w:t>
      </w:r>
      <w:proofErr w:type="spellEnd"/>
      <w:r w:rsidRPr="00FF1F5E">
        <w:rPr>
          <w:rFonts w:ascii="Palatino Linotype" w:hAnsi="Palatino Linotype"/>
          <w:color w:val="212121"/>
          <w:sz w:val="18"/>
          <w:szCs w:val="18"/>
          <w:shd w:val="clear" w:color="auto" w:fill="FFFFFF"/>
        </w:rPr>
        <w:t xml:space="preserve">, S. E., Stewart, B. J., Abrams, H. B., McArdle, R., Myers, P. J., Newman, C. W., Sandridge, S., Turk, D. C., </w:t>
      </w:r>
      <w:proofErr w:type="spellStart"/>
      <w:r w:rsidRPr="00FF1F5E">
        <w:rPr>
          <w:rFonts w:ascii="Palatino Linotype" w:hAnsi="Palatino Linotype"/>
          <w:color w:val="212121"/>
          <w:sz w:val="18"/>
          <w:szCs w:val="18"/>
          <w:shd w:val="clear" w:color="auto" w:fill="FFFFFF"/>
        </w:rPr>
        <w:t>Folmer</w:t>
      </w:r>
      <w:proofErr w:type="spellEnd"/>
      <w:r w:rsidRPr="00FF1F5E">
        <w:rPr>
          <w:rFonts w:ascii="Palatino Linotype" w:hAnsi="Palatino Linotype"/>
          <w:color w:val="212121"/>
          <w:sz w:val="18"/>
          <w:szCs w:val="18"/>
          <w:shd w:val="clear" w:color="auto" w:fill="FFFFFF"/>
        </w:rPr>
        <w:t xml:space="preserve">, R. L., Frederick, E. J., House, J. W., Jacobson, G. P., Kinney, S. E., Martin, W. H., </w:t>
      </w:r>
      <w:proofErr w:type="spellStart"/>
      <w:r w:rsidRPr="00FF1F5E">
        <w:rPr>
          <w:rFonts w:ascii="Palatino Linotype" w:hAnsi="Palatino Linotype"/>
          <w:color w:val="212121"/>
          <w:sz w:val="18"/>
          <w:szCs w:val="18"/>
          <w:shd w:val="clear" w:color="auto" w:fill="FFFFFF"/>
        </w:rPr>
        <w:t>Nagler</w:t>
      </w:r>
      <w:proofErr w:type="spellEnd"/>
      <w:r w:rsidRPr="00FF1F5E">
        <w:rPr>
          <w:rFonts w:ascii="Palatino Linotype" w:hAnsi="Palatino Linotype"/>
          <w:color w:val="212121"/>
          <w:sz w:val="18"/>
          <w:szCs w:val="18"/>
          <w:shd w:val="clear" w:color="auto" w:fill="FFFFFF"/>
        </w:rPr>
        <w:t xml:space="preserve">, S. M., Reich, G. E., </w:t>
      </w:r>
      <w:proofErr w:type="spellStart"/>
      <w:r w:rsidRPr="00FF1F5E">
        <w:rPr>
          <w:rFonts w:ascii="Palatino Linotype" w:hAnsi="Palatino Linotype"/>
          <w:color w:val="212121"/>
          <w:sz w:val="18"/>
          <w:szCs w:val="18"/>
          <w:shd w:val="clear" w:color="auto" w:fill="FFFFFF"/>
        </w:rPr>
        <w:t>Searchfield</w:t>
      </w:r>
      <w:proofErr w:type="spellEnd"/>
      <w:r w:rsidRPr="00FF1F5E">
        <w:rPr>
          <w:rFonts w:ascii="Palatino Linotype" w:hAnsi="Palatino Linotype"/>
          <w:color w:val="212121"/>
          <w:sz w:val="18"/>
          <w:szCs w:val="18"/>
          <w:shd w:val="clear" w:color="auto" w:fill="FFFFFF"/>
        </w:rPr>
        <w:t xml:space="preserve">, G., … Vernon, J. A. (2012). The tinnitus functional index: development of a new clinical measure for chronic, intrusive tinnitus. </w:t>
      </w:r>
      <w:r w:rsidRPr="00FF1F5E">
        <w:rPr>
          <w:rFonts w:ascii="Palatino Linotype" w:hAnsi="Palatino Linotype"/>
          <w:i/>
          <w:iCs/>
          <w:color w:val="212121"/>
          <w:sz w:val="18"/>
          <w:szCs w:val="18"/>
          <w:shd w:val="clear" w:color="auto" w:fill="FFFFFF"/>
        </w:rPr>
        <w:t>Ear and Hearing</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33</w:t>
      </w:r>
      <w:r w:rsidRPr="00FF1F5E">
        <w:rPr>
          <w:rFonts w:ascii="Palatino Linotype" w:hAnsi="Palatino Linotype"/>
          <w:color w:val="212121"/>
          <w:sz w:val="18"/>
          <w:szCs w:val="18"/>
          <w:shd w:val="clear" w:color="auto" w:fill="FFFFFF"/>
        </w:rPr>
        <w:t xml:space="preserve">(2), 153–176. </w:t>
      </w:r>
      <w:hyperlink r:id="rId35" w:history="1">
        <w:r w:rsidRPr="00FF1F5E">
          <w:rPr>
            <w:rStyle w:val="Hyperlink"/>
            <w:rFonts w:ascii="Palatino Linotype" w:hAnsi="Palatino Linotype"/>
            <w:sz w:val="18"/>
            <w:szCs w:val="18"/>
            <w:shd w:val="clear" w:color="auto" w:fill="FFFFFF"/>
            <w:lang w:val="en-US"/>
          </w:rPr>
          <w:t>https://doi.org/10.1097/AUD.0b013e31822f67c0</w:t>
        </w:r>
      </w:hyperlink>
      <w:r w:rsidRPr="00FF1F5E">
        <w:rPr>
          <w:rFonts w:ascii="Palatino Linotype" w:hAnsi="Palatino Linotype"/>
          <w:color w:val="212121"/>
          <w:sz w:val="18"/>
          <w:szCs w:val="18"/>
          <w:shd w:val="clear" w:color="auto" w:fill="FFFFFF"/>
        </w:rPr>
        <w:t xml:space="preserve"> </w:t>
      </w:r>
    </w:p>
    <w:p w14:paraId="7F049743"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 xml:space="preserve">Moscovici, S. (1988). Notes towards a description of Social Representations. </w:t>
      </w:r>
      <w:r w:rsidRPr="00FF1F5E">
        <w:rPr>
          <w:rFonts w:ascii="Palatino Linotype" w:hAnsi="Palatino Linotype"/>
          <w:i/>
          <w:iCs/>
          <w:sz w:val="18"/>
          <w:szCs w:val="18"/>
        </w:rPr>
        <w:t>European Journal of Social Psychology</w:t>
      </w:r>
      <w:r w:rsidRPr="00FF1F5E">
        <w:rPr>
          <w:rFonts w:ascii="Palatino Linotype" w:hAnsi="Palatino Linotype"/>
          <w:sz w:val="18"/>
          <w:szCs w:val="18"/>
        </w:rPr>
        <w:t xml:space="preserve">, 18(3), 211–250. </w:t>
      </w:r>
      <w:hyperlink r:id="rId36" w:history="1">
        <w:r w:rsidRPr="00FF1F5E">
          <w:rPr>
            <w:rStyle w:val="Hyperlink"/>
            <w:rFonts w:ascii="Palatino Linotype" w:hAnsi="Palatino Linotype"/>
            <w:sz w:val="18"/>
            <w:szCs w:val="18"/>
            <w:lang w:val="en-US"/>
          </w:rPr>
          <w:t>https://</w:t>
        </w:r>
        <w:r w:rsidRPr="00FF1F5E">
          <w:rPr>
            <w:rStyle w:val="Hyperlink"/>
            <w:rFonts w:ascii="Palatino Linotype" w:hAnsi="Palatino Linotype"/>
            <w:sz w:val="18"/>
            <w:szCs w:val="18"/>
            <w:shd w:val="clear" w:color="auto" w:fill="FFFFFF"/>
            <w:lang w:val="en-US"/>
          </w:rPr>
          <w:t>doi.org/</w:t>
        </w:r>
        <w:r w:rsidRPr="00FF1F5E">
          <w:rPr>
            <w:rStyle w:val="Hyperlink"/>
            <w:rFonts w:ascii="Palatino Linotype" w:hAnsi="Palatino Linotype"/>
            <w:sz w:val="18"/>
            <w:szCs w:val="18"/>
            <w:lang w:val="en-US"/>
          </w:rPr>
          <w:t>10.1002/ejsp.2420180303</w:t>
        </w:r>
      </w:hyperlink>
      <w:r w:rsidRPr="00FF1F5E">
        <w:rPr>
          <w:rFonts w:ascii="Palatino Linotype" w:hAnsi="Palatino Linotype"/>
          <w:sz w:val="18"/>
          <w:szCs w:val="18"/>
        </w:rPr>
        <w:t xml:space="preserve">  </w:t>
      </w:r>
    </w:p>
    <w:p w14:paraId="6E2BE23E"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t xml:space="preserve">Rabin, R., &amp; de Charro, F. (2001). EQ-5D: a measure of health status from the </w:t>
      </w:r>
      <w:proofErr w:type="spellStart"/>
      <w:r w:rsidRPr="00FF1F5E">
        <w:rPr>
          <w:rFonts w:ascii="Palatino Linotype" w:hAnsi="Palatino Linotype"/>
          <w:color w:val="212121"/>
          <w:sz w:val="18"/>
          <w:szCs w:val="18"/>
          <w:shd w:val="clear" w:color="auto" w:fill="FFFFFF"/>
        </w:rPr>
        <w:t>EuroQol</w:t>
      </w:r>
      <w:proofErr w:type="spellEnd"/>
      <w:r w:rsidRPr="00FF1F5E">
        <w:rPr>
          <w:rFonts w:ascii="Palatino Linotype" w:hAnsi="Palatino Linotype"/>
          <w:color w:val="212121"/>
          <w:sz w:val="18"/>
          <w:szCs w:val="18"/>
          <w:shd w:val="clear" w:color="auto" w:fill="FFFFFF"/>
        </w:rPr>
        <w:t xml:space="preserve"> Group. </w:t>
      </w:r>
      <w:r w:rsidRPr="00FF1F5E">
        <w:rPr>
          <w:rFonts w:ascii="Palatino Linotype" w:hAnsi="Palatino Linotype"/>
          <w:i/>
          <w:iCs/>
          <w:color w:val="212121"/>
          <w:sz w:val="18"/>
          <w:szCs w:val="18"/>
          <w:shd w:val="clear" w:color="auto" w:fill="FFFFFF"/>
        </w:rPr>
        <w:t>Annals of Medicine</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33</w:t>
      </w:r>
      <w:r w:rsidRPr="00FF1F5E">
        <w:rPr>
          <w:rFonts w:ascii="Palatino Linotype" w:hAnsi="Palatino Linotype"/>
          <w:color w:val="212121"/>
          <w:sz w:val="18"/>
          <w:szCs w:val="18"/>
          <w:shd w:val="clear" w:color="auto" w:fill="FFFFFF"/>
        </w:rPr>
        <w:t xml:space="preserve">(5), 337–343. </w:t>
      </w:r>
      <w:hyperlink r:id="rId37" w:history="1">
        <w:r w:rsidRPr="00FF1F5E">
          <w:rPr>
            <w:rStyle w:val="Hyperlink"/>
            <w:rFonts w:ascii="Palatino Linotype" w:hAnsi="Palatino Linotype"/>
            <w:sz w:val="18"/>
            <w:szCs w:val="18"/>
            <w:shd w:val="clear" w:color="auto" w:fill="FFFFFF"/>
            <w:lang w:val="en-US"/>
          </w:rPr>
          <w:t>https://doi.org/10.3109/07853890109002087</w:t>
        </w:r>
      </w:hyperlink>
      <w:r w:rsidRPr="00FF1F5E">
        <w:rPr>
          <w:rFonts w:ascii="Palatino Linotype" w:hAnsi="Palatino Linotype"/>
          <w:color w:val="212121"/>
          <w:sz w:val="18"/>
          <w:szCs w:val="18"/>
          <w:shd w:val="clear" w:color="auto" w:fill="FFFFFF"/>
        </w:rPr>
        <w:t xml:space="preserve"> </w:t>
      </w:r>
    </w:p>
    <w:p w14:paraId="24935CEF"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color w:val="212121"/>
          <w:sz w:val="18"/>
          <w:szCs w:val="18"/>
          <w:shd w:val="clear" w:color="auto" w:fill="FFFFFF"/>
        </w:rPr>
        <w:t>Shargorodsky</w:t>
      </w:r>
      <w:proofErr w:type="spellEnd"/>
      <w:r w:rsidRPr="00FF1F5E">
        <w:rPr>
          <w:rFonts w:ascii="Palatino Linotype" w:hAnsi="Palatino Linotype"/>
          <w:color w:val="212121"/>
          <w:sz w:val="18"/>
          <w:szCs w:val="18"/>
          <w:shd w:val="clear" w:color="auto" w:fill="FFFFFF"/>
        </w:rPr>
        <w:t xml:space="preserve">, J., </w:t>
      </w:r>
      <w:proofErr w:type="spellStart"/>
      <w:r w:rsidRPr="00FF1F5E">
        <w:rPr>
          <w:rFonts w:ascii="Palatino Linotype" w:hAnsi="Palatino Linotype"/>
          <w:color w:val="212121"/>
          <w:sz w:val="18"/>
          <w:szCs w:val="18"/>
          <w:shd w:val="clear" w:color="auto" w:fill="FFFFFF"/>
        </w:rPr>
        <w:t>Curhan</w:t>
      </w:r>
      <w:proofErr w:type="spellEnd"/>
      <w:r w:rsidRPr="00FF1F5E">
        <w:rPr>
          <w:rFonts w:ascii="Palatino Linotype" w:hAnsi="Palatino Linotype"/>
          <w:color w:val="212121"/>
          <w:sz w:val="18"/>
          <w:szCs w:val="18"/>
          <w:shd w:val="clear" w:color="auto" w:fill="FFFFFF"/>
        </w:rPr>
        <w:t xml:space="preserve">, G. C., &amp; Farwell, W. R. (2010). Prevalence and characteristics of tinnitus among US adults. </w:t>
      </w:r>
      <w:r w:rsidRPr="00FF1F5E">
        <w:rPr>
          <w:rFonts w:ascii="Palatino Linotype" w:hAnsi="Palatino Linotype"/>
          <w:i/>
          <w:iCs/>
          <w:color w:val="212121"/>
          <w:sz w:val="18"/>
          <w:szCs w:val="18"/>
          <w:shd w:val="clear" w:color="auto" w:fill="FFFFFF"/>
        </w:rPr>
        <w:t>The American Journal of Medicine</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123</w:t>
      </w:r>
      <w:r w:rsidRPr="00FF1F5E">
        <w:rPr>
          <w:rFonts w:ascii="Palatino Linotype" w:hAnsi="Palatino Linotype"/>
          <w:color w:val="212121"/>
          <w:sz w:val="18"/>
          <w:szCs w:val="18"/>
          <w:shd w:val="clear" w:color="auto" w:fill="FFFFFF"/>
        </w:rPr>
        <w:t xml:space="preserve">(8), 711–718. </w:t>
      </w:r>
      <w:hyperlink r:id="rId38" w:history="1">
        <w:r w:rsidRPr="00FF1F5E">
          <w:rPr>
            <w:rStyle w:val="Hyperlink"/>
            <w:rFonts w:ascii="Palatino Linotype" w:hAnsi="Palatino Linotype"/>
            <w:sz w:val="18"/>
            <w:szCs w:val="18"/>
            <w:shd w:val="clear" w:color="auto" w:fill="FFFFFF"/>
            <w:lang w:val="en-US"/>
          </w:rPr>
          <w:t>https://doi.org/10.1016/j.amjmed.2010.02.015</w:t>
        </w:r>
      </w:hyperlink>
      <w:r w:rsidRPr="00FF1F5E">
        <w:rPr>
          <w:rFonts w:ascii="Palatino Linotype" w:hAnsi="Palatino Linotype"/>
          <w:color w:val="212121"/>
          <w:sz w:val="18"/>
          <w:szCs w:val="18"/>
          <w:shd w:val="clear" w:color="auto" w:fill="FFFFFF"/>
        </w:rPr>
        <w:t xml:space="preserve"> </w:t>
      </w:r>
    </w:p>
    <w:p w14:paraId="446112C4"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 xml:space="preserve">Spitzer, R. L., Kroenke, K., Williams, J. B. W., Lowe, B. (2006). A brief measure for assessing generalized anxiety disorder. </w:t>
      </w:r>
      <w:r w:rsidRPr="00FF1F5E">
        <w:rPr>
          <w:rFonts w:ascii="Palatino Linotype" w:hAnsi="Palatino Linotype"/>
          <w:i/>
          <w:iCs/>
          <w:sz w:val="18"/>
          <w:szCs w:val="18"/>
        </w:rPr>
        <w:t>Archives of Internal Medicine, 166</w:t>
      </w:r>
      <w:r w:rsidRPr="00FF1F5E">
        <w:rPr>
          <w:rFonts w:ascii="Palatino Linotype" w:hAnsi="Palatino Linotype"/>
          <w:sz w:val="18"/>
          <w:szCs w:val="18"/>
        </w:rPr>
        <w:t xml:space="preserve">(10), 1092-1097. </w:t>
      </w:r>
      <w:hyperlink r:id="rId39" w:history="1">
        <w:r w:rsidRPr="00FF1F5E">
          <w:rPr>
            <w:rStyle w:val="Hyperlink"/>
            <w:rFonts w:ascii="Palatino Linotype" w:hAnsi="Palatino Linotype"/>
            <w:sz w:val="18"/>
            <w:szCs w:val="18"/>
            <w:lang w:val="en-US"/>
          </w:rPr>
          <w:t>https://doi.org/</w:t>
        </w:r>
        <w:r w:rsidRPr="00FF1F5E">
          <w:rPr>
            <w:rStyle w:val="Hyperlink"/>
            <w:rFonts w:ascii="Palatino Linotype" w:hAnsi="Palatino Linotype"/>
            <w:sz w:val="18"/>
            <w:szCs w:val="18"/>
            <w:shd w:val="clear" w:color="auto" w:fill="FFFFFF"/>
            <w:lang w:val="en-US"/>
          </w:rPr>
          <w:t>10.1001/archinte.166.10.1092</w:t>
        </w:r>
      </w:hyperlink>
      <w:r w:rsidRPr="00FF1F5E">
        <w:rPr>
          <w:rFonts w:ascii="Palatino Linotype" w:hAnsi="Palatino Linotype"/>
          <w:sz w:val="18"/>
          <w:szCs w:val="18"/>
          <w:shd w:val="clear" w:color="auto" w:fill="FFFFFF"/>
        </w:rPr>
        <w:t xml:space="preserve"> </w:t>
      </w:r>
    </w:p>
    <w:p w14:paraId="5B19D027"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t xml:space="preserve">Stegeman, I., </w:t>
      </w:r>
      <w:proofErr w:type="spellStart"/>
      <w:r w:rsidRPr="00FF1F5E">
        <w:rPr>
          <w:rFonts w:ascii="Palatino Linotype" w:hAnsi="Palatino Linotype"/>
          <w:color w:val="212121"/>
          <w:sz w:val="18"/>
          <w:szCs w:val="18"/>
          <w:shd w:val="clear" w:color="auto" w:fill="FFFFFF"/>
        </w:rPr>
        <w:t>Eikelboom</w:t>
      </w:r>
      <w:proofErr w:type="spellEnd"/>
      <w:r w:rsidRPr="00FF1F5E">
        <w:rPr>
          <w:rFonts w:ascii="Palatino Linotype" w:hAnsi="Palatino Linotype"/>
          <w:color w:val="212121"/>
          <w:sz w:val="18"/>
          <w:szCs w:val="18"/>
          <w:shd w:val="clear" w:color="auto" w:fill="FFFFFF"/>
        </w:rPr>
        <w:t xml:space="preserve">, R. H., Smit, A. L., Baguley, D. M., Bucks, R. S., </w:t>
      </w:r>
      <w:proofErr w:type="spellStart"/>
      <w:r w:rsidRPr="00FF1F5E">
        <w:rPr>
          <w:rFonts w:ascii="Palatino Linotype" w:hAnsi="Palatino Linotype"/>
          <w:color w:val="212121"/>
          <w:sz w:val="18"/>
          <w:szCs w:val="18"/>
          <w:shd w:val="clear" w:color="auto" w:fill="FFFFFF"/>
        </w:rPr>
        <w:t>Stokroos</w:t>
      </w:r>
      <w:proofErr w:type="spellEnd"/>
      <w:r w:rsidRPr="00FF1F5E">
        <w:rPr>
          <w:rFonts w:ascii="Palatino Linotype" w:hAnsi="Palatino Linotype"/>
          <w:color w:val="212121"/>
          <w:sz w:val="18"/>
          <w:szCs w:val="18"/>
          <w:shd w:val="clear" w:color="auto" w:fill="FFFFFF"/>
        </w:rPr>
        <w:t xml:space="preserve">, R. J., Bennett, R. J., </w:t>
      </w:r>
      <w:proofErr w:type="spellStart"/>
      <w:r w:rsidRPr="00FF1F5E">
        <w:rPr>
          <w:rFonts w:ascii="Palatino Linotype" w:hAnsi="Palatino Linotype"/>
          <w:color w:val="212121"/>
          <w:sz w:val="18"/>
          <w:szCs w:val="18"/>
          <w:shd w:val="clear" w:color="auto" w:fill="FFFFFF"/>
        </w:rPr>
        <w:t>Tegg</w:t>
      </w:r>
      <w:proofErr w:type="spellEnd"/>
      <w:r w:rsidRPr="00FF1F5E">
        <w:rPr>
          <w:rFonts w:ascii="Palatino Linotype" w:hAnsi="Palatino Linotype"/>
          <w:color w:val="212121"/>
          <w:sz w:val="18"/>
          <w:szCs w:val="18"/>
          <w:shd w:val="clear" w:color="auto" w:fill="FFFFFF"/>
        </w:rPr>
        <w:t xml:space="preserve">-Quinn, S., Hunter, M., &amp; Atlas, M. D. (2021). Tinnitus and its associations with general health, mental </w:t>
      </w:r>
      <w:proofErr w:type="gramStart"/>
      <w:r w:rsidRPr="00FF1F5E">
        <w:rPr>
          <w:rFonts w:ascii="Palatino Linotype" w:hAnsi="Palatino Linotype"/>
          <w:color w:val="212121"/>
          <w:sz w:val="18"/>
          <w:szCs w:val="18"/>
          <w:shd w:val="clear" w:color="auto" w:fill="FFFFFF"/>
        </w:rPr>
        <w:t>health</w:t>
      </w:r>
      <w:proofErr w:type="gramEnd"/>
      <w:r w:rsidRPr="00FF1F5E">
        <w:rPr>
          <w:rFonts w:ascii="Palatino Linotype" w:hAnsi="Palatino Linotype"/>
          <w:color w:val="212121"/>
          <w:sz w:val="18"/>
          <w:szCs w:val="18"/>
          <w:shd w:val="clear" w:color="auto" w:fill="FFFFFF"/>
        </w:rPr>
        <w:t xml:space="preserve"> and hearing loss. </w:t>
      </w:r>
      <w:r w:rsidRPr="00FF1F5E">
        <w:rPr>
          <w:rFonts w:ascii="Palatino Linotype" w:hAnsi="Palatino Linotype"/>
          <w:i/>
          <w:iCs/>
          <w:color w:val="212121"/>
          <w:sz w:val="18"/>
          <w:szCs w:val="18"/>
          <w:shd w:val="clear" w:color="auto" w:fill="FFFFFF"/>
        </w:rPr>
        <w:t>Progress in Brain Research</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262</w:t>
      </w:r>
      <w:r w:rsidRPr="00FF1F5E">
        <w:rPr>
          <w:rFonts w:ascii="Palatino Linotype" w:hAnsi="Palatino Linotype"/>
          <w:color w:val="212121"/>
          <w:sz w:val="18"/>
          <w:szCs w:val="18"/>
          <w:shd w:val="clear" w:color="auto" w:fill="FFFFFF"/>
        </w:rPr>
        <w:t xml:space="preserve">, 431–450. </w:t>
      </w:r>
      <w:hyperlink r:id="rId40" w:history="1">
        <w:r w:rsidRPr="00FF1F5E">
          <w:rPr>
            <w:rStyle w:val="Hyperlink"/>
            <w:rFonts w:ascii="Palatino Linotype" w:hAnsi="Palatino Linotype"/>
            <w:sz w:val="18"/>
            <w:szCs w:val="18"/>
            <w:shd w:val="clear" w:color="auto" w:fill="FFFFFF"/>
            <w:lang w:val="en-US"/>
          </w:rPr>
          <w:t>https://doi.org/10.1016/bs.pbr.2021.01.023</w:t>
        </w:r>
      </w:hyperlink>
      <w:r w:rsidRPr="00FF1F5E">
        <w:rPr>
          <w:rFonts w:ascii="Palatino Linotype" w:hAnsi="Palatino Linotype"/>
          <w:color w:val="212121"/>
          <w:sz w:val="18"/>
          <w:szCs w:val="18"/>
          <w:shd w:val="clear" w:color="auto" w:fill="FFFFFF"/>
        </w:rPr>
        <w:t xml:space="preserve"> </w:t>
      </w:r>
    </w:p>
    <w:p w14:paraId="0853580A"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proofErr w:type="spellStart"/>
      <w:r w:rsidRPr="00FF1F5E">
        <w:rPr>
          <w:rFonts w:ascii="Palatino Linotype" w:hAnsi="Palatino Linotype"/>
          <w:sz w:val="18"/>
          <w:szCs w:val="18"/>
        </w:rPr>
        <w:t>Voelklein</w:t>
      </w:r>
      <w:proofErr w:type="spellEnd"/>
      <w:r w:rsidRPr="00FF1F5E">
        <w:rPr>
          <w:rFonts w:ascii="Palatino Linotype" w:hAnsi="Palatino Linotype"/>
          <w:sz w:val="18"/>
          <w:szCs w:val="18"/>
        </w:rPr>
        <w:t xml:space="preserve">, C., &amp; C. Howarth. (2005). A review of controversies about Social Representations Theory: A </w:t>
      </w:r>
      <w:proofErr w:type="spellStart"/>
      <w:r w:rsidRPr="00FF1F5E">
        <w:rPr>
          <w:rFonts w:ascii="Palatino Linotype" w:hAnsi="Palatino Linotype"/>
          <w:sz w:val="18"/>
          <w:szCs w:val="18"/>
        </w:rPr>
        <w:t>british</w:t>
      </w:r>
      <w:proofErr w:type="spellEnd"/>
      <w:r w:rsidRPr="00FF1F5E">
        <w:rPr>
          <w:rFonts w:ascii="Palatino Linotype" w:hAnsi="Palatino Linotype"/>
          <w:sz w:val="18"/>
          <w:szCs w:val="18"/>
        </w:rPr>
        <w:t xml:space="preserve"> debate. </w:t>
      </w:r>
      <w:r w:rsidRPr="00FF1F5E">
        <w:rPr>
          <w:rFonts w:ascii="Palatino Linotype" w:hAnsi="Palatino Linotype"/>
          <w:i/>
          <w:iCs/>
          <w:sz w:val="18"/>
          <w:szCs w:val="18"/>
        </w:rPr>
        <w:t>Culture and Psychology</w:t>
      </w:r>
      <w:r w:rsidRPr="00FF1F5E">
        <w:rPr>
          <w:rFonts w:ascii="Palatino Linotype" w:hAnsi="Palatino Linotype"/>
          <w:sz w:val="18"/>
          <w:szCs w:val="18"/>
        </w:rPr>
        <w:t xml:space="preserve">, 11(4), 431–454. </w:t>
      </w:r>
      <w:hyperlink r:id="rId41" w:history="1">
        <w:r w:rsidRPr="00FF1F5E">
          <w:rPr>
            <w:rStyle w:val="Hyperlink"/>
            <w:rFonts w:ascii="Palatino Linotype" w:hAnsi="Palatino Linotype"/>
            <w:sz w:val="18"/>
            <w:szCs w:val="18"/>
            <w:lang w:val="en-US"/>
          </w:rPr>
          <w:t>https://</w:t>
        </w:r>
        <w:r w:rsidRPr="00FF1F5E">
          <w:rPr>
            <w:rStyle w:val="Hyperlink"/>
            <w:rFonts w:ascii="Palatino Linotype" w:hAnsi="Palatino Linotype"/>
            <w:sz w:val="18"/>
            <w:szCs w:val="18"/>
            <w:shd w:val="clear" w:color="auto" w:fill="FFFFFF"/>
            <w:lang w:val="en-US"/>
          </w:rPr>
          <w:t>doi.org/</w:t>
        </w:r>
        <w:r w:rsidRPr="00FF1F5E">
          <w:rPr>
            <w:rStyle w:val="Hyperlink"/>
            <w:rFonts w:ascii="Palatino Linotype" w:hAnsi="Palatino Linotype"/>
            <w:sz w:val="18"/>
            <w:szCs w:val="18"/>
            <w:lang w:val="en-US"/>
          </w:rPr>
          <w:t>10.1177/1354067X05058586</w:t>
        </w:r>
      </w:hyperlink>
      <w:r w:rsidRPr="00FF1F5E">
        <w:rPr>
          <w:rFonts w:ascii="Palatino Linotype" w:hAnsi="Palatino Linotype"/>
          <w:sz w:val="18"/>
          <w:szCs w:val="18"/>
        </w:rPr>
        <w:t xml:space="preserve">  </w:t>
      </w:r>
    </w:p>
    <w:p w14:paraId="00653261" w14:textId="77777777"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sz w:val="18"/>
          <w:szCs w:val="18"/>
        </w:rPr>
        <w:t xml:space="preserve">Wagner, W.  (2020). Social Representation Theory: An Historical Outline. Oxford Research Encyclopedia of Psychology. Retrieved 20 Aug. 2021, from </w:t>
      </w:r>
      <w:hyperlink r:id="rId42" w:history="1">
        <w:r w:rsidRPr="00FF1F5E">
          <w:rPr>
            <w:rStyle w:val="Hyperlink"/>
            <w:rFonts w:ascii="Palatino Linotype" w:hAnsi="Palatino Linotype"/>
            <w:sz w:val="18"/>
            <w:szCs w:val="18"/>
            <w:lang w:val="en-US"/>
          </w:rPr>
          <w:t>https://oxfordre.com/psychology/view/10.1093/acrefore/9780190236557.001.0001/acrefore-9780190236557-e-606</w:t>
        </w:r>
      </w:hyperlink>
    </w:p>
    <w:p w14:paraId="454A764D" w14:textId="27307EB0" w:rsidR="000F77EA" w:rsidRPr="00FF1F5E" w:rsidRDefault="000F77EA" w:rsidP="000A48BB">
      <w:pPr>
        <w:pStyle w:val="ListParagraph"/>
        <w:numPr>
          <w:ilvl w:val="0"/>
          <w:numId w:val="42"/>
        </w:numPr>
        <w:adjustRightInd w:val="0"/>
        <w:snapToGrid w:val="0"/>
        <w:spacing w:after="0" w:line="228" w:lineRule="auto"/>
        <w:ind w:left="425" w:hanging="425"/>
        <w:contextualSpacing w:val="0"/>
        <w:jc w:val="both"/>
        <w:rPr>
          <w:rFonts w:ascii="Palatino Linotype" w:hAnsi="Palatino Linotype"/>
          <w:sz w:val="18"/>
          <w:szCs w:val="18"/>
        </w:rPr>
      </w:pPr>
      <w:r w:rsidRPr="00FF1F5E">
        <w:rPr>
          <w:rFonts w:ascii="Palatino Linotype" w:hAnsi="Palatino Linotype"/>
          <w:color w:val="212121"/>
          <w:sz w:val="18"/>
          <w:szCs w:val="18"/>
          <w:shd w:val="clear" w:color="auto" w:fill="FFFFFF"/>
        </w:rPr>
        <w:lastRenderedPageBreak/>
        <w:t xml:space="preserve">Watts, E. J., </w:t>
      </w:r>
      <w:proofErr w:type="spellStart"/>
      <w:r w:rsidRPr="00FF1F5E">
        <w:rPr>
          <w:rFonts w:ascii="Palatino Linotype" w:hAnsi="Palatino Linotype"/>
          <w:color w:val="212121"/>
          <w:sz w:val="18"/>
          <w:szCs w:val="18"/>
          <w:shd w:val="clear" w:color="auto" w:fill="FFFFFF"/>
        </w:rPr>
        <w:t>Fackrell</w:t>
      </w:r>
      <w:proofErr w:type="spellEnd"/>
      <w:r w:rsidRPr="00FF1F5E">
        <w:rPr>
          <w:rFonts w:ascii="Palatino Linotype" w:hAnsi="Palatino Linotype"/>
          <w:color w:val="212121"/>
          <w:sz w:val="18"/>
          <w:szCs w:val="18"/>
          <w:shd w:val="clear" w:color="auto" w:fill="FFFFFF"/>
        </w:rPr>
        <w:t xml:space="preserve">, K., Smith, S., Sheldrake, J., Haider, H., &amp; Hoare, D. J. (2018). Why Is Tinnitus a Problem? A Qualitative Analysis of Problems Reported by Tinnitus Patients. </w:t>
      </w:r>
      <w:r w:rsidRPr="00FF1F5E">
        <w:rPr>
          <w:rFonts w:ascii="Palatino Linotype" w:hAnsi="Palatino Linotype"/>
          <w:i/>
          <w:iCs/>
          <w:color w:val="212121"/>
          <w:sz w:val="18"/>
          <w:szCs w:val="18"/>
          <w:shd w:val="clear" w:color="auto" w:fill="FFFFFF"/>
        </w:rPr>
        <w:t>Trends in hearing</w:t>
      </w:r>
      <w:r w:rsidRPr="00FF1F5E">
        <w:rPr>
          <w:rFonts w:ascii="Palatino Linotype" w:hAnsi="Palatino Linotype"/>
          <w:color w:val="212121"/>
          <w:sz w:val="18"/>
          <w:szCs w:val="18"/>
          <w:shd w:val="clear" w:color="auto" w:fill="FFFFFF"/>
        </w:rPr>
        <w:t xml:space="preserve">, </w:t>
      </w:r>
      <w:r w:rsidRPr="00FF1F5E">
        <w:rPr>
          <w:rFonts w:ascii="Palatino Linotype" w:hAnsi="Palatino Linotype"/>
          <w:i/>
          <w:iCs/>
          <w:color w:val="212121"/>
          <w:sz w:val="18"/>
          <w:szCs w:val="18"/>
          <w:shd w:val="clear" w:color="auto" w:fill="FFFFFF"/>
        </w:rPr>
        <w:t>22</w:t>
      </w:r>
      <w:r w:rsidRPr="00FF1F5E">
        <w:rPr>
          <w:rFonts w:ascii="Palatino Linotype" w:hAnsi="Palatino Linotype"/>
          <w:color w:val="212121"/>
          <w:sz w:val="18"/>
          <w:szCs w:val="18"/>
          <w:shd w:val="clear" w:color="auto" w:fill="FFFFFF"/>
        </w:rPr>
        <w:t xml:space="preserve">, 2331216518812250. </w:t>
      </w:r>
      <w:hyperlink r:id="rId43" w:history="1">
        <w:r w:rsidRPr="00FF1F5E">
          <w:rPr>
            <w:rStyle w:val="Hyperlink"/>
            <w:rFonts w:ascii="Palatino Linotype" w:hAnsi="Palatino Linotype"/>
            <w:sz w:val="18"/>
            <w:szCs w:val="18"/>
            <w:shd w:val="clear" w:color="auto" w:fill="FFFFFF"/>
            <w:lang w:val="en-US"/>
          </w:rPr>
          <w:t>https://doi.org/10.1177/2331216518812250</w:t>
        </w:r>
      </w:hyperlink>
      <w:r w:rsidRPr="00FF1F5E">
        <w:rPr>
          <w:rFonts w:ascii="Palatino Linotype" w:hAnsi="Palatino Linotype"/>
          <w:color w:val="212121"/>
          <w:sz w:val="18"/>
          <w:szCs w:val="18"/>
          <w:shd w:val="clear" w:color="auto" w:fill="FFFFFF"/>
        </w:rPr>
        <w:t xml:space="preserve"> </w:t>
      </w:r>
    </w:p>
    <w:p w14:paraId="0A78FB36" w14:textId="2743C8C9" w:rsidR="008C2631" w:rsidRPr="008C2631" w:rsidRDefault="008C2631" w:rsidP="008C2631">
      <w:pPr>
        <w:adjustRightInd w:val="0"/>
        <w:snapToGrid w:val="0"/>
        <w:spacing w:line="228" w:lineRule="auto"/>
        <w:rPr>
          <w:sz w:val="18"/>
          <w:szCs w:val="18"/>
        </w:rPr>
      </w:pPr>
    </w:p>
    <w:p w14:paraId="0826C514" w14:textId="77777777" w:rsidR="00CA0DCD" w:rsidRPr="008C2631" w:rsidRDefault="00CA0DCD" w:rsidP="008C2631">
      <w:pPr>
        <w:adjustRightInd w:val="0"/>
        <w:snapToGrid w:val="0"/>
        <w:spacing w:line="228" w:lineRule="auto"/>
        <w:rPr>
          <w:sz w:val="18"/>
          <w:szCs w:val="18"/>
        </w:rPr>
      </w:pPr>
    </w:p>
    <w:sectPr w:rsidR="00CA0DCD" w:rsidRPr="008C2631" w:rsidSect="000F77EA">
      <w:headerReference w:type="even" r:id="rId44"/>
      <w:headerReference w:type="default" r:id="rId45"/>
      <w:footerReference w:type="default" r:id="rId46"/>
      <w:headerReference w:type="first" r:id="rId47"/>
      <w:footerReference w:type="first" r:id="rId48"/>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E500E" w14:textId="77777777" w:rsidR="009E2012" w:rsidRDefault="009E2012">
      <w:pPr>
        <w:spacing w:line="240" w:lineRule="auto"/>
      </w:pPr>
      <w:r>
        <w:separator/>
      </w:r>
    </w:p>
  </w:endnote>
  <w:endnote w:type="continuationSeparator" w:id="0">
    <w:p w14:paraId="6B3EF703" w14:textId="77777777" w:rsidR="009E2012" w:rsidRDefault="009E2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Liberation Sans">
    <w:altName w:val="Arial"/>
    <w:panose1 w:val="020B0604020202020204"/>
    <w:charset w:val="01"/>
    <w:family w:val="swiss"/>
    <w:pitch w:val="variable"/>
  </w:font>
  <w:font w:name="Noto Sans CJK SC">
    <w:panose1 w:val="020B0604020202020204"/>
    <w:charset w:val="01"/>
    <w:family w:val="auto"/>
    <w:pitch w:val="variable"/>
  </w:font>
  <w:font w:name="Lohit Devanagari">
    <w:altName w:val="Calibri"/>
    <w:panose1 w:val="020B0604020202020204"/>
    <w:charset w:val="01"/>
    <w:family w:val="auto"/>
    <w:pitch w:val="variable"/>
  </w:font>
  <w:font w:name="Gill Sans MT">
    <w:panose1 w:val="020B0502020104020203"/>
    <w:charset w:val="00"/>
    <w:family w:val="swiss"/>
    <w:pitch w:val="variable"/>
    <w:sig w:usb0="00000007" w:usb1="00000000" w:usb2="00000000" w:usb3="00000000" w:csb0="00000003" w:csb1="00000000"/>
  </w:font>
  <w:font w:name="Noto Serif CJK SC">
    <w:panose1 w:val="020B0604020202020204"/>
    <w:charset w:val="01"/>
    <w:family w:val="auto"/>
    <w:pitch w:val="variable"/>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3741" w14:textId="77777777" w:rsidR="00667697" w:rsidRPr="00A72F19" w:rsidRDefault="00667697" w:rsidP="00667697">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C98CC" w14:textId="77777777" w:rsidR="00A95347" w:rsidRDefault="00A95347" w:rsidP="00826FB7">
    <w:pPr>
      <w:pBdr>
        <w:top w:val="single" w:sz="4" w:space="0" w:color="000000"/>
      </w:pBdr>
      <w:tabs>
        <w:tab w:val="right" w:pos="8844"/>
      </w:tabs>
      <w:adjustRightInd w:val="0"/>
      <w:snapToGrid w:val="0"/>
      <w:spacing w:before="480" w:line="100" w:lineRule="exact"/>
      <w:jc w:val="left"/>
      <w:rPr>
        <w:i/>
        <w:sz w:val="16"/>
        <w:szCs w:val="16"/>
      </w:rPr>
    </w:pPr>
  </w:p>
  <w:p w14:paraId="062EACA5" w14:textId="77777777" w:rsidR="00667697" w:rsidRPr="00106BF5" w:rsidRDefault="000B2CFD" w:rsidP="000B2CFD">
    <w:pPr>
      <w:tabs>
        <w:tab w:val="right" w:pos="10466"/>
      </w:tabs>
      <w:adjustRightInd w:val="0"/>
      <w:snapToGrid w:val="0"/>
      <w:spacing w:line="240" w:lineRule="auto"/>
      <w:rPr>
        <w:sz w:val="16"/>
        <w:szCs w:val="16"/>
        <w:lang w:val="fr-CH"/>
      </w:rPr>
    </w:pPr>
    <w:r w:rsidRPr="000B2CFD">
      <w:rPr>
        <w:i/>
        <w:sz w:val="16"/>
        <w:szCs w:val="16"/>
      </w:rPr>
      <w:t xml:space="preserve">Audiol. Res. </w:t>
    </w:r>
    <w:r w:rsidR="00F2525B">
      <w:rPr>
        <w:b/>
        <w:bCs/>
        <w:iCs/>
        <w:sz w:val="16"/>
        <w:szCs w:val="16"/>
      </w:rPr>
      <w:t>2022</w:t>
    </w:r>
    <w:r w:rsidR="00AF5298" w:rsidRPr="00AF5298">
      <w:rPr>
        <w:bCs/>
        <w:iCs/>
        <w:sz w:val="16"/>
        <w:szCs w:val="16"/>
      </w:rPr>
      <w:t>,</w:t>
    </w:r>
    <w:r w:rsidR="00F2525B">
      <w:rPr>
        <w:bCs/>
        <w:i/>
        <w:iCs/>
        <w:sz w:val="16"/>
        <w:szCs w:val="16"/>
      </w:rPr>
      <w:t xml:space="preserve"> 12</w:t>
    </w:r>
    <w:r w:rsidR="00AF5298" w:rsidRPr="00AF5298">
      <w:rPr>
        <w:bCs/>
        <w:iCs/>
        <w:sz w:val="16"/>
        <w:szCs w:val="16"/>
      </w:rPr>
      <w:t xml:space="preserve">, </w:t>
    </w:r>
    <w:r w:rsidR="003610C1">
      <w:rPr>
        <w:bCs/>
        <w:iCs/>
        <w:sz w:val="16"/>
        <w:szCs w:val="16"/>
      </w:rPr>
      <w:t>Firstpage–Lastpage</w:t>
    </w:r>
    <w:r w:rsidR="00727937">
      <w:rPr>
        <w:bCs/>
        <w:iCs/>
        <w:sz w:val="16"/>
        <w:szCs w:val="16"/>
      </w:rPr>
      <w:t>. https://doi.org/10.3390/xxxxx</w:t>
    </w:r>
    <w:r w:rsidR="000F77EA">
      <w:rPr>
        <w:sz w:val="16"/>
        <w:szCs w:val="16"/>
        <w:lang w:val="fr-CH"/>
      </w:rPr>
      <w:ptab w:relativeTo="margin" w:alignment="right" w:leader="none"/>
    </w:r>
    <w:r w:rsidR="00667697" w:rsidRPr="00106BF5">
      <w:rPr>
        <w:sz w:val="16"/>
        <w:szCs w:val="16"/>
        <w:lang w:val="fr-CH"/>
      </w:rPr>
      <w:t>www.mdpi.com/journal/</w:t>
    </w:r>
    <w:r w:rsidRPr="000B2CFD">
      <w:rPr>
        <w:sz w:val="16"/>
        <w:szCs w:val="16"/>
        <w:lang w:val="fr-CH"/>
      </w:rPr>
      <w:t>audiolres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4713E" w14:textId="77777777" w:rsidR="009E2012" w:rsidRDefault="009E2012">
      <w:pPr>
        <w:spacing w:line="240" w:lineRule="auto"/>
      </w:pPr>
      <w:r>
        <w:separator/>
      </w:r>
    </w:p>
  </w:footnote>
  <w:footnote w:type="continuationSeparator" w:id="0">
    <w:p w14:paraId="0A186803" w14:textId="77777777" w:rsidR="009E2012" w:rsidRDefault="009E20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8E554" w14:textId="77777777" w:rsidR="00667697" w:rsidRDefault="00667697" w:rsidP="0066769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6BFB" w14:textId="77777777" w:rsidR="00A95347" w:rsidRDefault="000B2CFD" w:rsidP="00A95347">
    <w:pPr>
      <w:tabs>
        <w:tab w:val="right" w:pos="10466"/>
      </w:tabs>
      <w:adjustRightInd w:val="0"/>
      <w:snapToGrid w:val="0"/>
      <w:spacing w:line="240" w:lineRule="auto"/>
      <w:rPr>
        <w:sz w:val="16"/>
      </w:rPr>
    </w:pPr>
    <w:r w:rsidRPr="000B2CFD">
      <w:rPr>
        <w:bCs/>
        <w:i/>
        <w:iCs/>
        <w:sz w:val="16"/>
      </w:rPr>
      <w:t>Audiol. Res.</w:t>
    </w:r>
    <w:r w:rsidRPr="000B2CFD">
      <w:rPr>
        <w:b/>
        <w:sz w:val="16"/>
      </w:rPr>
      <w:t xml:space="preserve"> </w:t>
    </w:r>
    <w:r w:rsidR="00F2525B">
      <w:rPr>
        <w:b/>
        <w:sz w:val="16"/>
      </w:rPr>
      <w:t>2022</w:t>
    </w:r>
    <w:r w:rsidR="00AF5298" w:rsidRPr="00AF5298">
      <w:rPr>
        <w:sz w:val="16"/>
      </w:rPr>
      <w:t>,</w:t>
    </w:r>
    <w:r w:rsidR="00F2525B">
      <w:rPr>
        <w:i/>
        <w:sz w:val="16"/>
      </w:rPr>
      <w:t xml:space="preserve"> 12</w:t>
    </w:r>
    <w:r w:rsidR="00C850C8">
      <w:rPr>
        <w:i/>
        <w:sz w:val="16"/>
      </w:rPr>
      <w:t>,</w:t>
    </w:r>
    <w:r w:rsidR="00AF5298" w:rsidRPr="00AF5298">
      <w:rPr>
        <w:sz w:val="16"/>
      </w:rPr>
      <w:t xml:space="preserve"> FOR PEER REVIEW </w:t>
    </w:r>
    <w:r w:rsidR="000F77EA">
      <w:rPr>
        <w:sz w:val="16"/>
      </w:rPr>
      <w:ptab w:relativeTo="margin" w:alignment="right" w:leader="none"/>
    </w:r>
    <w:r w:rsidR="00AF5298">
      <w:rPr>
        <w:sz w:val="16"/>
      </w:rPr>
      <w:fldChar w:fldCharType="begin"/>
    </w:r>
    <w:r w:rsidR="00AF5298">
      <w:rPr>
        <w:sz w:val="16"/>
      </w:rPr>
      <w:instrText xml:space="preserve"> PAGE   \* MERGEFORMAT </w:instrText>
    </w:r>
    <w:r w:rsidR="00AF5298">
      <w:rPr>
        <w:sz w:val="16"/>
      </w:rPr>
      <w:fldChar w:fldCharType="separate"/>
    </w:r>
    <w:r>
      <w:rPr>
        <w:sz w:val="16"/>
      </w:rPr>
      <w:t>2</w:t>
    </w:r>
    <w:r w:rsidR="00AF5298">
      <w:rPr>
        <w:sz w:val="16"/>
      </w:rPr>
      <w:fldChar w:fldCharType="end"/>
    </w:r>
  </w:p>
  <w:p w14:paraId="38A47486" w14:textId="77777777" w:rsidR="00667697" w:rsidRPr="00172493" w:rsidRDefault="00667697" w:rsidP="00826FB7">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A95347" w:rsidRPr="009F5056" w14:paraId="766704F4" w14:textId="77777777" w:rsidTr="00B055A1">
      <w:trPr>
        <w:trHeight w:val="686"/>
      </w:trPr>
      <w:tc>
        <w:tcPr>
          <w:tcW w:w="3679" w:type="dxa"/>
          <w:shd w:val="clear" w:color="auto" w:fill="auto"/>
          <w:vAlign w:val="center"/>
        </w:tcPr>
        <w:p w14:paraId="5261D93B" w14:textId="77777777" w:rsidR="00A95347" w:rsidRPr="00D70D4F" w:rsidRDefault="007B4231" w:rsidP="009F5056">
          <w:pPr>
            <w:pStyle w:val="Header"/>
            <w:pBdr>
              <w:bottom w:val="none" w:sz="0" w:space="0" w:color="auto"/>
            </w:pBdr>
            <w:jc w:val="left"/>
            <w:rPr>
              <w:rFonts w:eastAsia="DengXian"/>
              <w:b/>
              <w:bCs/>
            </w:rPr>
          </w:pPr>
          <w:r>
            <w:rPr>
              <w:rFonts w:eastAsia="DengXian"/>
              <w:b/>
              <w:bCs/>
            </w:rPr>
            <w:drawing>
              <wp:inline distT="0" distB="0" distL="0" distR="0" wp14:anchorId="69099EDD" wp14:editId="312083E4">
                <wp:extent cx="1662430" cy="394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394970"/>
                        </a:xfrm>
                        <a:prstGeom prst="rect">
                          <a:avLst/>
                        </a:prstGeom>
                        <a:noFill/>
                        <a:ln>
                          <a:noFill/>
                        </a:ln>
                      </pic:spPr>
                    </pic:pic>
                  </a:graphicData>
                </a:graphic>
              </wp:inline>
            </w:drawing>
          </w:r>
        </w:p>
      </w:tc>
      <w:tc>
        <w:tcPr>
          <w:tcW w:w="4535" w:type="dxa"/>
          <w:shd w:val="clear" w:color="auto" w:fill="auto"/>
          <w:vAlign w:val="center"/>
        </w:tcPr>
        <w:p w14:paraId="0ED77D49" w14:textId="77777777" w:rsidR="00A95347" w:rsidRPr="00D70D4F" w:rsidRDefault="00A95347" w:rsidP="009F5056">
          <w:pPr>
            <w:pStyle w:val="Header"/>
            <w:pBdr>
              <w:bottom w:val="none" w:sz="0" w:space="0" w:color="auto"/>
            </w:pBdr>
            <w:rPr>
              <w:rFonts w:eastAsia="DengXian"/>
              <w:b/>
              <w:bCs/>
            </w:rPr>
          </w:pPr>
        </w:p>
      </w:tc>
      <w:tc>
        <w:tcPr>
          <w:tcW w:w="2273" w:type="dxa"/>
          <w:shd w:val="clear" w:color="auto" w:fill="auto"/>
          <w:vAlign w:val="center"/>
        </w:tcPr>
        <w:p w14:paraId="7BEE0C9E" w14:textId="77777777" w:rsidR="00A95347" w:rsidRPr="00D70D4F" w:rsidRDefault="00B055A1" w:rsidP="00B055A1">
          <w:pPr>
            <w:pStyle w:val="Header"/>
            <w:pBdr>
              <w:bottom w:val="none" w:sz="0" w:space="0" w:color="auto"/>
            </w:pBdr>
            <w:jc w:val="right"/>
            <w:rPr>
              <w:rFonts w:eastAsia="DengXian"/>
              <w:b/>
              <w:bCs/>
            </w:rPr>
          </w:pPr>
          <w:r>
            <w:rPr>
              <w:rFonts w:eastAsia="DengXian"/>
              <w:b/>
              <w:bCs/>
            </w:rPr>
            <w:drawing>
              <wp:inline distT="0" distB="0" distL="0" distR="0" wp14:anchorId="4770821E" wp14:editId="423C8CE5">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6935F2B5" w14:textId="77777777" w:rsidR="00667697" w:rsidRPr="00A95347" w:rsidRDefault="00667697" w:rsidP="00826FB7">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4"/>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00000003"/>
    <w:multiLevelType w:val="singleLevel"/>
    <w:tmpl w:val="00000003"/>
    <w:name w:val="WW8Num16"/>
    <w:lvl w:ilvl="0">
      <w:start w:val="1"/>
      <w:numFmt w:val="bullet"/>
      <w:lvlText w:val=""/>
      <w:lvlJc w:val="left"/>
      <w:pPr>
        <w:tabs>
          <w:tab w:val="num" w:pos="0"/>
        </w:tabs>
        <w:ind w:left="720" w:hanging="360"/>
      </w:pPr>
      <w:rPr>
        <w:rFonts w:ascii="Wingdings" w:hAnsi="Wingdings" w:cs="Wingdings" w:hint="default"/>
      </w:rPr>
    </w:lvl>
  </w:abstractNum>
  <w:abstractNum w:abstractNumId="3" w15:restartNumberingAfterBreak="0">
    <w:nsid w:val="00000004"/>
    <w:multiLevelType w:val="singleLevel"/>
    <w:tmpl w:val="00000004"/>
    <w:name w:val="WW8Num22"/>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000005"/>
    <w:multiLevelType w:val="singleLevel"/>
    <w:tmpl w:val="00000005"/>
    <w:name w:val="WW8Num26"/>
    <w:lvl w:ilvl="0">
      <w:start w:val="1"/>
      <w:numFmt w:val="decimal"/>
      <w:lvlText w:val="%1."/>
      <w:lvlJc w:val="left"/>
      <w:pPr>
        <w:tabs>
          <w:tab w:val="num" w:pos="0"/>
        </w:tabs>
        <w:ind w:left="720" w:hanging="360"/>
      </w:pPr>
      <w:rPr>
        <w:rFonts w:hint="default"/>
        <w:lang w:eastAsia="en-GB"/>
      </w:rPr>
    </w:lvl>
  </w:abstractNum>
  <w:abstractNum w:abstractNumId="5" w15:restartNumberingAfterBreak="0">
    <w:nsid w:val="07C5386F"/>
    <w:multiLevelType w:val="hybridMultilevel"/>
    <w:tmpl w:val="309C4046"/>
    <w:lvl w:ilvl="0" w:tplc="78A035D8">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192854"/>
    <w:multiLevelType w:val="hybridMultilevel"/>
    <w:tmpl w:val="8B547D7A"/>
    <w:lvl w:ilvl="0" w:tplc="26E22F8A">
      <w:start w:val="1"/>
      <w:numFmt w:val="decimal"/>
      <w:lvlText w:val="%1."/>
      <w:lvlJc w:val="left"/>
      <w:pPr>
        <w:ind w:left="720" w:hanging="360"/>
      </w:pPr>
      <w:rPr>
        <w:rFonts w:ascii="Times New Roman" w:eastAsia="Times New Roman" w:hAnsi="Times New Roman" w:cs="Times New Roman"/>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5E08F3"/>
    <w:multiLevelType w:val="hybridMultilevel"/>
    <w:tmpl w:val="C9E61FF8"/>
    <w:lvl w:ilvl="0" w:tplc="D860871E">
      <w:start w:val="1"/>
      <w:numFmt w:val="decimal"/>
      <w:lvlText w:val="%1."/>
      <w:lvlJc w:val="left"/>
      <w:pPr>
        <w:ind w:left="720" w:hanging="360"/>
      </w:pPr>
      <w:rPr>
        <w:rFonts w:ascii="Times New Roman" w:hAnsi="Times New Roman" w:cs="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B468F5"/>
    <w:multiLevelType w:val="hybridMultilevel"/>
    <w:tmpl w:val="9E80030C"/>
    <w:lvl w:ilvl="0" w:tplc="AEFEE666">
      <w:start w:val="1"/>
      <w:numFmt w:val="bullet"/>
      <w:lvlRestart w:val="0"/>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0" w15:restartNumberingAfterBreak="0">
    <w:nsid w:val="1E1C3D37"/>
    <w:multiLevelType w:val="hybridMultilevel"/>
    <w:tmpl w:val="89368784"/>
    <w:lvl w:ilvl="0" w:tplc="6088D366">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1"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05051C"/>
    <w:multiLevelType w:val="hybridMultilevel"/>
    <w:tmpl w:val="D6480D34"/>
    <w:lvl w:ilvl="0" w:tplc="CDCEE7DA">
      <w:start w:val="1"/>
      <w:numFmt w:val="decimal"/>
      <w:pStyle w:val="Heading1"/>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3"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5" w15:restartNumberingAfterBreak="0">
    <w:nsid w:val="40774FBD"/>
    <w:multiLevelType w:val="hybridMultilevel"/>
    <w:tmpl w:val="69F66576"/>
    <w:lvl w:ilvl="0" w:tplc="FFD8CF02">
      <w:start w:val="1"/>
      <w:numFmt w:val="decimal"/>
      <w:lvlText w:val="%1."/>
      <w:lvlJc w:val="left"/>
      <w:pPr>
        <w:ind w:left="720" w:hanging="360"/>
      </w:pPr>
      <w:rPr>
        <w:rFonts w:ascii="Arial" w:hAnsi="Arial" w:cs="Arial"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C1313"/>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2B5F42"/>
    <w:multiLevelType w:val="hybridMultilevel"/>
    <w:tmpl w:val="C9E61FF8"/>
    <w:lvl w:ilvl="0" w:tplc="FFFFFFFF">
      <w:start w:val="1"/>
      <w:numFmt w:val="decimal"/>
      <w:lvlText w:val="%1."/>
      <w:lvlJc w:val="left"/>
      <w:pPr>
        <w:ind w:left="720" w:hanging="360"/>
      </w:pPr>
      <w:rPr>
        <w:rFonts w:ascii="Times New Roman" w:hAnsi="Times New Roman" w:cs="Times New Roman" w:hint="default"/>
        <w:b w:val="0"/>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0" w15:restartNumberingAfterBreak="0">
    <w:nsid w:val="5FC00E47"/>
    <w:multiLevelType w:val="hybridMultilevel"/>
    <w:tmpl w:val="667AE63E"/>
    <w:lvl w:ilvl="0" w:tplc="20DCFB4E">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DC54DF"/>
    <w:multiLevelType w:val="singleLevel"/>
    <w:tmpl w:val="80B2A588"/>
    <w:lvl w:ilvl="0">
      <w:start w:val="1"/>
      <w:numFmt w:val="decimal"/>
      <w:lvlText w:val="%1."/>
      <w:lvlJc w:val="left"/>
      <w:pPr>
        <w:ind w:left="288" w:firstLine="72"/>
      </w:pPr>
      <w:rPr>
        <w:vertAlign w:val="superscript"/>
      </w:rPr>
    </w:lvl>
  </w:abstractNum>
  <w:abstractNum w:abstractNumId="22"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4" w15:restartNumberingAfterBreak="0">
    <w:nsid w:val="718B2F7D"/>
    <w:multiLevelType w:val="hybridMultilevel"/>
    <w:tmpl w:val="29122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4A2D99"/>
    <w:multiLevelType w:val="hybridMultilevel"/>
    <w:tmpl w:val="8E329370"/>
    <w:lvl w:ilvl="0" w:tplc="93B405DE">
      <w:start w:val="1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132401931">
    <w:abstractNumId w:val="12"/>
  </w:num>
  <w:num w:numId="2" w16cid:durableId="831945651">
    <w:abstractNumId w:val="14"/>
  </w:num>
  <w:num w:numId="3" w16cid:durableId="895508064">
    <w:abstractNumId w:val="11"/>
  </w:num>
  <w:num w:numId="4" w16cid:durableId="1176455965">
    <w:abstractNumId w:val="13"/>
  </w:num>
  <w:num w:numId="5" w16cid:durableId="258148510">
    <w:abstractNumId w:val="19"/>
  </w:num>
  <w:num w:numId="6" w16cid:durableId="1984305953">
    <w:abstractNumId w:val="9"/>
  </w:num>
  <w:num w:numId="7" w16cid:durableId="55207588">
    <w:abstractNumId w:val="19"/>
  </w:num>
  <w:num w:numId="8" w16cid:durableId="865558808">
    <w:abstractNumId w:val="9"/>
  </w:num>
  <w:num w:numId="9" w16cid:durableId="693726297">
    <w:abstractNumId w:val="19"/>
  </w:num>
  <w:num w:numId="10" w16cid:durableId="1448499119">
    <w:abstractNumId w:val="9"/>
  </w:num>
  <w:num w:numId="11" w16cid:durableId="39478751">
    <w:abstractNumId w:val="19"/>
  </w:num>
  <w:num w:numId="12" w16cid:durableId="1947299363">
    <w:abstractNumId w:val="9"/>
  </w:num>
  <w:num w:numId="13" w16cid:durableId="1140028348">
    <w:abstractNumId w:val="19"/>
  </w:num>
  <w:num w:numId="14" w16cid:durableId="2047488914">
    <w:abstractNumId w:val="9"/>
  </w:num>
  <w:num w:numId="15" w16cid:durableId="5309202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3914705">
    <w:abstractNumId w:val="16"/>
  </w:num>
  <w:num w:numId="17" w16cid:durableId="464782514">
    <w:abstractNumId w:val="25"/>
  </w:num>
  <w:num w:numId="18" w16cid:durableId="193537679">
    <w:abstractNumId w:val="23"/>
  </w:num>
  <w:num w:numId="19" w16cid:durableId="815952425">
    <w:abstractNumId w:val="19"/>
  </w:num>
  <w:num w:numId="20" w16cid:durableId="185022961">
    <w:abstractNumId w:val="9"/>
  </w:num>
  <w:num w:numId="21" w16cid:durableId="751778212">
    <w:abstractNumId w:val="8"/>
  </w:num>
  <w:num w:numId="22" w16cid:durableId="1111784100">
    <w:abstractNumId w:val="17"/>
  </w:num>
  <w:num w:numId="23" w16cid:durableId="22563465">
    <w:abstractNumId w:val="5"/>
  </w:num>
  <w:num w:numId="24" w16cid:durableId="516622386">
    <w:abstractNumId w:val="19"/>
  </w:num>
  <w:num w:numId="25" w16cid:durableId="1085230599">
    <w:abstractNumId w:val="9"/>
  </w:num>
  <w:num w:numId="26" w16cid:durableId="1483696901">
    <w:abstractNumId w:val="8"/>
  </w:num>
  <w:num w:numId="27" w16cid:durableId="394739194">
    <w:abstractNumId w:val="5"/>
  </w:num>
  <w:num w:numId="28" w16cid:durableId="1503281367">
    <w:abstractNumId w:val="10"/>
  </w:num>
  <w:num w:numId="29" w16cid:durableId="464274035">
    <w:abstractNumId w:val="20"/>
  </w:num>
  <w:num w:numId="30" w16cid:durableId="36853958">
    <w:abstractNumId w:val="0"/>
  </w:num>
  <w:num w:numId="31" w16cid:durableId="1979260357">
    <w:abstractNumId w:val="1"/>
  </w:num>
  <w:num w:numId="32" w16cid:durableId="1306815552">
    <w:abstractNumId w:val="2"/>
  </w:num>
  <w:num w:numId="33" w16cid:durableId="846793733">
    <w:abstractNumId w:val="3"/>
  </w:num>
  <w:num w:numId="34" w16cid:durableId="284504486">
    <w:abstractNumId w:val="4"/>
  </w:num>
  <w:num w:numId="35" w16cid:durableId="2089110696">
    <w:abstractNumId w:val="22"/>
  </w:num>
  <w:num w:numId="36" w16cid:durableId="418984602">
    <w:abstractNumId w:val="6"/>
  </w:num>
  <w:num w:numId="37" w16cid:durableId="305866383">
    <w:abstractNumId w:val="7"/>
  </w:num>
  <w:num w:numId="38" w16cid:durableId="2063484766">
    <w:abstractNumId w:val="15"/>
  </w:num>
  <w:num w:numId="39" w16cid:durableId="826481022">
    <w:abstractNumId w:val="19"/>
  </w:num>
  <w:num w:numId="40" w16cid:durableId="870384172">
    <w:abstractNumId w:val="9"/>
  </w:num>
  <w:num w:numId="41" w16cid:durableId="970207240">
    <w:abstractNumId w:val="21"/>
  </w:num>
  <w:num w:numId="42" w16cid:durableId="1715471103">
    <w:abstractNumId w:val="24"/>
  </w:num>
  <w:num w:numId="43" w16cid:durableId="213336018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7EA"/>
    <w:rsid w:val="000401CF"/>
    <w:rsid w:val="00060964"/>
    <w:rsid w:val="00063096"/>
    <w:rsid w:val="0008276E"/>
    <w:rsid w:val="00087B31"/>
    <w:rsid w:val="000901BE"/>
    <w:rsid w:val="000955B3"/>
    <w:rsid w:val="000A48BB"/>
    <w:rsid w:val="000B2CFD"/>
    <w:rsid w:val="000B3CCD"/>
    <w:rsid w:val="000C0C9B"/>
    <w:rsid w:val="000C438E"/>
    <w:rsid w:val="000C7E28"/>
    <w:rsid w:val="000F77EA"/>
    <w:rsid w:val="00106BF5"/>
    <w:rsid w:val="0011300A"/>
    <w:rsid w:val="00141910"/>
    <w:rsid w:val="00161167"/>
    <w:rsid w:val="001703C5"/>
    <w:rsid w:val="00171E2A"/>
    <w:rsid w:val="00180505"/>
    <w:rsid w:val="001927CE"/>
    <w:rsid w:val="00193050"/>
    <w:rsid w:val="001B58B6"/>
    <w:rsid w:val="001D2796"/>
    <w:rsid w:val="001E2AEB"/>
    <w:rsid w:val="001F2DC5"/>
    <w:rsid w:val="001F7764"/>
    <w:rsid w:val="00207716"/>
    <w:rsid w:val="00211450"/>
    <w:rsid w:val="002158F8"/>
    <w:rsid w:val="00224E1A"/>
    <w:rsid w:val="00227DE8"/>
    <w:rsid w:val="0024188D"/>
    <w:rsid w:val="00253837"/>
    <w:rsid w:val="00256AAF"/>
    <w:rsid w:val="00271F5C"/>
    <w:rsid w:val="002A253D"/>
    <w:rsid w:val="002B6508"/>
    <w:rsid w:val="002D4D3E"/>
    <w:rsid w:val="002E3594"/>
    <w:rsid w:val="003072E2"/>
    <w:rsid w:val="003133CD"/>
    <w:rsid w:val="00326141"/>
    <w:rsid w:val="003360C7"/>
    <w:rsid w:val="003436B5"/>
    <w:rsid w:val="00350C16"/>
    <w:rsid w:val="003519CD"/>
    <w:rsid w:val="003610C1"/>
    <w:rsid w:val="003718B9"/>
    <w:rsid w:val="00390280"/>
    <w:rsid w:val="003A491A"/>
    <w:rsid w:val="003C113A"/>
    <w:rsid w:val="003C7D9F"/>
    <w:rsid w:val="003F19C4"/>
    <w:rsid w:val="003F6072"/>
    <w:rsid w:val="003F7F38"/>
    <w:rsid w:val="00401D30"/>
    <w:rsid w:val="004121C6"/>
    <w:rsid w:val="004240E9"/>
    <w:rsid w:val="0042702C"/>
    <w:rsid w:val="00451D50"/>
    <w:rsid w:val="00457517"/>
    <w:rsid w:val="00476674"/>
    <w:rsid w:val="0048718B"/>
    <w:rsid w:val="00497630"/>
    <w:rsid w:val="004A53EF"/>
    <w:rsid w:val="004C4A41"/>
    <w:rsid w:val="00503E72"/>
    <w:rsid w:val="00511A9F"/>
    <w:rsid w:val="00513B93"/>
    <w:rsid w:val="005144D8"/>
    <w:rsid w:val="00543DAE"/>
    <w:rsid w:val="00546ED3"/>
    <w:rsid w:val="005730D9"/>
    <w:rsid w:val="00594F75"/>
    <w:rsid w:val="005A615F"/>
    <w:rsid w:val="005B7CFA"/>
    <w:rsid w:val="005D6436"/>
    <w:rsid w:val="005E1DFF"/>
    <w:rsid w:val="00606C3F"/>
    <w:rsid w:val="0061252E"/>
    <w:rsid w:val="00620990"/>
    <w:rsid w:val="00647511"/>
    <w:rsid w:val="00652081"/>
    <w:rsid w:val="00663E11"/>
    <w:rsid w:val="00667697"/>
    <w:rsid w:val="0067608D"/>
    <w:rsid w:val="00681B3C"/>
    <w:rsid w:val="0068420C"/>
    <w:rsid w:val="006869C8"/>
    <w:rsid w:val="00692393"/>
    <w:rsid w:val="006B0096"/>
    <w:rsid w:val="006B01F1"/>
    <w:rsid w:val="007002D9"/>
    <w:rsid w:val="00703710"/>
    <w:rsid w:val="00704B48"/>
    <w:rsid w:val="00712CC4"/>
    <w:rsid w:val="00713559"/>
    <w:rsid w:val="007177E3"/>
    <w:rsid w:val="00720111"/>
    <w:rsid w:val="00727937"/>
    <w:rsid w:val="00732BA9"/>
    <w:rsid w:val="007955F8"/>
    <w:rsid w:val="007B4231"/>
    <w:rsid w:val="007C11D9"/>
    <w:rsid w:val="007C2FB9"/>
    <w:rsid w:val="007C4375"/>
    <w:rsid w:val="007D08E9"/>
    <w:rsid w:val="007D3D60"/>
    <w:rsid w:val="00816202"/>
    <w:rsid w:val="00820D60"/>
    <w:rsid w:val="00826FB7"/>
    <w:rsid w:val="00834C11"/>
    <w:rsid w:val="0084516E"/>
    <w:rsid w:val="00850765"/>
    <w:rsid w:val="00860313"/>
    <w:rsid w:val="008635BE"/>
    <w:rsid w:val="00896413"/>
    <w:rsid w:val="008C2631"/>
    <w:rsid w:val="008F7330"/>
    <w:rsid w:val="00904198"/>
    <w:rsid w:val="00905406"/>
    <w:rsid w:val="009071EB"/>
    <w:rsid w:val="00917A05"/>
    <w:rsid w:val="009277CB"/>
    <w:rsid w:val="00927D80"/>
    <w:rsid w:val="00932728"/>
    <w:rsid w:val="00936232"/>
    <w:rsid w:val="00952B64"/>
    <w:rsid w:val="0096072E"/>
    <w:rsid w:val="00965BDF"/>
    <w:rsid w:val="009753F0"/>
    <w:rsid w:val="00997215"/>
    <w:rsid w:val="009B7E00"/>
    <w:rsid w:val="009E2012"/>
    <w:rsid w:val="009F5056"/>
    <w:rsid w:val="009F70E6"/>
    <w:rsid w:val="00A04AEA"/>
    <w:rsid w:val="00A34E6C"/>
    <w:rsid w:val="00A3751E"/>
    <w:rsid w:val="00A553AA"/>
    <w:rsid w:val="00A6499E"/>
    <w:rsid w:val="00A64EFD"/>
    <w:rsid w:val="00A70027"/>
    <w:rsid w:val="00A95347"/>
    <w:rsid w:val="00AA35D9"/>
    <w:rsid w:val="00AB13EE"/>
    <w:rsid w:val="00AE138A"/>
    <w:rsid w:val="00AE53B3"/>
    <w:rsid w:val="00AF05DF"/>
    <w:rsid w:val="00AF1A2A"/>
    <w:rsid w:val="00AF5298"/>
    <w:rsid w:val="00B03442"/>
    <w:rsid w:val="00B055A1"/>
    <w:rsid w:val="00B10F1C"/>
    <w:rsid w:val="00B16019"/>
    <w:rsid w:val="00B36860"/>
    <w:rsid w:val="00B50E8A"/>
    <w:rsid w:val="00B52466"/>
    <w:rsid w:val="00B71284"/>
    <w:rsid w:val="00B74B49"/>
    <w:rsid w:val="00BA067C"/>
    <w:rsid w:val="00BC5013"/>
    <w:rsid w:val="00BD3A6A"/>
    <w:rsid w:val="00BE5FDA"/>
    <w:rsid w:val="00BF50F7"/>
    <w:rsid w:val="00C13844"/>
    <w:rsid w:val="00C404CB"/>
    <w:rsid w:val="00C44008"/>
    <w:rsid w:val="00C570FD"/>
    <w:rsid w:val="00C7498E"/>
    <w:rsid w:val="00C76014"/>
    <w:rsid w:val="00C82BE5"/>
    <w:rsid w:val="00C850C8"/>
    <w:rsid w:val="00C87719"/>
    <w:rsid w:val="00CA0DCD"/>
    <w:rsid w:val="00CA6A91"/>
    <w:rsid w:val="00CE116C"/>
    <w:rsid w:val="00D037E9"/>
    <w:rsid w:val="00D26DCD"/>
    <w:rsid w:val="00D52EEA"/>
    <w:rsid w:val="00D70D4F"/>
    <w:rsid w:val="00D75BC2"/>
    <w:rsid w:val="00D8012C"/>
    <w:rsid w:val="00D92CEF"/>
    <w:rsid w:val="00DB1347"/>
    <w:rsid w:val="00DF6F1E"/>
    <w:rsid w:val="00E13154"/>
    <w:rsid w:val="00E312CE"/>
    <w:rsid w:val="00E557C0"/>
    <w:rsid w:val="00E66CF3"/>
    <w:rsid w:val="00E724E7"/>
    <w:rsid w:val="00E746D3"/>
    <w:rsid w:val="00E82E7F"/>
    <w:rsid w:val="00F17220"/>
    <w:rsid w:val="00F2525B"/>
    <w:rsid w:val="00F33D3C"/>
    <w:rsid w:val="00F732B5"/>
    <w:rsid w:val="00F77C6A"/>
    <w:rsid w:val="00F92C4B"/>
    <w:rsid w:val="00FC7C11"/>
    <w:rsid w:val="00FD296A"/>
    <w:rsid w:val="00FD60AF"/>
    <w:rsid w:val="00FE1D13"/>
    <w:rsid w:val="00FE359A"/>
    <w:rsid w:val="00FF1F5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808CC"/>
  <w15:chartTrackingRefBased/>
  <w15:docId w15:val="{4A2A06C9-B6BF-4B02-85A2-B3140A83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
    <w:name w:val="Normal"/>
    <w:qFormat/>
    <w:rsid w:val="00AF05DF"/>
    <w:pPr>
      <w:spacing w:line="260" w:lineRule="atLeast"/>
      <w:jc w:val="both"/>
    </w:pPr>
    <w:rPr>
      <w:rFonts w:ascii="Palatino Linotype" w:hAnsi="Palatino Linotype"/>
      <w:noProof/>
      <w:color w:val="000000"/>
    </w:rPr>
  </w:style>
  <w:style w:type="paragraph" w:styleId="Heading1">
    <w:name w:val="heading 1"/>
    <w:basedOn w:val="Normal"/>
    <w:next w:val="BodyText"/>
    <w:link w:val="Heading1Char"/>
    <w:qFormat/>
    <w:rsid w:val="000F77EA"/>
    <w:pPr>
      <w:numPr>
        <w:numId w:val="1"/>
      </w:numPr>
      <w:suppressAutoHyphens/>
      <w:spacing w:before="280" w:after="280" w:line="240" w:lineRule="auto"/>
      <w:jc w:val="left"/>
      <w:outlineLvl w:val="0"/>
    </w:pPr>
    <w:rPr>
      <w:rFonts w:ascii="Times New Roman" w:eastAsia="Times New Roman" w:hAnsi="Times New Roman"/>
      <w:b/>
      <w:bCs/>
      <w:noProof w:val="0"/>
      <w:color w:val="auto"/>
      <w:kern w:val="2"/>
      <w:sz w:val="48"/>
      <w:szCs w:val="48"/>
    </w:rPr>
  </w:style>
  <w:style w:type="paragraph" w:styleId="Heading4">
    <w:name w:val="heading 4"/>
    <w:basedOn w:val="Normal"/>
    <w:next w:val="Normal"/>
    <w:link w:val="Heading4Char"/>
    <w:uiPriority w:val="9"/>
    <w:unhideWhenUsed/>
    <w:qFormat/>
    <w:rsid w:val="000F77EA"/>
    <w:pPr>
      <w:keepNext/>
      <w:suppressAutoHyphens/>
      <w:spacing w:before="240" w:after="60" w:line="240" w:lineRule="auto"/>
      <w:jc w:val="left"/>
      <w:outlineLvl w:val="3"/>
    </w:pPr>
    <w:rPr>
      <w:rFonts w:ascii="Calibri" w:eastAsia="Times New Roman" w:hAnsi="Calibri"/>
      <w:b/>
      <w:bCs/>
      <w:noProof w:val="0"/>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0F77EA"/>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0F77EA"/>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0F77EA"/>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0F77EA"/>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0F77EA"/>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0F77EA"/>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0F77EA"/>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0F77EA"/>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2D4D3E"/>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AF05DF"/>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AF05DF"/>
    <w:pPr>
      <w:tabs>
        <w:tab w:val="center" w:pos="4153"/>
        <w:tab w:val="right" w:pos="8306"/>
      </w:tabs>
      <w:snapToGrid w:val="0"/>
      <w:spacing w:line="240" w:lineRule="atLeast"/>
    </w:pPr>
    <w:rPr>
      <w:szCs w:val="18"/>
    </w:rPr>
  </w:style>
  <w:style w:type="character" w:customStyle="1" w:styleId="FooterChar">
    <w:name w:val="Footer Char"/>
    <w:link w:val="Footer"/>
    <w:rsid w:val="00AF05DF"/>
    <w:rPr>
      <w:rFonts w:ascii="Palatino Linotype" w:hAnsi="Palatino Linotype"/>
      <w:noProof/>
      <w:color w:val="000000"/>
      <w:szCs w:val="18"/>
    </w:rPr>
  </w:style>
  <w:style w:type="paragraph" w:styleId="Header">
    <w:name w:val="header"/>
    <w:basedOn w:val="Normal"/>
    <w:link w:val="HeaderChar"/>
    <w:rsid w:val="00AF05DF"/>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rsid w:val="00AF05DF"/>
    <w:rPr>
      <w:rFonts w:ascii="Palatino Linotype" w:hAnsi="Palatino Linotype"/>
      <w:noProof/>
      <w:color w:val="000000"/>
      <w:szCs w:val="18"/>
    </w:rPr>
  </w:style>
  <w:style w:type="paragraph" w:customStyle="1" w:styleId="MDPIheaderjournallogo">
    <w:name w:val="MDPI_header_journal_logo"/>
    <w:qFormat/>
    <w:rsid w:val="000F77EA"/>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0F77EA"/>
    <w:pPr>
      <w:ind w:firstLine="0"/>
    </w:pPr>
  </w:style>
  <w:style w:type="paragraph" w:customStyle="1" w:styleId="MDPI31text">
    <w:name w:val="MDPI_3.1_text"/>
    <w:qFormat/>
    <w:rsid w:val="000F77EA"/>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0F77EA"/>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0F77EA"/>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0F77EA"/>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0F77EA"/>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0F77EA"/>
    <w:pPr>
      <w:numPr>
        <w:numId w:val="39"/>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0F77EA"/>
    <w:pPr>
      <w:numPr>
        <w:numId w:val="4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0F77EA"/>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0F77EA"/>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0F77EA"/>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0F77EA"/>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0F77EA"/>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0F77EA"/>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0F77EA"/>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0F77EA"/>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0F77EA"/>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0F77EA"/>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0F77EA"/>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0F77EA"/>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0F77EA"/>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rsid w:val="00AF05DF"/>
    <w:rPr>
      <w:rFonts w:cs="Tahoma"/>
      <w:szCs w:val="18"/>
    </w:rPr>
  </w:style>
  <w:style w:type="character" w:customStyle="1" w:styleId="BalloonTextChar">
    <w:name w:val="Balloon Text Char"/>
    <w:link w:val="BalloonText"/>
    <w:rsid w:val="00AF05DF"/>
    <w:rPr>
      <w:rFonts w:ascii="Palatino Linotype" w:hAnsi="Palatino Linotype" w:cs="Tahoma"/>
      <w:noProof/>
      <w:color w:val="000000"/>
      <w:szCs w:val="18"/>
    </w:rPr>
  </w:style>
  <w:style w:type="character" w:styleId="LineNumber">
    <w:name w:val="line number"/>
    <w:uiPriority w:val="99"/>
    <w:rsid w:val="000F77EA"/>
    <w:rPr>
      <w:rFonts w:ascii="Palatino Linotype" w:hAnsi="Palatino Linotype"/>
      <w:sz w:val="16"/>
    </w:rPr>
  </w:style>
  <w:style w:type="table" w:customStyle="1" w:styleId="MDPI41threelinetable">
    <w:name w:val="MDPI_4.1_three_line_table"/>
    <w:basedOn w:val="TableNormal"/>
    <w:uiPriority w:val="99"/>
    <w:rsid w:val="000F77EA"/>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rsid w:val="00AF05DF"/>
    <w:rPr>
      <w:color w:val="0000FF"/>
      <w:u w:val="single"/>
    </w:rPr>
  </w:style>
  <w:style w:type="character" w:styleId="FollowedHyperlink">
    <w:name w:val="FollowedHyperlink"/>
    <w:rsid w:val="00AF05DF"/>
    <w:rPr>
      <w:color w:val="954F72"/>
      <w:u w:val="single"/>
    </w:rPr>
  </w:style>
  <w:style w:type="table" w:styleId="PlainTable4">
    <w:name w:val="Plain Table 4"/>
    <w:basedOn w:val="TableNormal"/>
    <w:uiPriority w:val="44"/>
    <w:rsid w:val="00AF529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0F77EA"/>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0F77EA"/>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0F77EA"/>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0F77EA"/>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0F77EA"/>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0F77EA"/>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0F77EA"/>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0F77EA"/>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0F77EA"/>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0F77EA"/>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0F77EA"/>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0F77EA"/>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0F77EA"/>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0F77EA"/>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0F77EA"/>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0F77EA"/>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0F77EA"/>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0F77EA"/>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AF05DF"/>
  </w:style>
  <w:style w:type="paragraph" w:styleId="Bibliography">
    <w:name w:val="Bibliography"/>
    <w:basedOn w:val="Normal"/>
    <w:next w:val="Normal"/>
    <w:uiPriority w:val="37"/>
    <w:semiHidden/>
    <w:unhideWhenUsed/>
    <w:rsid w:val="00AF05DF"/>
  </w:style>
  <w:style w:type="paragraph" w:styleId="BodyText">
    <w:name w:val="Body Text"/>
    <w:link w:val="BodyTextChar"/>
    <w:rsid w:val="00AF05DF"/>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AF05DF"/>
    <w:rPr>
      <w:rFonts w:ascii="Palatino Linotype" w:hAnsi="Palatino Linotype"/>
      <w:color w:val="000000"/>
      <w:sz w:val="24"/>
      <w:lang w:eastAsia="de-DE"/>
    </w:rPr>
  </w:style>
  <w:style w:type="character" w:styleId="CommentReference">
    <w:name w:val="annotation reference"/>
    <w:rsid w:val="00AF05DF"/>
    <w:rPr>
      <w:sz w:val="21"/>
      <w:szCs w:val="21"/>
    </w:rPr>
  </w:style>
  <w:style w:type="paragraph" w:styleId="CommentText">
    <w:name w:val="annotation text"/>
    <w:basedOn w:val="Normal"/>
    <w:link w:val="CommentTextChar"/>
    <w:rsid w:val="00AF05DF"/>
  </w:style>
  <w:style w:type="character" w:customStyle="1" w:styleId="CommentTextChar">
    <w:name w:val="Comment Text Char"/>
    <w:link w:val="CommentText"/>
    <w:rsid w:val="00AF05DF"/>
    <w:rPr>
      <w:rFonts w:ascii="Palatino Linotype" w:hAnsi="Palatino Linotype"/>
      <w:noProof/>
      <w:color w:val="000000"/>
    </w:rPr>
  </w:style>
  <w:style w:type="paragraph" w:styleId="CommentSubject">
    <w:name w:val="annotation subject"/>
    <w:basedOn w:val="CommentText"/>
    <w:next w:val="CommentText"/>
    <w:link w:val="CommentSubjectChar"/>
    <w:rsid w:val="00AF05DF"/>
    <w:rPr>
      <w:b/>
      <w:bCs/>
    </w:rPr>
  </w:style>
  <w:style w:type="character" w:customStyle="1" w:styleId="CommentSubjectChar">
    <w:name w:val="Comment Subject Char"/>
    <w:link w:val="CommentSubject"/>
    <w:rsid w:val="00AF05DF"/>
    <w:rPr>
      <w:rFonts w:ascii="Palatino Linotype" w:hAnsi="Palatino Linotype"/>
      <w:b/>
      <w:bCs/>
      <w:noProof/>
      <w:color w:val="000000"/>
    </w:rPr>
  </w:style>
  <w:style w:type="character" w:styleId="EndnoteReference">
    <w:name w:val="endnote reference"/>
    <w:rsid w:val="00AF05DF"/>
    <w:rPr>
      <w:vertAlign w:val="superscript"/>
    </w:rPr>
  </w:style>
  <w:style w:type="paragraph" w:styleId="EndnoteText">
    <w:name w:val="endnote text"/>
    <w:basedOn w:val="Normal"/>
    <w:link w:val="EndnoteTextChar"/>
    <w:semiHidden/>
    <w:unhideWhenUsed/>
    <w:rsid w:val="00AF05DF"/>
    <w:pPr>
      <w:spacing w:line="240" w:lineRule="auto"/>
    </w:pPr>
  </w:style>
  <w:style w:type="character" w:customStyle="1" w:styleId="EndnoteTextChar">
    <w:name w:val="Endnote Text Char"/>
    <w:link w:val="EndnoteText"/>
    <w:semiHidden/>
    <w:rsid w:val="00AF05DF"/>
    <w:rPr>
      <w:rFonts w:ascii="Palatino Linotype" w:hAnsi="Palatino Linotype"/>
      <w:noProof/>
      <w:color w:val="000000"/>
    </w:rPr>
  </w:style>
  <w:style w:type="paragraph" w:styleId="FootnoteText">
    <w:name w:val="footnote text"/>
    <w:basedOn w:val="Normal"/>
    <w:link w:val="FootnoteTextChar"/>
    <w:semiHidden/>
    <w:unhideWhenUsed/>
    <w:rsid w:val="00AF05DF"/>
    <w:pPr>
      <w:spacing w:line="240" w:lineRule="auto"/>
    </w:pPr>
  </w:style>
  <w:style w:type="character" w:customStyle="1" w:styleId="FootnoteTextChar">
    <w:name w:val="Footnote Text Char"/>
    <w:link w:val="FootnoteText"/>
    <w:semiHidden/>
    <w:rsid w:val="00AF05DF"/>
    <w:rPr>
      <w:rFonts w:ascii="Palatino Linotype" w:hAnsi="Palatino Linotype"/>
      <w:noProof/>
      <w:color w:val="000000"/>
    </w:rPr>
  </w:style>
  <w:style w:type="paragraph" w:styleId="NormalWeb">
    <w:name w:val="Normal (Web)"/>
    <w:basedOn w:val="Normal"/>
    <w:uiPriority w:val="99"/>
    <w:rsid w:val="00AF05DF"/>
    <w:rPr>
      <w:szCs w:val="24"/>
    </w:rPr>
  </w:style>
  <w:style w:type="paragraph" w:customStyle="1" w:styleId="MsoFootnoteText0">
    <w:name w:val="MsoFootnoteText"/>
    <w:basedOn w:val="NormalWeb"/>
    <w:qFormat/>
    <w:rsid w:val="00AF05DF"/>
    <w:rPr>
      <w:rFonts w:ascii="Times New Roman" w:hAnsi="Times New Roman"/>
    </w:rPr>
  </w:style>
  <w:style w:type="character" w:styleId="PageNumber">
    <w:name w:val="page number"/>
    <w:rsid w:val="00AF05DF"/>
  </w:style>
  <w:style w:type="character" w:styleId="PlaceholderText">
    <w:name w:val="Placeholder Text"/>
    <w:uiPriority w:val="99"/>
    <w:semiHidden/>
    <w:rsid w:val="00AF05DF"/>
    <w:rPr>
      <w:color w:val="808080"/>
    </w:rPr>
  </w:style>
  <w:style w:type="paragraph" w:customStyle="1" w:styleId="MDPI71FootNotes">
    <w:name w:val="MDPI_7.1_FootNotes"/>
    <w:qFormat/>
    <w:rsid w:val="00AE53B3"/>
    <w:pPr>
      <w:numPr>
        <w:numId w:val="27"/>
      </w:numPr>
      <w:adjustRightInd w:val="0"/>
      <w:snapToGrid w:val="0"/>
      <w:spacing w:line="228" w:lineRule="auto"/>
    </w:pPr>
    <w:rPr>
      <w:rFonts w:ascii="Palatino Linotype" w:eastAsiaTheme="minorEastAsia" w:hAnsi="Palatino Linotype"/>
      <w:noProof/>
      <w:color w:val="000000"/>
      <w:sz w:val="18"/>
    </w:rPr>
  </w:style>
  <w:style w:type="character" w:styleId="UnresolvedMention">
    <w:name w:val="Unresolved Mention"/>
    <w:basedOn w:val="DefaultParagraphFont"/>
    <w:unhideWhenUsed/>
    <w:rsid w:val="004A53EF"/>
    <w:rPr>
      <w:color w:val="605E5C"/>
      <w:shd w:val="clear" w:color="auto" w:fill="E1DFDD"/>
    </w:rPr>
  </w:style>
  <w:style w:type="character" w:customStyle="1" w:styleId="Heading1Char">
    <w:name w:val="Heading 1 Char"/>
    <w:basedOn w:val="DefaultParagraphFont"/>
    <w:link w:val="Heading1"/>
    <w:rsid w:val="000F77EA"/>
    <w:rPr>
      <w:rFonts w:ascii="Times New Roman" w:eastAsia="Times New Roman" w:hAnsi="Times New Roman"/>
      <w:b/>
      <w:bCs/>
      <w:kern w:val="2"/>
      <w:sz w:val="48"/>
      <w:szCs w:val="48"/>
    </w:rPr>
  </w:style>
  <w:style w:type="character" w:customStyle="1" w:styleId="Heading4Char">
    <w:name w:val="Heading 4 Char"/>
    <w:basedOn w:val="DefaultParagraphFont"/>
    <w:link w:val="Heading4"/>
    <w:uiPriority w:val="9"/>
    <w:rsid w:val="000F77EA"/>
    <w:rPr>
      <w:rFonts w:eastAsia="Times New Roman"/>
      <w:b/>
      <w:bCs/>
      <w:sz w:val="28"/>
      <w:szCs w:val="28"/>
    </w:rPr>
  </w:style>
  <w:style w:type="character" w:customStyle="1" w:styleId="WW8Num1z0">
    <w:name w:val="WW8Num1z0"/>
    <w:rsid w:val="000F77EA"/>
    <w:rPr>
      <w:rFonts w:ascii="Symbol" w:hAnsi="Symbol" w:cs="Symbol" w:hint="default"/>
    </w:rPr>
  </w:style>
  <w:style w:type="character" w:customStyle="1" w:styleId="WW8Num1z2">
    <w:name w:val="WW8Num1z2"/>
    <w:rsid w:val="000F77EA"/>
    <w:rPr>
      <w:rFonts w:ascii="Courier New" w:hAnsi="Courier New" w:cs="Courier New" w:hint="default"/>
    </w:rPr>
  </w:style>
  <w:style w:type="character" w:customStyle="1" w:styleId="WW8Num1z3">
    <w:name w:val="WW8Num1z3"/>
    <w:rsid w:val="000F77EA"/>
    <w:rPr>
      <w:rFonts w:ascii="Wingdings" w:hAnsi="Wingdings" w:cs="Wingdings" w:hint="default"/>
    </w:rPr>
  </w:style>
  <w:style w:type="character" w:customStyle="1" w:styleId="WW8Num2z0">
    <w:name w:val="WW8Num2z0"/>
    <w:rsid w:val="000F77EA"/>
    <w:rPr>
      <w:rFonts w:hint="default"/>
    </w:rPr>
  </w:style>
  <w:style w:type="character" w:customStyle="1" w:styleId="WW8Num2z1">
    <w:name w:val="WW8Num2z1"/>
    <w:rsid w:val="000F77EA"/>
  </w:style>
  <w:style w:type="character" w:customStyle="1" w:styleId="WW8Num2z2">
    <w:name w:val="WW8Num2z2"/>
    <w:rsid w:val="000F77EA"/>
  </w:style>
  <w:style w:type="character" w:customStyle="1" w:styleId="WW8Num2z3">
    <w:name w:val="WW8Num2z3"/>
    <w:rsid w:val="000F77EA"/>
  </w:style>
  <w:style w:type="character" w:customStyle="1" w:styleId="WW8Num2z4">
    <w:name w:val="WW8Num2z4"/>
    <w:rsid w:val="000F77EA"/>
  </w:style>
  <w:style w:type="character" w:customStyle="1" w:styleId="WW8Num2z5">
    <w:name w:val="WW8Num2z5"/>
    <w:rsid w:val="000F77EA"/>
  </w:style>
  <w:style w:type="character" w:customStyle="1" w:styleId="WW8Num2z6">
    <w:name w:val="WW8Num2z6"/>
    <w:rsid w:val="000F77EA"/>
  </w:style>
  <w:style w:type="character" w:customStyle="1" w:styleId="WW8Num2z7">
    <w:name w:val="WW8Num2z7"/>
    <w:rsid w:val="000F77EA"/>
  </w:style>
  <w:style w:type="character" w:customStyle="1" w:styleId="WW8Num2z8">
    <w:name w:val="WW8Num2z8"/>
    <w:rsid w:val="000F77EA"/>
  </w:style>
  <w:style w:type="character" w:customStyle="1" w:styleId="WW8Num3z0">
    <w:name w:val="WW8Num3z0"/>
    <w:rsid w:val="000F77EA"/>
    <w:rPr>
      <w:rFonts w:ascii="Wingdings" w:hAnsi="Wingdings" w:cs="Wingdings" w:hint="default"/>
    </w:rPr>
  </w:style>
  <w:style w:type="character" w:customStyle="1" w:styleId="WW8Num3z1">
    <w:name w:val="WW8Num3z1"/>
    <w:rsid w:val="000F77EA"/>
    <w:rPr>
      <w:rFonts w:ascii="Courier New" w:hAnsi="Courier New" w:cs="Courier New" w:hint="default"/>
    </w:rPr>
  </w:style>
  <w:style w:type="character" w:customStyle="1" w:styleId="WW8Num3z3">
    <w:name w:val="WW8Num3z3"/>
    <w:rsid w:val="000F77EA"/>
    <w:rPr>
      <w:rFonts w:ascii="Symbol" w:hAnsi="Symbol" w:cs="Symbol" w:hint="default"/>
    </w:rPr>
  </w:style>
  <w:style w:type="character" w:customStyle="1" w:styleId="WW8Num4z0">
    <w:name w:val="WW8Num4z0"/>
    <w:rsid w:val="000F77EA"/>
    <w:rPr>
      <w:rFonts w:ascii="Wingdings" w:hAnsi="Wingdings" w:cs="Wingdings" w:hint="default"/>
    </w:rPr>
  </w:style>
  <w:style w:type="character" w:customStyle="1" w:styleId="WW8Num4z1">
    <w:name w:val="WW8Num4z1"/>
    <w:rsid w:val="000F77EA"/>
    <w:rPr>
      <w:rFonts w:ascii="Courier New" w:hAnsi="Courier New" w:cs="Courier New" w:hint="default"/>
    </w:rPr>
  </w:style>
  <w:style w:type="character" w:customStyle="1" w:styleId="WW8Num4z3">
    <w:name w:val="WW8Num4z3"/>
    <w:rsid w:val="000F77EA"/>
    <w:rPr>
      <w:rFonts w:ascii="Symbol" w:hAnsi="Symbol" w:cs="Symbol" w:hint="default"/>
    </w:rPr>
  </w:style>
  <w:style w:type="character" w:customStyle="1" w:styleId="WW8Num5z0">
    <w:name w:val="WW8Num5z0"/>
    <w:rsid w:val="000F77EA"/>
    <w:rPr>
      <w:rFonts w:ascii="Wingdings" w:hAnsi="Wingdings" w:cs="Wingdings" w:hint="default"/>
    </w:rPr>
  </w:style>
  <w:style w:type="character" w:customStyle="1" w:styleId="WW8Num5z1">
    <w:name w:val="WW8Num5z1"/>
    <w:rsid w:val="000F77EA"/>
    <w:rPr>
      <w:rFonts w:ascii="Courier New" w:hAnsi="Courier New" w:cs="Courier New" w:hint="default"/>
    </w:rPr>
  </w:style>
  <w:style w:type="character" w:customStyle="1" w:styleId="WW8Num5z3">
    <w:name w:val="WW8Num5z3"/>
    <w:rsid w:val="000F77EA"/>
    <w:rPr>
      <w:rFonts w:ascii="Symbol" w:hAnsi="Symbol" w:cs="Symbol" w:hint="default"/>
    </w:rPr>
  </w:style>
  <w:style w:type="character" w:customStyle="1" w:styleId="WW8Num6z0">
    <w:name w:val="WW8Num6z0"/>
    <w:rsid w:val="000F77EA"/>
    <w:rPr>
      <w:rFonts w:ascii="Wingdings" w:hAnsi="Wingdings" w:cs="Wingdings" w:hint="default"/>
    </w:rPr>
  </w:style>
  <w:style w:type="character" w:customStyle="1" w:styleId="WW8Num6z1">
    <w:name w:val="WW8Num6z1"/>
    <w:rsid w:val="000F77EA"/>
    <w:rPr>
      <w:rFonts w:ascii="Courier New" w:hAnsi="Courier New" w:cs="Courier New" w:hint="default"/>
    </w:rPr>
  </w:style>
  <w:style w:type="character" w:customStyle="1" w:styleId="WW8Num6z3">
    <w:name w:val="WW8Num6z3"/>
    <w:rsid w:val="000F77EA"/>
    <w:rPr>
      <w:rFonts w:ascii="Symbol" w:hAnsi="Symbol" w:cs="Symbol" w:hint="default"/>
    </w:rPr>
  </w:style>
  <w:style w:type="character" w:customStyle="1" w:styleId="WW8Num7z0">
    <w:name w:val="WW8Num7z0"/>
    <w:rsid w:val="000F77EA"/>
  </w:style>
  <w:style w:type="character" w:customStyle="1" w:styleId="WW8Num7z1">
    <w:name w:val="WW8Num7z1"/>
    <w:rsid w:val="000F77EA"/>
  </w:style>
  <w:style w:type="character" w:customStyle="1" w:styleId="WW8Num7z2">
    <w:name w:val="WW8Num7z2"/>
    <w:rsid w:val="000F77EA"/>
  </w:style>
  <w:style w:type="character" w:customStyle="1" w:styleId="WW8Num7z3">
    <w:name w:val="WW8Num7z3"/>
    <w:rsid w:val="000F77EA"/>
  </w:style>
  <w:style w:type="character" w:customStyle="1" w:styleId="WW8Num7z4">
    <w:name w:val="WW8Num7z4"/>
    <w:rsid w:val="000F77EA"/>
  </w:style>
  <w:style w:type="character" w:customStyle="1" w:styleId="WW8Num7z5">
    <w:name w:val="WW8Num7z5"/>
    <w:rsid w:val="000F77EA"/>
  </w:style>
  <w:style w:type="character" w:customStyle="1" w:styleId="WW8Num7z6">
    <w:name w:val="WW8Num7z6"/>
    <w:rsid w:val="000F77EA"/>
  </w:style>
  <w:style w:type="character" w:customStyle="1" w:styleId="WW8Num7z7">
    <w:name w:val="WW8Num7z7"/>
    <w:rsid w:val="000F77EA"/>
  </w:style>
  <w:style w:type="character" w:customStyle="1" w:styleId="WW8Num7z8">
    <w:name w:val="WW8Num7z8"/>
    <w:rsid w:val="000F77EA"/>
  </w:style>
  <w:style w:type="character" w:customStyle="1" w:styleId="WW8Num8z0">
    <w:name w:val="WW8Num8z0"/>
    <w:rsid w:val="000F77EA"/>
    <w:rPr>
      <w:rFonts w:ascii="Wingdings" w:hAnsi="Wingdings" w:cs="Wingdings" w:hint="default"/>
    </w:rPr>
  </w:style>
  <w:style w:type="character" w:customStyle="1" w:styleId="WW8Num8z1">
    <w:name w:val="WW8Num8z1"/>
    <w:rsid w:val="000F77EA"/>
    <w:rPr>
      <w:rFonts w:ascii="Courier New" w:hAnsi="Courier New" w:cs="Courier New" w:hint="default"/>
    </w:rPr>
  </w:style>
  <w:style w:type="character" w:customStyle="1" w:styleId="WW8Num8z3">
    <w:name w:val="WW8Num8z3"/>
    <w:rsid w:val="000F77EA"/>
    <w:rPr>
      <w:rFonts w:ascii="Symbol" w:hAnsi="Symbol" w:cs="Symbol" w:hint="default"/>
    </w:rPr>
  </w:style>
  <w:style w:type="character" w:customStyle="1" w:styleId="WW8Num9z0">
    <w:name w:val="WW8Num9z0"/>
    <w:rsid w:val="000F77EA"/>
    <w:rPr>
      <w:rFonts w:ascii="Wingdings" w:hAnsi="Wingdings" w:cs="Wingdings" w:hint="default"/>
    </w:rPr>
  </w:style>
  <w:style w:type="character" w:customStyle="1" w:styleId="WW8Num9z1">
    <w:name w:val="WW8Num9z1"/>
    <w:rsid w:val="000F77EA"/>
    <w:rPr>
      <w:rFonts w:ascii="Courier New" w:hAnsi="Courier New" w:cs="Courier New" w:hint="default"/>
    </w:rPr>
  </w:style>
  <w:style w:type="character" w:customStyle="1" w:styleId="WW8Num9z3">
    <w:name w:val="WW8Num9z3"/>
    <w:rsid w:val="000F77EA"/>
    <w:rPr>
      <w:rFonts w:ascii="Symbol" w:hAnsi="Symbol" w:cs="Symbol" w:hint="default"/>
    </w:rPr>
  </w:style>
  <w:style w:type="character" w:customStyle="1" w:styleId="WW8Num10z0">
    <w:name w:val="WW8Num10z0"/>
    <w:rsid w:val="000F77EA"/>
    <w:rPr>
      <w:b w:val="0"/>
      <w:i w:val="0"/>
    </w:rPr>
  </w:style>
  <w:style w:type="character" w:customStyle="1" w:styleId="WW8Num10z1">
    <w:name w:val="WW8Num10z1"/>
    <w:rsid w:val="000F77EA"/>
  </w:style>
  <w:style w:type="character" w:customStyle="1" w:styleId="WW8Num10z2">
    <w:name w:val="WW8Num10z2"/>
    <w:rsid w:val="000F77EA"/>
  </w:style>
  <w:style w:type="character" w:customStyle="1" w:styleId="WW8Num10z3">
    <w:name w:val="WW8Num10z3"/>
    <w:rsid w:val="000F77EA"/>
  </w:style>
  <w:style w:type="character" w:customStyle="1" w:styleId="WW8Num10z4">
    <w:name w:val="WW8Num10z4"/>
    <w:rsid w:val="000F77EA"/>
  </w:style>
  <w:style w:type="character" w:customStyle="1" w:styleId="WW8Num10z5">
    <w:name w:val="WW8Num10z5"/>
    <w:rsid w:val="000F77EA"/>
  </w:style>
  <w:style w:type="character" w:customStyle="1" w:styleId="WW8Num10z6">
    <w:name w:val="WW8Num10z6"/>
    <w:rsid w:val="000F77EA"/>
  </w:style>
  <w:style w:type="character" w:customStyle="1" w:styleId="WW8Num10z7">
    <w:name w:val="WW8Num10z7"/>
    <w:rsid w:val="000F77EA"/>
  </w:style>
  <w:style w:type="character" w:customStyle="1" w:styleId="WW8Num10z8">
    <w:name w:val="WW8Num10z8"/>
    <w:rsid w:val="000F77EA"/>
  </w:style>
  <w:style w:type="character" w:customStyle="1" w:styleId="WW8Num11z0">
    <w:name w:val="WW8Num11z0"/>
    <w:rsid w:val="000F77EA"/>
    <w:rPr>
      <w:rFonts w:ascii="Wingdings" w:hAnsi="Wingdings" w:cs="Wingdings" w:hint="default"/>
    </w:rPr>
  </w:style>
  <w:style w:type="character" w:customStyle="1" w:styleId="WW8Num11z1">
    <w:name w:val="WW8Num11z1"/>
    <w:rsid w:val="000F77EA"/>
    <w:rPr>
      <w:rFonts w:ascii="Courier New" w:hAnsi="Courier New" w:cs="Courier New" w:hint="default"/>
    </w:rPr>
  </w:style>
  <w:style w:type="character" w:customStyle="1" w:styleId="WW8Num11z3">
    <w:name w:val="WW8Num11z3"/>
    <w:rsid w:val="000F77EA"/>
    <w:rPr>
      <w:rFonts w:ascii="Symbol" w:hAnsi="Symbol" w:cs="Symbol" w:hint="default"/>
    </w:rPr>
  </w:style>
  <w:style w:type="character" w:customStyle="1" w:styleId="WW8Num12z0">
    <w:name w:val="WW8Num12z0"/>
    <w:rsid w:val="000F77EA"/>
    <w:rPr>
      <w:rFonts w:ascii="Wingdings" w:hAnsi="Wingdings" w:cs="Wingdings" w:hint="default"/>
    </w:rPr>
  </w:style>
  <w:style w:type="character" w:customStyle="1" w:styleId="WW8Num12z1">
    <w:name w:val="WW8Num12z1"/>
    <w:rsid w:val="000F77EA"/>
    <w:rPr>
      <w:rFonts w:ascii="Courier New" w:hAnsi="Courier New" w:cs="Courier New" w:hint="default"/>
    </w:rPr>
  </w:style>
  <w:style w:type="character" w:customStyle="1" w:styleId="WW8Num12z3">
    <w:name w:val="WW8Num12z3"/>
    <w:rsid w:val="000F77EA"/>
    <w:rPr>
      <w:rFonts w:ascii="Symbol" w:hAnsi="Symbol" w:cs="Symbol" w:hint="default"/>
    </w:rPr>
  </w:style>
  <w:style w:type="character" w:customStyle="1" w:styleId="WW8Num13z0">
    <w:name w:val="WW8Num13z0"/>
    <w:rsid w:val="000F77EA"/>
    <w:rPr>
      <w:rFonts w:ascii="Wingdings" w:hAnsi="Wingdings" w:cs="Wingdings" w:hint="default"/>
    </w:rPr>
  </w:style>
  <w:style w:type="character" w:customStyle="1" w:styleId="WW8Num13z1">
    <w:name w:val="WW8Num13z1"/>
    <w:rsid w:val="000F77EA"/>
    <w:rPr>
      <w:rFonts w:ascii="Courier New" w:hAnsi="Courier New" w:cs="Courier New" w:hint="default"/>
    </w:rPr>
  </w:style>
  <w:style w:type="character" w:customStyle="1" w:styleId="WW8Num13z3">
    <w:name w:val="WW8Num13z3"/>
    <w:rsid w:val="000F77EA"/>
    <w:rPr>
      <w:rFonts w:ascii="Symbol" w:hAnsi="Symbol" w:cs="Symbol" w:hint="default"/>
    </w:rPr>
  </w:style>
  <w:style w:type="character" w:customStyle="1" w:styleId="WW8Num14z0">
    <w:name w:val="WW8Num14z0"/>
    <w:rsid w:val="000F77EA"/>
    <w:rPr>
      <w:rFonts w:ascii="Wingdings" w:hAnsi="Wingdings" w:cs="Wingdings" w:hint="default"/>
    </w:rPr>
  </w:style>
  <w:style w:type="character" w:customStyle="1" w:styleId="WW8Num14z1">
    <w:name w:val="WW8Num14z1"/>
    <w:rsid w:val="000F77EA"/>
    <w:rPr>
      <w:rFonts w:ascii="Courier New" w:hAnsi="Courier New" w:cs="Courier New" w:hint="default"/>
    </w:rPr>
  </w:style>
  <w:style w:type="character" w:customStyle="1" w:styleId="WW8Num14z3">
    <w:name w:val="WW8Num14z3"/>
    <w:rsid w:val="000F77EA"/>
    <w:rPr>
      <w:rFonts w:ascii="Symbol" w:hAnsi="Symbol" w:cs="Symbol" w:hint="default"/>
    </w:rPr>
  </w:style>
  <w:style w:type="character" w:customStyle="1" w:styleId="WW8Num15z0">
    <w:name w:val="WW8Num15z0"/>
    <w:rsid w:val="000F77EA"/>
    <w:rPr>
      <w:rFonts w:ascii="Wingdings" w:hAnsi="Wingdings" w:cs="Wingdings" w:hint="default"/>
    </w:rPr>
  </w:style>
  <w:style w:type="character" w:customStyle="1" w:styleId="WW8Num15z1">
    <w:name w:val="WW8Num15z1"/>
    <w:rsid w:val="000F77EA"/>
    <w:rPr>
      <w:rFonts w:ascii="Courier New" w:hAnsi="Courier New" w:cs="Courier New" w:hint="default"/>
    </w:rPr>
  </w:style>
  <w:style w:type="character" w:customStyle="1" w:styleId="WW8Num15z3">
    <w:name w:val="WW8Num15z3"/>
    <w:rsid w:val="000F77EA"/>
    <w:rPr>
      <w:rFonts w:ascii="Symbol" w:hAnsi="Symbol" w:cs="Symbol" w:hint="default"/>
    </w:rPr>
  </w:style>
  <w:style w:type="character" w:customStyle="1" w:styleId="WW8Num16z0">
    <w:name w:val="WW8Num16z0"/>
    <w:rsid w:val="000F77EA"/>
    <w:rPr>
      <w:rFonts w:ascii="Wingdings" w:hAnsi="Wingdings" w:cs="Wingdings" w:hint="default"/>
    </w:rPr>
  </w:style>
  <w:style w:type="character" w:customStyle="1" w:styleId="WW8Num16z1">
    <w:name w:val="WW8Num16z1"/>
    <w:rsid w:val="000F77EA"/>
    <w:rPr>
      <w:rFonts w:ascii="Courier New" w:hAnsi="Courier New" w:cs="Courier New" w:hint="default"/>
    </w:rPr>
  </w:style>
  <w:style w:type="character" w:customStyle="1" w:styleId="WW8Num16z3">
    <w:name w:val="WW8Num16z3"/>
    <w:rsid w:val="000F77EA"/>
    <w:rPr>
      <w:rFonts w:ascii="Symbol" w:hAnsi="Symbol" w:cs="Symbol" w:hint="default"/>
    </w:rPr>
  </w:style>
  <w:style w:type="character" w:customStyle="1" w:styleId="WW8Num17z0">
    <w:name w:val="WW8Num17z0"/>
    <w:rsid w:val="000F77EA"/>
    <w:rPr>
      <w:rFonts w:hint="default"/>
    </w:rPr>
  </w:style>
  <w:style w:type="character" w:customStyle="1" w:styleId="WW8Num17z1">
    <w:name w:val="WW8Num17z1"/>
    <w:rsid w:val="000F77EA"/>
  </w:style>
  <w:style w:type="character" w:customStyle="1" w:styleId="WW8Num17z2">
    <w:name w:val="WW8Num17z2"/>
    <w:rsid w:val="000F77EA"/>
  </w:style>
  <w:style w:type="character" w:customStyle="1" w:styleId="WW8Num17z3">
    <w:name w:val="WW8Num17z3"/>
    <w:rsid w:val="000F77EA"/>
  </w:style>
  <w:style w:type="character" w:customStyle="1" w:styleId="WW8Num17z4">
    <w:name w:val="WW8Num17z4"/>
    <w:rsid w:val="000F77EA"/>
  </w:style>
  <w:style w:type="character" w:customStyle="1" w:styleId="WW8Num17z5">
    <w:name w:val="WW8Num17z5"/>
    <w:rsid w:val="000F77EA"/>
  </w:style>
  <w:style w:type="character" w:customStyle="1" w:styleId="WW8Num17z6">
    <w:name w:val="WW8Num17z6"/>
    <w:rsid w:val="000F77EA"/>
  </w:style>
  <w:style w:type="character" w:customStyle="1" w:styleId="WW8Num17z7">
    <w:name w:val="WW8Num17z7"/>
    <w:rsid w:val="000F77EA"/>
  </w:style>
  <w:style w:type="character" w:customStyle="1" w:styleId="WW8Num17z8">
    <w:name w:val="WW8Num17z8"/>
    <w:rsid w:val="000F77EA"/>
  </w:style>
  <w:style w:type="character" w:customStyle="1" w:styleId="WW8Num18z0">
    <w:name w:val="WW8Num18z0"/>
    <w:rsid w:val="000F77EA"/>
    <w:rPr>
      <w:rFonts w:ascii="Wingdings" w:hAnsi="Wingdings" w:cs="Wingdings" w:hint="default"/>
    </w:rPr>
  </w:style>
  <w:style w:type="character" w:customStyle="1" w:styleId="WW8Num18z1">
    <w:name w:val="WW8Num18z1"/>
    <w:rsid w:val="000F77EA"/>
    <w:rPr>
      <w:rFonts w:ascii="Courier New" w:hAnsi="Courier New" w:cs="Courier New" w:hint="default"/>
    </w:rPr>
  </w:style>
  <w:style w:type="character" w:customStyle="1" w:styleId="WW8Num18z3">
    <w:name w:val="WW8Num18z3"/>
    <w:rsid w:val="000F77EA"/>
    <w:rPr>
      <w:rFonts w:ascii="Symbol" w:hAnsi="Symbol" w:cs="Symbol" w:hint="default"/>
    </w:rPr>
  </w:style>
  <w:style w:type="character" w:customStyle="1" w:styleId="WW8Num19z0">
    <w:name w:val="WW8Num19z0"/>
    <w:rsid w:val="000F77EA"/>
    <w:rPr>
      <w:rFonts w:ascii="Wingdings" w:hAnsi="Wingdings" w:cs="Wingdings" w:hint="default"/>
    </w:rPr>
  </w:style>
  <w:style w:type="character" w:customStyle="1" w:styleId="WW8Num19z1">
    <w:name w:val="WW8Num19z1"/>
    <w:rsid w:val="000F77EA"/>
    <w:rPr>
      <w:rFonts w:ascii="Courier New" w:hAnsi="Courier New" w:cs="Courier New" w:hint="default"/>
    </w:rPr>
  </w:style>
  <w:style w:type="character" w:customStyle="1" w:styleId="WW8Num19z3">
    <w:name w:val="WW8Num19z3"/>
    <w:rsid w:val="000F77EA"/>
    <w:rPr>
      <w:rFonts w:ascii="Symbol" w:hAnsi="Symbol" w:cs="Symbol" w:hint="default"/>
    </w:rPr>
  </w:style>
  <w:style w:type="character" w:customStyle="1" w:styleId="WW8Num20z0">
    <w:name w:val="WW8Num20z0"/>
    <w:rsid w:val="000F77EA"/>
    <w:rPr>
      <w:rFonts w:ascii="Wingdings" w:hAnsi="Wingdings" w:cs="Wingdings" w:hint="default"/>
    </w:rPr>
  </w:style>
  <w:style w:type="character" w:customStyle="1" w:styleId="WW8Num20z1">
    <w:name w:val="WW8Num20z1"/>
    <w:rsid w:val="000F77EA"/>
    <w:rPr>
      <w:rFonts w:ascii="Courier New" w:hAnsi="Courier New" w:cs="Courier New" w:hint="default"/>
    </w:rPr>
  </w:style>
  <w:style w:type="character" w:customStyle="1" w:styleId="WW8Num20z3">
    <w:name w:val="WW8Num20z3"/>
    <w:rsid w:val="000F77EA"/>
    <w:rPr>
      <w:rFonts w:ascii="Symbol" w:hAnsi="Symbol" w:cs="Symbol" w:hint="default"/>
    </w:rPr>
  </w:style>
  <w:style w:type="character" w:customStyle="1" w:styleId="WW8Num21z0">
    <w:name w:val="WW8Num21z0"/>
    <w:rsid w:val="000F77EA"/>
    <w:rPr>
      <w:rFonts w:ascii="Wingdings" w:hAnsi="Wingdings" w:cs="Wingdings" w:hint="default"/>
    </w:rPr>
  </w:style>
  <w:style w:type="character" w:customStyle="1" w:styleId="WW8Num21z1">
    <w:name w:val="WW8Num21z1"/>
    <w:rsid w:val="000F77EA"/>
    <w:rPr>
      <w:rFonts w:ascii="Courier New" w:hAnsi="Courier New" w:cs="Courier New" w:hint="default"/>
    </w:rPr>
  </w:style>
  <w:style w:type="character" w:customStyle="1" w:styleId="WW8Num21z3">
    <w:name w:val="WW8Num21z3"/>
    <w:rsid w:val="000F77EA"/>
    <w:rPr>
      <w:rFonts w:ascii="Symbol" w:hAnsi="Symbol" w:cs="Symbol" w:hint="default"/>
    </w:rPr>
  </w:style>
  <w:style w:type="character" w:customStyle="1" w:styleId="WW8Num22z0">
    <w:name w:val="WW8Num22z0"/>
    <w:rsid w:val="000F77EA"/>
    <w:rPr>
      <w:rFonts w:ascii="Wingdings" w:hAnsi="Wingdings" w:cs="Wingdings" w:hint="default"/>
    </w:rPr>
  </w:style>
  <w:style w:type="character" w:customStyle="1" w:styleId="WW8Num22z1">
    <w:name w:val="WW8Num22z1"/>
    <w:rsid w:val="000F77EA"/>
    <w:rPr>
      <w:rFonts w:ascii="Courier New" w:hAnsi="Courier New" w:cs="Courier New" w:hint="default"/>
    </w:rPr>
  </w:style>
  <w:style w:type="character" w:customStyle="1" w:styleId="WW8Num22z3">
    <w:name w:val="WW8Num22z3"/>
    <w:rsid w:val="000F77EA"/>
    <w:rPr>
      <w:rFonts w:ascii="Symbol" w:hAnsi="Symbol" w:cs="Symbol" w:hint="default"/>
    </w:rPr>
  </w:style>
  <w:style w:type="character" w:customStyle="1" w:styleId="WW8Num23z0">
    <w:name w:val="WW8Num23z0"/>
    <w:rsid w:val="000F77EA"/>
    <w:rPr>
      <w:rFonts w:hint="default"/>
    </w:rPr>
  </w:style>
  <w:style w:type="character" w:customStyle="1" w:styleId="WW8Num23z1">
    <w:name w:val="WW8Num23z1"/>
    <w:rsid w:val="000F77EA"/>
  </w:style>
  <w:style w:type="character" w:customStyle="1" w:styleId="WW8Num23z2">
    <w:name w:val="WW8Num23z2"/>
    <w:rsid w:val="000F77EA"/>
  </w:style>
  <w:style w:type="character" w:customStyle="1" w:styleId="WW8Num23z3">
    <w:name w:val="WW8Num23z3"/>
    <w:rsid w:val="000F77EA"/>
  </w:style>
  <w:style w:type="character" w:customStyle="1" w:styleId="WW8Num23z4">
    <w:name w:val="WW8Num23z4"/>
    <w:rsid w:val="000F77EA"/>
  </w:style>
  <w:style w:type="character" w:customStyle="1" w:styleId="WW8Num23z5">
    <w:name w:val="WW8Num23z5"/>
    <w:rsid w:val="000F77EA"/>
  </w:style>
  <w:style w:type="character" w:customStyle="1" w:styleId="WW8Num23z6">
    <w:name w:val="WW8Num23z6"/>
    <w:rsid w:val="000F77EA"/>
  </w:style>
  <w:style w:type="character" w:customStyle="1" w:styleId="WW8Num23z7">
    <w:name w:val="WW8Num23z7"/>
    <w:rsid w:val="000F77EA"/>
  </w:style>
  <w:style w:type="character" w:customStyle="1" w:styleId="WW8Num23z8">
    <w:name w:val="WW8Num23z8"/>
    <w:rsid w:val="000F77EA"/>
  </w:style>
  <w:style w:type="character" w:customStyle="1" w:styleId="WW8Num24z0">
    <w:name w:val="WW8Num24z0"/>
    <w:rsid w:val="000F77EA"/>
    <w:rPr>
      <w:rFonts w:ascii="Wingdings" w:hAnsi="Wingdings" w:cs="Wingdings" w:hint="default"/>
    </w:rPr>
  </w:style>
  <w:style w:type="character" w:customStyle="1" w:styleId="WW8Num24z1">
    <w:name w:val="WW8Num24z1"/>
    <w:rsid w:val="000F77EA"/>
    <w:rPr>
      <w:rFonts w:ascii="Courier New" w:hAnsi="Courier New" w:cs="Courier New" w:hint="default"/>
    </w:rPr>
  </w:style>
  <w:style w:type="character" w:customStyle="1" w:styleId="WW8Num24z3">
    <w:name w:val="WW8Num24z3"/>
    <w:rsid w:val="000F77EA"/>
    <w:rPr>
      <w:rFonts w:ascii="Symbol" w:hAnsi="Symbol" w:cs="Symbol" w:hint="default"/>
    </w:rPr>
  </w:style>
  <w:style w:type="character" w:customStyle="1" w:styleId="WW8Num25z0">
    <w:name w:val="WW8Num25z0"/>
    <w:rsid w:val="000F77EA"/>
  </w:style>
  <w:style w:type="character" w:customStyle="1" w:styleId="WW8Num25z1">
    <w:name w:val="WW8Num25z1"/>
    <w:rsid w:val="000F77EA"/>
  </w:style>
  <w:style w:type="character" w:customStyle="1" w:styleId="WW8Num25z2">
    <w:name w:val="WW8Num25z2"/>
    <w:rsid w:val="000F77EA"/>
  </w:style>
  <w:style w:type="character" w:customStyle="1" w:styleId="WW8Num25z3">
    <w:name w:val="WW8Num25z3"/>
    <w:rsid w:val="000F77EA"/>
  </w:style>
  <w:style w:type="character" w:customStyle="1" w:styleId="WW8Num25z4">
    <w:name w:val="WW8Num25z4"/>
    <w:rsid w:val="000F77EA"/>
  </w:style>
  <w:style w:type="character" w:customStyle="1" w:styleId="WW8Num25z5">
    <w:name w:val="WW8Num25z5"/>
    <w:rsid w:val="000F77EA"/>
  </w:style>
  <w:style w:type="character" w:customStyle="1" w:styleId="WW8Num25z6">
    <w:name w:val="WW8Num25z6"/>
    <w:rsid w:val="000F77EA"/>
  </w:style>
  <w:style w:type="character" w:customStyle="1" w:styleId="WW8Num25z7">
    <w:name w:val="WW8Num25z7"/>
    <w:rsid w:val="000F77EA"/>
  </w:style>
  <w:style w:type="character" w:customStyle="1" w:styleId="WW8Num25z8">
    <w:name w:val="WW8Num25z8"/>
    <w:rsid w:val="000F77EA"/>
  </w:style>
  <w:style w:type="character" w:customStyle="1" w:styleId="WW8Num26z0">
    <w:name w:val="WW8Num26z0"/>
    <w:rsid w:val="000F77EA"/>
    <w:rPr>
      <w:rFonts w:hint="default"/>
      <w:lang w:eastAsia="en-GB"/>
    </w:rPr>
  </w:style>
  <w:style w:type="character" w:customStyle="1" w:styleId="WW8Num26z1">
    <w:name w:val="WW8Num26z1"/>
    <w:rsid w:val="000F77EA"/>
  </w:style>
  <w:style w:type="character" w:customStyle="1" w:styleId="WW8Num26z2">
    <w:name w:val="WW8Num26z2"/>
    <w:rsid w:val="000F77EA"/>
  </w:style>
  <w:style w:type="character" w:customStyle="1" w:styleId="WW8Num26z3">
    <w:name w:val="WW8Num26z3"/>
    <w:rsid w:val="000F77EA"/>
  </w:style>
  <w:style w:type="character" w:customStyle="1" w:styleId="WW8Num26z4">
    <w:name w:val="WW8Num26z4"/>
    <w:rsid w:val="000F77EA"/>
  </w:style>
  <w:style w:type="character" w:customStyle="1" w:styleId="WW8Num26z5">
    <w:name w:val="WW8Num26z5"/>
    <w:rsid w:val="000F77EA"/>
  </w:style>
  <w:style w:type="character" w:customStyle="1" w:styleId="WW8Num26z6">
    <w:name w:val="WW8Num26z6"/>
    <w:rsid w:val="000F77EA"/>
  </w:style>
  <w:style w:type="character" w:customStyle="1" w:styleId="WW8Num26z7">
    <w:name w:val="WW8Num26z7"/>
    <w:rsid w:val="000F77EA"/>
  </w:style>
  <w:style w:type="character" w:customStyle="1" w:styleId="WW8Num26z8">
    <w:name w:val="WW8Num26z8"/>
    <w:rsid w:val="000F77EA"/>
  </w:style>
  <w:style w:type="character" w:styleId="Emphasis">
    <w:name w:val="Emphasis"/>
    <w:qFormat/>
    <w:rsid w:val="000F77EA"/>
    <w:rPr>
      <w:b/>
      <w:bCs/>
      <w:i w:val="0"/>
      <w:iCs w:val="0"/>
    </w:rPr>
  </w:style>
  <w:style w:type="character" w:customStyle="1" w:styleId="personname">
    <w:name w:val="person_name"/>
    <w:rsid w:val="000F77EA"/>
  </w:style>
  <w:style w:type="character" w:styleId="Strong">
    <w:name w:val="Strong"/>
    <w:qFormat/>
    <w:rsid w:val="000F77EA"/>
    <w:rPr>
      <w:b/>
      <w:bCs/>
    </w:rPr>
  </w:style>
  <w:style w:type="character" w:customStyle="1" w:styleId="generated">
    <w:name w:val="generated"/>
    <w:basedOn w:val="DefaultParagraphFont"/>
    <w:rsid w:val="000F77EA"/>
  </w:style>
  <w:style w:type="character" w:customStyle="1" w:styleId="ref-title">
    <w:name w:val="ref-title"/>
    <w:basedOn w:val="DefaultParagraphFont"/>
    <w:rsid w:val="000F77EA"/>
  </w:style>
  <w:style w:type="character" w:customStyle="1" w:styleId="ref-journal">
    <w:name w:val="ref-journal"/>
    <w:basedOn w:val="DefaultParagraphFont"/>
    <w:rsid w:val="000F77EA"/>
  </w:style>
  <w:style w:type="character" w:customStyle="1" w:styleId="ref-vol">
    <w:name w:val="ref-vol"/>
    <w:basedOn w:val="DefaultParagraphFont"/>
    <w:rsid w:val="000F77EA"/>
  </w:style>
  <w:style w:type="paragraph" w:customStyle="1" w:styleId="Titre">
    <w:name w:val="Titre"/>
    <w:basedOn w:val="Normal"/>
    <w:next w:val="BodyText"/>
    <w:rsid w:val="000F77EA"/>
    <w:pPr>
      <w:keepNext/>
      <w:suppressAutoHyphens/>
      <w:spacing w:before="240" w:after="120" w:line="240" w:lineRule="auto"/>
      <w:jc w:val="left"/>
    </w:pPr>
    <w:rPr>
      <w:rFonts w:ascii="Liberation Sans" w:eastAsia="Noto Sans CJK SC" w:hAnsi="Liberation Sans" w:cs="Lohit Devanagari"/>
      <w:noProof w:val="0"/>
      <w:color w:val="auto"/>
      <w:sz w:val="28"/>
      <w:szCs w:val="28"/>
    </w:rPr>
  </w:style>
  <w:style w:type="paragraph" w:styleId="List">
    <w:name w:val="List"/>
    <w:basedOn w:val="BodyText"/>
    <w:rsid w:val="000F77EA"/>
    <w:pPr>
      <w:suppressAutoHyphens/>
      <w:spacing w:after="140" w:line="276" w:lineRule="auto"/>
      <w:jc w:val="left"/>
    </w:pPr>
    <w:rPr>
      <w:rFonts w:ascii="Times New Roman" w:eastAsia="Times New Roman" w:hAnsi="Times New Roman" w:cs="Lohit Devanagari"/>
      <w:color w:val="auto"/>
      <w:szCs w:val="24"/>
      <w:lang w:eastAsia="zh-CN"/>
    </w:rPr>
  </w:style>
  <w:style w:type="paragraph" w:styleId="Caption">
    <w:name w:val="caption"/>
    <w:basedOn w:val="Normal"/>
    <w:qFormat/>
    <w:rsid w:val="000F77EA"/>
    <w:pPr>
      <w:suppressLineNumbers/>
      <w:suppressAutoHyphens/>
      <w:spacing w:before="120" w:after="120" w:line="240" w:lineRule="auto"/>
      <w:jc w:val="left"/>
    </w:pPr>
    <w:rPr>
      <w:rFonts w:ascii="Times New Roman" w:eastAsia="Times New Roman" w:hAnsi="Times New Roman" w:cs="Lohit Devanagari"/>
      <w:i/>
      <w:iCs/>
      <w:noProof w:val="0"/>
      <w:color w:val="auto"/>
      <w:sz w:val="24"/>
      <w:szCs w:val="24"/>
    </w:rPr>
  </w:style>
  <w:style w:type="paragraph" w:customStyle="1" w:styleId="Index">
    <w:name w:val="Index"/>
    <w:basedOn w:val="Normal"/>
    <w:rsid w:val="000F77EA"/>
    <w:pPr>
      <w:suppressLineNumbers/>
      <w:suppressAutoHyphens/>
      <w:spacing w:line="240" w:lineRule="auto"/>
      <w:jc w:val="left"/>
    </w:pPr>
    <w:rPr>
      <w:rFonts w:ascii="Times New Roman" w:eastAsia="Times New Roman" w:hAnsi="Times New Roman" w:cs="Lohit Devanagari"/>
      <w:noProof w:val="0"/>
      <w:color w:val="auto"/>
      <w:sz w:val="24"/>
      <w:szCs w:val="24"/>
    </w:rPr>
  </w:style>
  <w:style w:type="paragraph" w:customStyle="1" w:styleId="MediumGrid1-Accent21">
    <w:name w:val="Medium Grid 1 - Accent 21"/>
    <w:basedOn w:val="Normal"/>
    <w:rsid w:val="000F77EA"/>
    <w:pPr>
      <w:suppressAutoHyphens/>
      <w:spacing w:after="200" w:line="276" w:lineRule="auto"/>
      <w:ind w:left="720"/>
      <w:jc w:val="left"/>
    </w:pPr>
    <w:rPr>
      <w:rFonts w:ascii="Calibri" w:eastAsia="Calibri" w:hAnsi="Calibri" w:cs="Calibri"/>
      <w:noProof w:val="0"/>
      <w:color w:val="auto"/>
      <w:sz w:val="22"/>
      <w:szCs w:val="22"/>
      <w:lang w:val="en-GB"/>
    </w:rPr>
  </w:style>
  <w:style w:type="paragraph" w:customStyle="1" w:styleId="Default">
    <w:name w:val="Default"/>
    <w:rsid w:val="000F77EA"/>
    <w:pPr>
      <w:suppressAutoHyphens/>
      <w:autoSpaceDE w:val="0"/>
    </w:pPr>
    <w:rPr>
      <w:rFonts w:ascii="Gill Sans MT" w:eastAsia="Calibri" w:hAnsi="Gill Sans MT" w:cs="Gill Sans MT"/>
      <w:color w:val="000000"/>
      <w:sz w:val="24"/>
      <w:szCs w:val="24"/>
      <w:lang w:val="en-GB"/>
    </w:rPr>
  </w:style>
  <w:style w:type="paragraph" w:customStyle="1" w:styleId="En-tteetpieddepage">
    <w:name w:val="En-tête et pied de page"/>
    <w:basedOn w:val="Normal"/>
    <w:rsid w:val="000F77EA"/>
    <w:pPr>
      <w:suppressLineNumbers/>
      <w:tabs>
        <w:tab w:val="center" w:pos="4819"/>
        <w:tab w:val="right" w:pos="9638"/>
      </w:tabs>
      <w:suppressAutoHyphens/>
      <w:spacing w:line="240" w:lineRule="auto"/>
      <w:jc w:val="left"/>
    </w:pPr>
    <w:rPr>
      <w:rFonts w:ascii="Times New Roman" w:eastAsia="Times New Roman" w:hAnsi="Times New Roman"/>
      <w:noProof w:val="0"/>
      <w:color w:val="auto"/>
      <w:sz w:val="24"/>
      <w:szCs w:val="24"/>
    </w:rPr>
  </w:style>
  <w:style w:type="paragraph" w:styleId="ListParagraph">
    <w:name w:val="List Paragraph"/>
    <w:basedOn w:val="Normal"/>
    <w:uiPriority w:val="34"/>
    <w:qFormat/>
    <w:rsid w:val="000F77EA"/>
    <w:pPr>
      <w:suppressAutoHyphens/>
      <w:spacing w:after="200" w:line="276" w:lineRule="auto"/>
      <w:ind w:left="720"/>
      <w:contextualSpacing/>
      <w:jc w:val="left"/>
    </w:pPr>
    <w:rPr>
      <w:rFonts w:ascii="Calibri" w:eastAsia="Calibri" w:hAnsi="Calibri"/>
      <w:noProof w:val="0"/>
      <w:color w:val="auto"/>
      <w:sz w:val="22"/>
      <w:szCs w:val="22"/>
      <w:lang w:val="en-GB"/>
    </w:rPr>
  </w:style>
  <w:style w:type="paragraph" w:customStyle="1" w:styleId="author">
    <w:name w:val="author"/>
    <w:basedOn w:val="Normal"/>
    <w:rsid w:val="000F77EA"/>
    <w:pPr>
      <w:suppressAutoHyphens/>
      <w:spacing w:before="280" w:after="280" w:line="240" w:lineRule="auto"/>
      <w:jc w:val="left"/>
    </w:pPr>
    <w:rPr>
      <w:rFonts w:ascii="Times New Roman" w:eastAsia="Times New Roman" w:hAnsi="Times New Roman"/>
      <w:noProof w:val="0"/>
      <w:color w:val="auto"/>
      <w:sz w:val="24"/>
      <w:szCs w:val="24"/>
    </w:rPr>
  </w:style>
  <w:style w:type="paragraph" w:customStyle="1" w:styleId="Contenudetableau">
    <w:name w:val="Contenu de tableau"/>
    <w:basedOn w:val="Normal"/>
    <w:rsid w:val="000F77EA"/>
    <w:pPr>
      <w:suppressLineNumbers/>
      <w:suppressAutoHyphens/>
      <w:spacing w:line="240" w:lineRule="auto"/>
      <w:jc w:val="left"/>
    </w:pPr>
    <w:rPr>
      <w:rFonts w:ascii="Times New Roman" w:eastAsia="Times New Roman" w:hAnsi="Times New Roman"/>
      <w:noProof w:val="0"/>
      <w:color w:val="auto"/>
      <w:sz w:val="24"/>
      <w:szCs w:val="24"/>
    </w:rPr>
  </w:style>
  <w:style w:type="paragraph" w:customStyle="1" w:styleId="Titredetableau">
    <w:name w:val="Titre de tableau"/>
    <w:basedOn w:val="Contenudetableau"/>
    <w:rsid w:val="000F77EA"/>
    <w:pPr>
      <w:jc w:val="center"/>
    </w:pPr>
    <w:rPr>
      <w:b/>
      <w:bCs/>
    </w:rPr>
  </w:style>
  <w:style w:type="paragraph" w:customStyle="1" w:styleId="Contenudecadre">
    <w:name w:val="Contenu de cadre"/>
    <w:basedOn w:val="Normal"/>
    <w:rsid w:val="000F77EA"/>
    <w:pPr>
      <w:suppressAutoHyphens/>
      <w:spacing w:line="240" w:lineRule="auto"/>
      <w:jc w:val="left"/>
    </w:pPr>
    <w:rPr>
      <w:rFonts w:ascii="Times New Roman" w:eastAsia="Times New Roman" w:hAnsi="Times New Roman"/>
      <w:noProof w:val="0"/>
      <w:color w:val="auto"/>
      <w:sz w:val="24"/>
      <w:szCs w:val="24"/>
    </w:rPr>
  </w:style>
  <w:style w:type="paragraph" w:styleId="Revision">
    <w:name w:val="Revision"/>
    <w:hidden/>
    <w:uiPriority w:val="99"/>
    <w:semiHidden/>
    <w:rsid w:val="000F77EA"/>
    <w:rPr>
      <w:rFonts w:ascii="Times New Roman" w:eastAsia="Times New Roman" w:hAnsi="Times New Roman"/>
      <w:sz w:val="24"/>
      <w:szCs w:val="24"/>
    </w:rPr>
  </w:style>
  <w:style w:type="paragraph" w:customStyle="1" w:styleId="MDPI61Supplementary">
    <w:name w:val="MDPI_6.1_Supplementary"/>
    <w:basedOn w:val="Normal"/>
    <w:qFormat/>
    <w:rsid w:val="000F77EA"/>
    <w:pPr>
      <w:adjustRightInd w:val="0"/>
      <w:snapToGrid w:val="0"/>
      <w:spacing w:before="240" w:line="200" w:lineRule="atLeast"/>
    </w:pPr>
    <w:rPr>
      <w:rFonts w:eastAsia="Times New Roman"/>
      <w:noProof w:val="0"/>
      <w:snapToGrid w:val="0"/>
      <w:sz w:val="18"/>
      <w:lang w:eastAsia="en-US" w:bidi="en-US"/>
    </w:rPr>
  </w:style>
  <w:style w:type="paragraph" w:customStyle="1" w:styleId="MDPI62Acknowledgments">
    <w:name w:val="MDPI_6.2_Acknowledgments"/>
    <w:qFormat/>
    <w:rsid w:val="000F77EA"/>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3AuthorContributions">
    <w:name w:val="MDPI_6.3_AuthorContributions"/>
    <w:basedOn w:val="MDPI62Acknowledgments"/>
    <w:qFormat/>
    <w:rsid w:val="000F77EA"/>
    <w:rPr>
      <w:rFonts w:eastAsia="SimSun"/>
      <w:color w:val="auto"/>
      <w:lang w:eastAsia="en-US"/>
    </w:rPr>
  </w:style>
  <w:style w:type="paragraph" w:customStyle="1" w:styleId="MDPI64CoI">
    <w:name w:val="MDPI_6.4_CoI"/>
    <w:basedOn w:val="MDPI62Acknowledgments"/>
    <w:qFormat/>
    <w:rsid w:val="000F77EA"/>
  </w:style>
  <w:style w:type="paragraph" w:customStyle="1" w:styleId="MDPI74PublishersNote">
    <w:name w:val="MDPI_7.4_Publisher'sNote"/>
    <w:qFormat/>
    <w:rsid w:val="000F77EA"/>
    <w:pPr>
      <w:adjustRightInd w:val="0"/>
      <w:snapToGrid w:val="0"/>
      <w:spacing w:before="240" w:after="240" w:line="200" w:lineRule="atLeast"/>
    </w:pPr>
    <w:rPr>
      <w:rFonts w:ascii="Palatino Linotype" w:hAnsi="Palatino Linotype"/>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459967">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bs.pbr.2020.05.022" TargetMode="External"/><Relationship Id="rId18" Type="http://schemas.openxmlformats.org/officeDocument/2006/relationships/hyperlink" Target="https://doi.org/10.1177/17449871211051566" TargetMode="External"/><Relationship Id="rId26" Type="http://schemas.openxmlformats.org/officeDocument/2006/relationships/hyperlink" Target="https://doi.org/10.1044/2019_AJA-18-0136" TargetMode="External"/><Relationship Id="rId39" Type="http://schemas.openxmlformats.org/officeDocument/2006/relationships/hyperlink" Target="https://doi.org/10.1001/archinte.166.10.1092" TargetMode="External"/><Relationship Id="rId21" Type="http://schemas.openxmlformats.org/officeDocument/2006/relationships/hyperlink" Target="https://doi.org/10.1080/13691457.%202013.829803" TargetMode="External"/><Relationship Id="rId34" Type="http://schemas.openxmlformats.org/officeDocument/2006/relationships/hyperlink" Target="https://doi.org/10.7874/jao.2017.00318" TargetMode="External"/><Relationship Id="rId42" Type="http://schemas.openxmlformats.org/officeDocument/2006/relationships/hyperlink" Target="https://oxfordre.com/psychology/view/10.1093/acrefore/9780190236557.001.0001/acrefore-9780190236557-e-606"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preprints.jmir.org/preprint/27584" TargetMode="External"/><Relationship Id="rId29" Type="http://schemas.openxmlformats.org/officeDocument/2006/relationships/hyperlink" Target="http://dx.doi.org/10.2147/CIA.S91076" TargetMode="External"/><Relationship Id="rId11" Type="http://schemas.openxmlformats.org/officeDocument/2006/relationships/hyperlink" Target="https://doi.org/10.1016/s1389-9457(00)00065-4" TargetMode="External"/><Relationship Id="rId24" Type="http://schemas.openxmlformats.org/officeDocument/2006/relationships/hyperlink" Target="https://doi.org/10.1097/AUD.0000000000000365" TargetMode="External"/><Relationship Id="rId32" Type="http://schemas.openxmlformats.org/officeDocument/2006/relationships/hyperlink" Target="https://doi.org/10.3766/jaaa.16046" TargetMode="External"/><Relationship Id="rId37" Type="http://schemas.openxmlformats.org/officeDocument/2006/relationships/hyperlink" Target="https://doi.org/10.3109/07853890109002087" TargetMode="External"/><Relationship Id="rId40" Type="http://schemas.openxmlformats.org/officeDocument/2006/relationships/hyperlink" Target="https://doi.org/10.1016/bs.pbr.2021.01.023"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doi.org/10.1044/2021_AJA-20-00222" TargetMode="External"/><Relationship Id="rId23" Type="http://schemas.openxmlformats.org/officeDocument/2006/relationships/hyperlink" Target="https://doi.org/10.1016/j.nedt.2003.10.001" TargetMode="External"/><Relationship Id="rId28" Type="http://schemas.openxmlformats.org/officeDocument/2006/relationships/hyperlink" Target="https://doi.org/10.3109/14992027.2014.953217" TargetMode="External"/><Relationship Id="rId36" Type="http://schemas.openxmlformats.org/officeDocument/2006/relationships/hyperlink" Target="https://doi.org/10.1002/ejsp.2420180303" TargetMode="External"/><Relationship Id="rId49" Type="http://schemas.openxmlformats.org/officeDocument/2006/relationships/fontTable" Target="fontTable.xml"/><Relationship Id="rId10" Type="http://schemas.openxmlformats.org/officeDocument/2006/relationships/hyperlink" Target="http://doi.org/10.6084/m9.figshare.13681924" TargetMode="External"/><Relationship Id="rId19" Type="http://schemas.openxmlformats.org/officeDocument/2006/relationships/hyperlink" Target="https://doi.org/10.1055/s-0040-1719127" TargetMode="External"/><Relationship Id="rId31" Type="http://schemas.openxmlformats.org/officeDocument/2006/relationships/hyperlink" Target="https://doi.org/10.1080/14992027.2016.1227481"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111/ijcp.14684" TargetMode="External"/><Relationship Id="rId22" Type="http://schemas.openxmlformats.org/officeDocument/2006/relationships/hyperlink" Target="https://doi.org/10.1080/14992027.2018.1516894" TargetMode="External"/><Relationship Id="rId27" Type="http://schemas.openxmlformats.org/officeDocument/2006/relationships/hyperlink" Target="https://doi.org/10.1046/j.1525-1497.2001.016009606.x" TargetMode="External"/><Relationship Id="rId30" Type="http://schemas.openxmlformats.org/officeDocument/2006/relationships/hyperlink" Target="http://dx.doi.org/10.2147/CIA.S86108" TargetMode="External"/><Relationship Id="rId35" Type="http://schemas.openxmlformats.org/officeDocument/2006/relationships/hyperlink" Target="https://doi.org/10.1097/AUD.0b013e31822f67c0" TargetMode="External"/><Relationship Id="rId43" Type="http://schemas.openxmlformats.org/officeDocument/2006/relationships/hyperlink" Target="https://doi.org/10.1177/2331216518812250" TargetMode="External"/><Relationship Id="rId48" Type="http://schemas.openxmlformats.org/officeDocument/2006/relationships/footer" Target="footer2.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doi.org/10.1111/coa.13002" TargetMode="External"/><Relationship Id="rId17" Type="http://schemas.openxmlformats.org/officeDocument/2006/relationships/hyperlink" Target="https://doi.org/10.1016/j.invent.2021.100402" TargetMode="External"/><Relationship Id="rId25" Type="http://schemas.openxmlformats.org/officeDocument/2006/relationships/hyperlink" Target="https://doi.org/10.1016/j.learninstruc.2006.09.003" TargetMode="External"/><Relationship Id="rId33" Type="http://schemas.openxmlformats.org/officeDocument/2006/relationships/hyperlink" Target="https://doi.org/10.3766/jaaa.17094" TargetMode="External"/><Relationship Id="rId38" Type="http://schemas.openxmlformats.org/officeDocument/2006/relationships/hyperlink" Target="https://doi.org/10.1016/j.amjmed.2010.02.015" TargetMode="External"/><Relationship Id="rId46" Type="http://schemas.openxmlformats.org/officeDocument/2006/relationships/footer" Target="footer1.xml"/><Relationship Id="rId20" Type="http://schemas.openxmlformats.org/officeDocument/2006/relationships/hyperlink" Target="https://doi.org/10.1097/AUD.0000000000000642" TargetMode="External"/><Relationship Id="rId41" Type="http://schemas.openxmlformats.org/officeDocument/2006/relationships/hyperlink" Target="https://doi.org/10.1177/1354067X05058586"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audiolr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C:\Users\MDPI\Desktop\audiolres-template.dot</Template>
  <TotalTime>144</TotalTime>
  <Pages>16</Pages>
  <Words>6898</Words>
  <Characters>39324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A</vt:lpstr>
    </vt:vector>
  </TitlesOfParts>
  <Company/>
  <LinksUpToDate>false</LinksUpToDate>
  <CharactersWithSpaces>46130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MDPI</dc:creator>
  <cp:keywords/>
  <dc:description/>
  <cp:lastModifiedBy>Manchaiah, Vinaya</cp:lastModifiedBy>
  <cp:revision>19</cp:revision>
  <dcterms:created xsi:type="dcterms:W3CDTF">2022-12-05T13:30:00Z</dcterms:created>
  <dcterms:modified xsi:type="dcterms:W3CDTF">2023-02-28T01:39:00Z</dcterms:modified>
</cp:coreProperties>
</file>