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9CF48" w14:textId="51208B7E" w:rsidR="002F662D" w:rsidRPr="0054577C" w:rsidRDefault="002F662D" w:rsidP="002F662D">
      <w:pPr>
        <w:pStyle w:val="MDPI11articletype"/>
      </w:pPr>
      <w:r w:rsidRPr="0054577C">
        <w:t>Article</w:t>
      </w:r>
    </w:p>
    <w:p w14:paraId="3AB9000A" w14:textId="1B186A8E" w:rsidR="002F0FE9" w:rsidRPr="0054577C" w:rsidRDefault="002F0FE9" w:rsidP="002F0FE9">
      <w:pPr>
        <w:pStyle w:val="MDPI13authornames"/>
        <w:rPr>
          <w:bCs/>
          <w:snapToGrid w:val="0"/>
          <w:sz w:val="36"/>
          <w:lang w:val="en-GB"/>
        </w:rPr>
      </w:pPr>
      <w:r w:rsidRPr="0054577C">
        <w:rPr>
          <w:bCs/>
          <w:snapToGrid w:val="0"/>
          <w:sz w:val="36"/>
          <w:lang w:val="en-GB"/>
        </w:rPr>
        <w:t xml:space="preserve">Delphi study: Designing training to enable </w:t>
      </w:r>
      <w:r w:rsidR="004A1CAD">
        <w:rPr>
          <w:bCs/>
          <w:snapToGrid w:val="0"/>
          <w:sz w:val="36"/>
          <w:lang w:val="en-GB"/>
        </w:rPr>
        <w:t xml:space="preserve">visual impairment services </w:t>
      </w:r>
      <w:r w:rsidRPr="0054577C">
        <w:rPr>
          <w:bCs/>
          <w:snapToGrid w:val="0"/>
          <w:sz w:val="36"/>
          <w:lang w:val="en-GB"/>
        </w:rPr>
        <w:t>to promote physical activity</w:t>
      </w:r>
      <w:r w:rsidR="009751E1">
        <w:rPr>
          <w:bCs/>
          <w:snapToGrid w:val="0"/>
          <w:sz w:val="36"/>
          <w:lang w:val="en-GB"/>
        </w:rPr>
        <w:t xml:space="preserve"> </w:t>
      </w:r>
    </w:p>
    <w:p w14:paraId="5E007061" w14:textId="6FA72598" w:rsidR="0017385D" w:rsidRPr="0054577C" w:rsidRDefault="002F0FE9" w:rsidP="002F662D">
      <w:pPr>
        <w:pStyle w:val="MDPI13authornames"/>
      </w:pPr>
      <w:r w:rsidRPr="0054577C">
        <w:t>Rosie K Lindsay</w:t>
      </w:r>
      <w:r w:rsidR="002F662D" w:rsidRPr="0054577C">
        <w:rPr>
          <w:vertAlign w:val="superscript"/>
        </w:rPr>
        <w:t>1</w:t>
      </w:r>
      <w:r w:rsidR="002F662D" w:rsidRPr="0054577C">
        <w:t xml:space="preserve">, </w:t>
      </w:r>
      <w:r w:rsidRPr="0054577C">
        <w:t>Lee Smith</w:t>
      </w:r>
      <w:r w:rsidR="002F662D" w:rsidRPr="0054577C">
        <w:rPr>
          <w:vertAlign w:val="superscript"/>
        </w:rPr>
        <w:t>2</w:t>
      </w:r>
      <w:r w:rsidR="002F662D" w:rsidRPr="0054577C">
        <w:t xml:space="preserve"> and </w:t>
      </w:r>
      <w:r w:rsidRPr="0054577C">
        <w:t>Peter M Allen</w:t>
      </w:r>
      <w:r w:rsidRPr="0054577C">
        <w:rPr>
          <w:vertAlign w:val="superscript"/>
        </w:rPr>
        <w:t>1</w:t>
      </w:r>
      <w:r w:rsidR="002F662D" w:rsidRPr="0054577C">
        <w:t>*</w:t>
      </w:r>
    </w:p>
    <w:tbl>
      <w:tblPr>
        <w:tblpPr w:leftFromText="198" w:rightFromText="198" w:vertAnchor="page" w:horzAnchor="margin" w:tblpY="11036"/>
        <w:tblW w:w="2410" w:type="dxa"/>
        <w:tblLayout w:type="fixed"/>
        <w:tblCellMar>
          <w:left w:w="0" w:type="dxa"/>
          <w:right w:w="0" w:type="dxa"/>
        </w:tblCellMar>
        <w:tblLook w:val="04A0" w:firstRow="1" w:lastRow="0" w:firstColumn="1" w:lastColumn="0" w:noHBand="0" w:noVBand="1"/>
      </w:tblPr>
      <w:tblGrid>
        <w:gridCol w:w="2410"/>
      </w:tblGrid>
      <w:tr w:rsidR="0017385D" w:rsidRPr="0054577C" w14:paraId="03A87670" w14:textId="77777777" w:rsidTr="00A52C1C">
        <w:tc>
          <w:tcPr>
            <w:tcW w:w="2410" w:type="dxa"/>
            <w:shd w:val="clear" w:color="auto" w:fill="auto"/>
          </w:tcPr>
          <w:p w14:paraId="51E41A92" w14:textId="77777777" w:rsidR="0017385D" w:rsidRPr="0054577C" w:rsidRDefault="0017385D" w:rsidP="00A52C1C">
            <w:pPr>
              <w:pStyle w:val="MDPI61Citation"/>
              <w:spacing w:after="120" w:line="240" w:lineRule="exact"/>
            </w:pPr>
            <w:r w:rsidRPr="0054577C">
              <w:rPr>
                <w:b/>
              </w:rPr>
              <w:t xml:space="preserve">Citation: </w:t>
            </w:r>
            <w:r w:rsidRPr="0054577C">
              <w:t>To be added by editorial staff during production.</w:t>
            </w:r>
          </w:p>
          <w:p w14:paraId="36DC2B01" w14:textId="77777777" w:rsidR="0017385D" w:rsidRPr="0054577C" w:rsidRDefault="0017385D" w:rsidP="00A52C1C">
            <w:pPr>
              <w:pStyle w:val="MDPI14history"/>
              <w:spacing w:before="120"/>
            </w:pPr>
            <w:r w:rsidRPr="0054577C">
              <w:t>Received: date</w:t>
            </w:r>
          </w:p>
          <w:p w14:paraId="376AA8A5" w14:textId="77777777" w:rsidR="0017385D" w:rsidRPr="0054577C" w:rsidRDefault="0017385D" w:rsidP="00A52C1C">
            <w:pPr>
              <w:pStyle w:val="MDPI14history"/>
            </w:pPr>
            <w:r w:rsidRPr="0054577C">
              <w:t>Accepted: date</w:t>
            </w:r>
          </w:p>
          <w:p w14:paraId="11D48F45" w14:textId="77777777" w:rsidR="0017385D" w:rsidRPr="0054577C" w:rsidRDefault="0017385D" w:rsidP="00A52C1C">
            <w:pPr>
              <w:pStyle w:val="MDPI14history"/>
              <w:spacing w:after="120"/>
            </w:pPr>
            <w:r w:rsidRPr="0054577C">
              <w:t>Published: date</w:t>
            </w:r>
          </w:p>
          <w:p w14:paraId="22890EED" w14:textId="77777777" w:rsidR="0017385D" w:rsidRPr="0054577C" w:rsidRDefault="0017385D" w:rsidP="00A52C1C">
            <w:pPr>
              <w:pStyle w:val="MDPI63Notes"/>
              <w:spacing w:after="0"/>
              <w:jc w:val="both"/>
            </w:pPr>
            <w:r w:rsidRPr="0054577C">
              <w:rPr>
                <w:b/>
              </w:rPr>
              <w:t>Publisher’s Note:</w:t>
            </w:r>
            <w:r w:rsidRPr="0054577C">
              <w:t xml:space="preserve"> MDPI stays neutral with regard to jurisdictional claims in published maps and institutional affiliations.</w:t>
            </w:r>
          </w:p>
          <w:p w14:paraId="7F0E7129" w14:textId="77777777" w:rsidR="0017385D" w:rsidRPr="0054577C" w:rsidRDefault="0017385D" w:rsidP="00A52C1C">
            <w:pPr>
              <w:adjustRightInd w:val="0"/>
              <w:snapToGrid w:val="0"/>
              <w:spacing w:before="120" w:line="240" w:lineRule="atLeast"/>
              <w:ind w:right="113"/>
              <w:jc w:val="left"/>
              <w:rPr>
                <w:rFonts w:eastAsia="DengXian"/>
                <w:bCs/>
                <w:sz w:val="14"/>
                <w:szCs w:val="14"/>
                <w:lang w:bidi="en-US"/>
              </w:rPr>
            </w:pPr>
            <w:r w:rsidRPr="0054577C">
              <w:rPr>
                <w:rFonts w:eastAsia="DengXian"/>
                <w:noProof/>
              </w:rPr>
              <w:drawing>
                <wp:inline distT="0" distB="0" distL="0" distR="0" wp14:anchorId="394B3B9C" wp14:editId="163A9F2C">
                  <wp:extent cx="692785" cy="249555"/>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2785" cy="249555"/>
                          </a:xfrm>
                          <a:prstGeom prst="rect">
                            <a:avLst/>
                          </a:prstGeom>
                          <a:noFill/>
                          <a:ln>
                            <a:noFill/>
                          </a:ln>
                        </pic:spPr>
                      </pic:pic>
                    </a:graphicData>
                  </a:graphic>
                </wp:inline>
              </w:drawing>
            </w:r>
          </w:p>
          <w:p w14:paraId="681834A4" w14:textId="77777777" w:rsidR="0017385D" w:rsidRPr="0054577C" w:rsidRDefault="0017385D" w:rsidP="00A52C1C">
            <w:pPr>
              <w:adjustRightInd w:val="0"/>
              <w:snapToGrid w:val="0"/>
              <w:spacing w:before="60" w:line="240" w:lineRule="atLeast"/>
              <w:ind w:right="113"/>
              <w:rPr>
                <w:rFonts w:eastAsia="DengXian"/>
                <w:bCs/>
                <w:sz w:val="14"/>
                <w:szCs w:val="14"/>
                <w:lang w:bidi="en-US"/>
              </w:rPr>
            </w:pPr>
            <w:r w:rsidRPr="0054577C">
              <w:rPr>
                <w:rFonts w:eastAsia="DengXian"/>
                <w:b/>
                <w:bCs/>
                <w:sz w:val="14"/>
                <w:szCs w:val="14"/>
                <w:lang w:bidi="en-US"/>
              </w:rPr>
              <w:t>Copyright:</w:t>
            </w:r>
            <w:r w:rsidRPr="0054577C">
              <w:rPr>
                <w:rFonts w:eastAsia="DengXian"/>
                <w:bCs/>
                <w:sz w:val="14"/>
                <w:szCs w:val="14"/>
                <w:lang w:bidi="en-US"/>
              </w:rPr>
              <w:t xml:space="preserve"> © 2022 by the authors. Submitted for possible open access publication under the terms and conditions of the Creative Commons Attribution (CC BY) license (https://creativecommons.org/licenses/by/4.0/).</w:t>
            </w:r>
          </w:p>
        </w:tc>
      </w:tr>
    </w:tbl>
    <w:p w14:paraId="6899D11C" w14:textId="1FE774EB" w:rsidR="002F0FE9" w:rsidRPr="0054577C" w:rsidRDefault="00096AF9" w:rsidP="002F662D">
      <w:pPr>
        <w:pStyle w:val="MDPI16affiliation"/>
      </w:pPr>
      <w:r w:rsidRPr="0054577C">
        <w:rPr>
          <w:vertAlign w:val="superscript"/>
        </w:rPr>
        <w:t>1</w:t>
      </w:r>
      <w:r w:rsidR="002F662D" w:rsidRPr="0054577C">
        <w:tab/>
      </w:r>
      <w:r w:rsidR="002F0FE9" w:rsidRPr="0054577C">
        <w:t>Vision and Hearing Sciences Research Centre, Anglia Ruskin University, Cambridge CB1 1PT, UK; </w:t>
      </w:r>
      <w:hyperlink r:id="rId12" w:history="1">
        <w:r w:rsidR="00775F3A" w:rsidRPr="0054577C">
          <w:rPr>
            <w:rStyle w:val="Hyperlink"/>
          </w:rPr>
          <w:t>rkl109@pgr.aru.ac.uk</w:t>
        </w:r>
      </w:hyperlink>
      <w:r w:rsidR="00775F3A" w:rsidRPr="0054577C">
        <w:t xml:space="preserve"> </w:t>
      </w:r>
      <w:hyperlink r:id="rId13" w:history="1"/>
      <w:r w:rsidR="002F0FE9" w:rsidRPr="0054577C">
        <w:t>(R.K.L.); </w:t>
      </w:r>
      <w:hyperlink r:id="rId14" w:history="1">
        <w:r w:rsidR="003646D3" w:rsidRPr="0054577C">
          <w:rPr>
            <w:rStyle w:val="Hyperlink"/>
          </w:rPr>
          <w:t>peter.allen@aru.ac.uk</w:t>
        </w:r>
      </w:hyperlink>
      <w:r w:rsidR="002F0FE9" w:rsidRPr="0054577C">
        <w:t> (P.M.A.)</w:t>
      </w:r>
    </w:p>
    <w:p w14:paraId="1ACDCEE0" w14:textId="1267643B" w:rsidR="002F662D" w:rsidRPr="0054577C" w:rsidRDefault="002F662D" w:rsidP="002F662D">
      <w:pPr>
        <w:pStyle w:val="MDPI16affiliation"/>
      </w:pPr>
      <w:r w:rsidRPr="0054577C">
        <w:rPr>
          <w:vertAlign w:val="superscript"/>
        </w:rPr>
        <w:t>2</w:t>
      </w:r>
      <w:r w:rsidRPr="0054577C">
        <w:tab/>
      </w:r>
      <w:r w:rsidR="003C77EC" w:rsidRPr="0054577C">
        <w:t>Centre for Health Performance and Wellbeing, Anglia Ruskin University, Cambridge, UK, CB1 1PT</w:t>
      </w:r>
      <w:r w:rsidR="00337359" w:rsidRPr="0054577C">
        <w:t xml:space="preserve"> </w:t>
      </w:r>
      <w:r w:rsidR="002F0FE9" w:rsidRPr="0054577C">
        <w:t>; </w:t>
      </w:r>
      <w:hyperlink r:id="rId15" w:history="1">
        <w:r w:rsidR="00775F3A" w:rsidRPr="0054577C">
          <w:rPr>
            <w:rStyle w:val="Hyperlink"/>
          </w:rPr>
          <w:t>lee.smith@aru.ac.uk</w:t>
        </w:r>
      </w:hyperlink>
      <w:r w:rsidR="00775F3A" w:rsidRPr="0054577C">
        <w:t xml:space="preserve"> </w:t>
      </w:r>
      <w:r w:rsidR="003646D3" w:rsidRPr="0054577C" w:rsidDel="003646D3">
        <w:t xml:space="preserve"> </w:t>
      </w:r>
    </w:p>
    <w:p w14:paraId="1A95A716" w14:textId="77777777" w:rsidR="002F0FE9" w:rsidRPr="0054577C" w:rsidRDefault="002F0FE9" w:rsidP="002F662D">
      <w:pPr>
        <w:pStyle w:val="MDPI16affiliation"/>
      </w:pPr>
    </w:p>
    <w:p w14:paraId="64862EEE" w14:textId="12357DA7" w:rsidR="002F662D" w:rsidRPr="0054577C" w:rsidRDefault="002F662D" w:rsidP="002F662D">
      <w:pPr>
        <w:pStyle w:val="MDPI16affiliation"/>
      </w:pPr>
      <w:r w:rsidRPr="0054577C">
        <w:rPr>
          <w:b/>
        </w:rPr>
        <w:t>*</w:t>
      </w:r>
      <w:r w:rsidRPr="0054577C">
        <w:tab/>
        <w:t xml:space="preserve">Correspondence: </w:t>
      </w:r>
      <w:r w:rsidR="002F0FE9" w:rsidRPr="0054577C">
        <w:t>rkl109@pgr.aru.ac.uk</w:t>
      </w:r>
    </w:p>
    <w:p w14:paraId="21195D0C" w14:textId="77777777" w:rsidR="007C5B37" w:rsidRPr="0054577C" w:rsidRDefault="002F662D" w:rsidP="002F662D">
      <w:pPr>
        <w:pStyle w:val="MDPI17abstract"/>
        <w:rPr>
          <w:b/>
          <w:szCs w:val="18"/>
        </w:rPr>
      </w:pPr>
      <w:r w:rsidRPr="0054577C">
        <w:rPr>
          <w:b/>
          <w:szCs w:val="18"/>
        </w:rPr>
        <w:t xml:space="preserve">Abstract: </w:t>
      </w:r>
    </w:p>
    <w:p w14:paraId="0AC34C36" w14:textId="3CFDC594" w:rsidR="002F662D" w:rsidRPr="0054577C" w:rsidRDefault="00D107CE" w:rsidP="003B6598">
      <w:pPr>
        <w:pStyle w:val="MDPI17abstract"/>
        <w:rPr>
          <w:szCs w:val="18"/>
          <w:lang w:val="en-GB"/>
        </w:rPr>
      </w:pPr>
      <w:r w:rsidRPr="0054577C">
        <w:rPr>
          <w:szCs w:val="18"/>
        </w:rPr>
        <w:t xml:space="preserve">Research suggests adults with </w:t>
      </w:r>
      <w:r w:rsidR="00EF48E9">
        <w:rPr>
          <w:szCs w:val="18"/>
        </w:rPr>
        <w:t>visual impairment</w:t>
      </w:r>
      <w:r w:rsidRPr="0054577C">
        <w:rPr>
          <w:szCs w:val="18"/>
        </w:rPr>
        <w:t xml:space="preserve"> would </w:t>
      </w:r>
      <w:r w:rsidR="00AA40BD" w:rsidRPr="0054577C">
        <w:rPr>
          <w:szCs w:val="18"/>
        </w:rPr>
        <w:t xml:space="preserve">increase their physical activity (PA) </w:t>
      </w:r>
      <w:r w:rsidRPr="0054577C">
        <w:rPr>
          <w:szCs w:val="18"/>
        </w:rPr>
        <w:t xml:space="preserve">if they were advised </w:t>
      </w:r>
      <w:r w:rsidR="00A46579" w:rsidRPr="0054577C">
        <w:rPr>
          <w:szCs w:val="18"/>
        </w:rPr>
        <w:t xml:space="preserve">to </w:t>
      </w:r>
      <w:r w:rsidRPr="0054577C">
        <w:rPr>
          <w:szCs w:val="18"/>
        </w:rPr>
        <w:t>by</w:t>
      </w:r>
      <w:r w:rsidR="004A1CAD">
        <w:rPr>
          <w:szCs w:val="18"/>
        </w:rPr>
        <w:t xml:space="preserve"> a professional working in visual impairment services</w:t>
      </w:r>
      <w:r w:rsidRPr="0054577C">
        <w:rPr>
          <w:szCs w:val="18"/>
        </w:rPr>
        <w:t>. However,</w:t>
      </w:r>
      <w:r w:rsidR="004C6C28" w:rsidRPr="0054577C">
        <w:rPr>
          <w:szCs w:val="18"/>
        </w:rPr>
        <w:t xml:space="preserve"> </w:t>
      </w:r>
      <w:r w:rsidR="007C0962" w:rsidRPr="0054577C">
        <w:rPr>
          <w:szCs w:val="18"/>
        </w:rPr>
        <w:t xml:space="preserve">there are no training programs which are targeted at </w:t>
      </w:r>
      <w:r w:rsidR="009E3010" w:rsidRPr="0054577C">
        <w:rPr>
          <w:szCs w:val="18"/>
        </w:rPr>
        <w:t xml:space="preserve">enabling </w:t>
      </w:r>
      <w:r w:rsidR="004A1CAD">
        <w:rPr>
          <w:szCs w:val="18"/>
        </w:rPr>
        <w:t>these</w:t>
      </w:r>
      <w:r w:rsidR="009E3010" w:rsidRPr="0054577C">
        <w:rPr>
          <w:szCs w:val="18"/>
        </w:rPr>
        <w:t xml:space="preserve"> professionals to promote PA.</w:t>
      </w:r>
      <w:r w:rsidR="00A46579" w:rsidRPr="0054577C">
        <w:rPr>
          <w:szCs w:val="18"/>
        </w:rPr>
        <w:t xml:space="preserve"> </w:t>
      </w:r>
      <w:r w:rsidR="00C4013B" w:rsidRPr="0054577C">
        <w:rPr>
          <w:szCs w:val="18"/>
        </w:rPr>
        <w:t>Therefore,</w:t>
      </w:r>
      <w:r w:rsidR="00D433BA" w:rsidRPr="0054577C">
        <w:rPr>
          <w:szCs w:val="18"/>
        </w:rPr>
        <w:t xml:space="preserve"> </w:t>
      </w:r>
      <w:r w:rsidR="003B6598" w:rsidRPr="0054577C">
        <w:rPr>
          <w:szCs w:val="18"/>
        </w:rPr>
        <w:t xml:space="preserve">this study aims to inform </w:t>
      </w:r>
      <w:r w:rsidR="001B7410" w:rsidRPr="0054577C">
        <w:rPr>
          <w:szCs w:val="18"/>
          <w:lang w:val="en-GB"/>
        </w:rPr>
        <w:t>a</w:t>
      </w:r>
      <w:r w:rsidR="004120FF">
        <w:rPr>
          <w:szCs w:val="18"/>
          <w:lang w:val="en-GB"/>
        </w:rPr>
        <w:t xml:space="preserve"> UK based</w:t>
      </w:r>
      <w:r w:rsidR="00A23127" w:rsidRPr="0054577C">
        <w:rPr>
          <w:szCs w:val="18"/>
          <w:lang w:val="en-GB"/>
        </w:rPr>
        <w:t xml:space="preserve"> </w:t>
      </w:r>
      <w:r w:rsidR="00B46F2D" w:rsidRPr="0054577C">
        <w:rPr>
          <w:szCs w:val="18"/>
          <w:lang w:val="en-GB"/>
        </w:rPr>
        <w:t xml:space="preserve">training </w:t>
      </w:r>
      <w:r w:rsidR="001B7410" w:rsidRPr="0054577C">
        <w:rPr>
          <w:szCs w:val="18"/>
          <w:lang w:val="en-GB"/>
        </w:rPr>
        <w:t>program which</w:t>
      </w:r>
      <w:r w:rsidR="003B6598" w:rsidRPr="0054577C">
        <w:rPr>
          <w:szCs w:val="18"/>
          <w:lang w:val="en-GB"/>
        </w:rPr>
        <w:t xml:space="preserve"> facilitates PA promotion within </w:t>
      </w:r>
      <w:r w:rsidR="00EF48E9">
        <w:rPr>
          <w:szCs w:val="18"/>
          <w:lang w:val="en-GB"/>
        </w:rPr>
        <w:t>visual impairment</w:t>
      </w:r>
      <w:r w:rsidR="003B6598" w:rsidRPr="0054577C">
        <w:rPr>
          <w:szCs w:val="18"/>
          <w:lang w:val="en-GB"/>
        </w:rPr>
        <w:t xml:space="preserve"> services</w:t>
      </w:r>
      <w:r w:rsidR="00A23127" w:rsidRPr="0054577C">
        <w:rPr>
          <w:szCs w:val="18"/>
          <w:lang w:val="en-GB"/>
        </w:rPr>
        <w:t xml:space="preserve">. </w:t>
      </w:r>
      <w:r w:rsidR="00AA40BD" w:rsidRPr="0054577C">
        <w:rPr>
          <w:szCs w:val="18"/>
        </w:rPr>
        <w:t xml:space="preserve">A </w:t>
      </w:r>
      <w:r w:rsidR="00F75C5B" w:rsidRPr="0054577C">
        <w:rPr>
          <w:szCs w:val="18"/>
        </w:rPr>
        <w:t>modified Delphi technique</w:t>
      </w:r>
      <w:r w:rsidR="00AA40BD" w:rsidRPr="0054577C">
        <w:rPr>
          <w:szCs w:val="18"/>
        </w:rPr>
        <w:t xml:space="preserve"> was used</w:t>
      </w:r>
      <w:r w:rsidR="00C40F00" w:rsidRPr="0054577C">
        <w:rPr>
          <w:szCs w:val="18"/>
        </w:rPr>
        <w:t>,</w:t>
      </w:r>
      <w:r w:rsidR="00DE0EE8" w:rsidRPr="0054577C">
        <w:rPr>
          <w:szCs w:val="18"/>
        </w:rPr>
        <w:t xml:space="preserve"> consisting of </w:t>
      </w:r>
      <w:r w:rsidR="00A46579" w:rsidRPr="0054577C">
        <w:rPr>
          <w:szCs w:val="18"/>
        </w:rPr>
        <w:t>a</w:t>
      </w:r>
      <w:r w:rsidR="00DE0EE8" w:rsidRPr="0054577C">
        <w:rPr>
          <w:szCs w:val="18"/>
        </w:rPr>
        <w:t xml:space="preserve"> focus group and two rounds of survey</w:t>
      </w:r>
      <w:r w:rsidR="00CB3111" w:rsidRPr="0054577C">
        <w:rPr>
          <w:szCs w:val="18"/>
        </w:rPr>
        <w:t>s</w:t>
      </w:r>
      <w:r w:rsidR="00DE0EE8" w:rsidRPr="0054577C">
        <w:rPr>
          <w:szCs w:val="18"/>
        </w:rPr>
        <w:t xml:space="preserve">. </w:t>
      </w:r>
      <w:r w:rsidR="00A23127" w:rsidRPr="0054577C">
        <w:rPr>
          <w:szCs w:val="18"/>
        </w:rPr>
        <w:t xml:space="preserve">The panel </w:t>
      </w:r>
      <w:r w:rsidR="00193816" w:rsidRPr="0054577C">
        <w:rPr>
          <w:szCs w:val="18"/>
        </w:rPr>
        <w:t>included</w:t>
      </w:r>
      <w:r w:rsidR="00A23127" w:rsidRPr="0054577C">
        <w:rPr>
          <w:szCs w:val="18"/>
        </w:rPr>
        <w:t xml:space="preserve"> 17 experts in round one, and 12 experts in round two</w:t>
      </w:r>
      <w:r w:rsidR="00A46579" w:rsidRPr="0054577C">
        <w:rPr>
          <w:szCs w:val="18"/>
        </w:rPr>
        <w:t>. C</w:t>
      </w:r>
      <w:r w:rsidR="00096A22" w:rsidRPr="0054577C">
        <w:rPr>
          <w:szCs w:val="18"/>
        </w:rPr>
        <w:t>onsensus was defined</w:t>
      </w:r>
      <w:r w:rsidR="00B36333" w:rsidRPr="0054577C">
        <w:rPr>
          <w:rFonts w:eastAsia="SimSun"/>
          <w:bCs/>
          <w:sz w:val="20"/>
          <w:szCs w:val="20"/>
          <w:lang w:val="en-GB" w:eastAsia="zh-CN" w:bidi="ar-SA"/>
        </w:rPr>
        <w:t xml:space="preserve"> </w:t>
      </w:r>
      <w:r w:rsidR="00B36333" w:rsidRPr="0054577C">
        <w:rPr>
          <w:bCs/>
          <w:szCs w:val="18"/>
          <w:lang w:val="en-GB"/>
        </w:rPr>
        <w:t xml:space="preserve">as </w:t>
      </w:r>
      <w:r w:rsidR="002F5016" w:rsidRPr="0054577C">
        <w:rPr>
          <w:bCs/>
          <w:szCs w:val="18"/>
          <w:lang w:val="en-GB"/>
        </w:rPr>
        <w:t xml:space="preserve">equal to or greater than </w:t>
      </w:r>
      <w:r w:rsidR="00B36333" w:rsidRPr="0054577C">
        <w:rPr>
          <w:bCs/>
          <w:szCs w:val="18"/>
          <w:lang w:val="en-GB"/>
        </w:rPr>
        <w:t>70% agreement</w:t>
      </w:r>
      <w:r w:rsidR="00DE0EE8" w:rsidRPr="0054577C">
        <w:rPr>
          <w:szCs w:val="18"/>
        </w:rPr>
        <w:t xml:space="preserve">. </w:t>
      </w:r>
      <w:r w:rsidR="00B77C41" w:rsidRPr="0054577C">
        <w:rPr>
          <w:szCs w:val="18"/>
        </w:rPr>
        <w:t xml:space="preserve">The </w:t>
      </w:r>
      <w:r w:rsidR="005627C6" w:rsidRPr="0054577C">
        <w:rPr>
          <w:szCs w:val="18"/>
        </w:rPr>
        <w:t xml:space="preserve">panel agreed training should: </w:t>
      </w:r>
      <w:r w:rsidR="00B77C41" w:rsidRPr="0054577C">
        <w:rPr>
          <w:szCs w:val="18"/>
        </w:rPr>
        <w:t>educat</w:t>
      </w:r>
      <w:r w:rsidR="005627C6" w:rsidRPr="0054577C">
        <w:rPr>
          <w:szCs w:val="18"/>
        </w:rPr>
        <w:t>e professionals</w:t>
      </w:r>
      <w:r w:rsidR="002E0EE8" w:rsidRPr="0054577C">
        <w:rPr>
          <w:szCs w:val="18"/>
        </w:rPr>
        <w:t xml:space="preserve"> on </w:t>
      </w:r>
      <w:r w:rsidR="00BA6EC6" w:rsidRPr="0054577C">
        <w:rPr>
          <w:szCs w:val="18"/>
        </w:rPr>
        <w:t>PA benefits</w:t>
      </w:r>
      <w:r w:rsidR="00446282" w:rsidRPr="0054577C">
        <w:rPr>
          <w:bCs/>
          <w:szCs w:val="18"/>
          <w:lang w:val="en-GB"/>
        </w:rPr>
        <w:t>,</w:t>
      </w:r>
      <w:r w:rsidR="00A46579" w:rsidRPr="0054577C">
        <w:rPr>
          <w:bCs/>
          <w:szCs w:val="18"/>
          <w:lang w:val="en-GB"/>
        </w:rPr>
        <w:t xml:space="preserve"> injury prevention, and wellbeing,</w:t>
      </w:r>
      <w:r w:rsidR="00446282" w:rsidRPr="0054577C">
        <w:rPr>
          <w:bCs/>
          <w:szCs w:val="18"/>
          <w:lang w:val="en-GB"/>
        </w:rPr>
        <w:t xml:space="preserve"> </w:t>
      </w:r>
      <w:r w:rsidR="0082131D" w:rsidRPr="0054577C">
        <w:rPr>
          <w:bCs/>
          <w:szCs w:val="18"/>
          <w:lang w:val="en-GB"/>
        </w:rPr>
        <w:t>address</w:t>
      </w:r>
      <w:r w:rsidR="00446282" w:rsidRPr="0054577C">
        <w:rPr>
          <w:bCs/>
          <w:szCs w:val="18"/>
          <w:lang w:val="en-GB"/>
        </w:rPr>
        <w:t xml:space="preserve"> myths associated with PA</w:t>
      </w:r>
      <w:r w:rsidR="00A46579" w:rsidRPr="0054577C">
        <w:rPr>
          <w:bCs/>
          <w:szCs w:val="18"/>
          <w:lang w:val="en-GB"/>
        </w:rPr>
        <w:t>, address health and safety concerns</w:t>
      </w:r>
      <w:r w:rsidR="00446282" w:rsidRPr="0054577C">
        <w:rPr>
          <w:bCs/>
          <w:szCs w:val="18"/>
          <w:lang w:val="en-GB"/>
        </w:rPr>
        <w:t>, help p</w:t>
      </w:r>
      <w:r w:rsidR="0082131D" w:rsidRPr="0054577C">
        <w:rPr>
          <w:bCs/>
          <w:szCs w:val="18"/>
          <w:lang w:val="en-GB"/>
        </w:rPr>
        <w:t>rofessionals to</w:t>
      </w:r>
      <w:r w:rsidR="00446282" w:rsidRPr="0054577C">
        <w:rPr>
          <w:bCs/>
          <w:szCs w:val="18"/>
          <w:lang w:val="en-GB"/>
        </w:rPr>
        <w:t xml:space="preserve"> find local PA</w:t>
      </w:r>
      <w:r w:rsidR="0082131D" w:rsidRPr="0054577C">
        <w:rPr>
          <w:bCs/>
          <w:szCs w:val="18"/>
          <w:lang w:val="en-GB"/>
        </w:rPr>
        <w:t xml:space="preserve"> opportunities</w:t>
      </w:r>
      <w:r w:rsidR="00446282" w:rsidRPr="0054577C">
        <w:rPr>
          <w:bCs/>
          <w:szCs w:val="18"/>
          <w:lang w:val="en-GB"/>
        </w:rPr>
        <w:t xml:space="preserve">, </w:t>
      </w:r>
      <w:r w:rsidR="00BA6EC6" w:rsidRPr="0054577C">
        <w:rPr>
          <w:bCs/>
          <w:szCs w:val="18"/>
          <w:lang w:val="en-GB"/>
        </w:rPr>
        <w:t>and include a networking session</w:t>
      </w:r>
      <w:r w:rsidR="002F5016" w:rsidRPr="0054577C">
        <w:rPr>
          <w:bCs/>
          <w:szCs w:val="18"/>
          <w:lang w:val="en-GB"/>
        </w:rPr>
        <w:t xml:space="preserve"> for professionals</w:t>
      </w:r>
      <w:r w:rsidR="0049067A">
        <w:rPr>
          <w:bCs/>
          <w:szCs w:val="18"/>
          <w:lang w:val="en-GB"/>
        </w:rPr>
        <w:t xml:space="preserve"> in visual impairment services</w:t>
      </w:r>
      <w:r w:rsidR="002F5016" w:rsidRPr="0054577C">
        <w:rPr>
          <w:bCs/>
          <w:szCs w:val="18"/>
          <w:lang w:val="en-GB"/>
        </w:rPr>
        <w:t xml:space="preserve"> and local PA providers</w:t>
      </w:r>
      <w:r w:rsidR="000A53E9" w:rsidRPr="0054577C">
        <w:rPr>
          <w:bCs/>
          <w:szCs w:val="18"/>
          <w:lang w:val="en-GB"/>
        </w:rPr>
        <w:t xml:space="preserve">. The panel agreed </w:t>
      </w:r>
      <w:r w:rsidR="00DE0EE8" w:rsidRPr="0054577C">
        <w:rPr>
          <w:bCs/>
          <w:szCs w:val="18"/>
          <w:lang w:val="en-GB"/>
        </w:rPr>
        <w:t>training should</w:t>
      </w:r>
      <w:r w:rsidR="009D3E95" w:rsidRPr="0054577C">
        <w:rPr>
          <w:bCs/>
          <w:szCs w:val="18"/>
          <w:lang w:val="en-GB"/>
        </w:rPr>
        <w:t xml:space="preserve"> also</w:t>
      </w:r>
      <w:r w:rsidR="00DE0EE8" w:rsidRPr="0054577C">
        <w:rPr>
          <w:bCs/>
          <w:szCs w:val="18"/>
          <w:lang w:val="en-GB"/>
        </w:rPr>
        <w:t xml:space="preserve"> target PA providers and volunteers</w:t>
      </w:r>
      <w:r w:rsidR="00731C0F">
        <w:rPr>
          <w:bCs/>
          <w:szCs w:val="18"/>
          <w:lang w:val="en-GB"/>
        </w:rPr>
        <w:t xml:space="preserve"> for visual impairment services</w:t>
      </w:r>
      <w:r w:rsidR="00BB7441" w:rsidRPr="0054577C">
        <w:rPr>
          <w:bCs/>
          <w:szCs w:val="18"/>
          <w:lang w:val="en-GB"/>
        </w:rPr>
        <w:t xml:space="preserve">, and that </w:t>
      </w:r>
      <w:r w:rsidR="009D3E95" w:rsidRPr="0054577C">
        <w:rPr>
          <w:bCs/>
          <w:szCs w:val="18"/>
          <w:lang w:val="en-GB"/>
        </w:rPr>
        <w:t xml:space="preserve">training </w:t>
      </w:r>
      <w:r w:rsidR="00DE0EE8" w:rsidRPr="0054577C">
        <w:rPr>
          <w:bCs/>
          <w:szCs w:val="18"/>
          <w:lang w:val="en-GB"/>
        </w:rPr>
        <w:t xml:space="preserve">should be delivered online and in-person. </w:t>
      </w:r>
      <w:r w:rsidR="003F6DC8" w:rsidRPr="0054577C">
        <w:rPr>
          <w:bCs/>
          <w:szCs w:val="18"/>
          <w:lang w:val="en-GB"/>
        </w:rPr>
        <w:t xml:space="preserve">In conclusion, training should </w:t>
      </w:r>
      <w:r w:rsidR="00AA40BD" w:rsidRPr="0054577C">
        <w:rPr>
          <w:bCs/>
          <w:szCs w:val="18"/>
          <w:lang w:val="en-GB"/>
        </w:rPr>
        <w:t>provide professionals with</w:t>
      </w:r>
      <w:r w:rsidR="00B36E58" w:rsidRPr="0054577C">
        <w:rPr>
          <w:bCs/>
          <w:szCs w:val="18"/>
          <w:lang w:val="en-GB"/>
        </w:rPr>
        <w:t xml:space="preserve"> the</w:t>
      </w:r>
      <w:r w:rsidR="00AA40BD" w:rsidRPr="0054577C">
        <w:rPr>
          <w:bCs/>
          <w:szCs w:val="18"/>
          <w:lang w:val="en-GB"/>
        </w:rPr>
        <w:t xml:space="preserve"> </w:t>
      </w:r>
      <w:r w:rsidR="003B6598" w:rsidRPr="0054577C">
        <w:rPr>
          <w:bCs/>
          <w:szCs w:val="18"/>
          <w:lang w:val="en-GB"/>
        </w:rPr>
        <w:t xml:space="preserve">capability </w:t>
      </w:r>
      <w:r w:rsidR="00AA40BD" w:rsidRPr="0054577C">
        <w:rPr>
          <w:bCs/>
          <w:szCs w:val="18"/>
          <w:lang w:val="en-GB"/>
        </w:rPr>
        <w:t>to promote PA</w:t>
      </w:r>
      <w:r w:rsidR="003F6DC8" w:rsidRPr="0054577C">
        <w:rPr>
          <w:bCs/>
          <w:szCs w:val="18"/>
          <w:lang w:val="en-GB"/>
        </w:rPr>
        <w:t xml:space="preserve"> and </w:t>
      </w:r>
      <w:r w:rsidR="00B36E58" w:rsidRPr="0054577C">
        <w:rPr>
          <w:bCs/>
          <w:szCs w:val="18"/>
          <w:lang w:val="en-GB"/>
        </w:rPr>
        <w:t xml:space="preserve">to </w:t>
      </w:r>
      <w:r w:rsidR="004A6C92" w:rsidRPr="0054577C">
        <w:rPr>
          <w:bCs/>
          <w:szCs w:val="18"/>
          <w:lang w:val="en-GB"/>
        </w:rPr>
        <w:t xml:space="preserve">establish </w:t>
      </w:r>
      <w:r w:rsidR="00A46579" w:rsidRPr="0054577C">
        <w:rPr>
          <w:bCs/>
          <w:szCs w:val="18"/>
          <w:lang w:val="en-GB"/>
        </w:rPr>
        <w:t>stakeholder partnerships</w:t>
      </w:r>
      <w:r w:rsidR="004A6C92" w:rsidRPr="0054577C">
        <w:rPr>
          <w:bCs/>
          <w:szCs w:val="18"/>
          <w:lang w:val="en-GB"/>
        </w:rPr>
        <w:t>.</w:t>
      </w:r>
      <w:r w:rsidR="00AA40BD" w:rsidRPr="0054577C">
        <w:rPr>
          <w:bCs/>
          <w:szCs w:val="18"/>
          <w:lang w:val="en-GB"/>
        </w:rPr>
        <w:t xml:space="preserve"> The present findings can</w:t>
      </w:r>
      <w:r w:rsidR="00DF14C4" w:rsidRPr="0054577C">
        <w:rPr>
          <w:bCs/>
          <w:szCs w:val="18"/>
          <w:lang w:val="en-GB"/>
        </w:rPr>
        <w:t xml:space="preserve"> </w:t>
      </w:r>
      <w:r w:rsidR="00AA40BD" w:rsidRPr="0054577C">
        <w:rPr>
          <w:bCs/>
          <w:szCs w:val="18"/>
          <w:lang w:val="en-GB"/>
        </w:rPr>
        <w:t xml:space="preserve">inform </w:t>
      </w:r>
      <w:r w:rsidR="006B6D0D" w:rsidRPr="0054577C">
        <w:rPr>
          <w:bCs/>
          <w:szCs w:val="18"/>
          <w:lang w:val="en-GB"/>
        </w:rPr>
        <w:t>future researc</w:t>
      </w:r>
      <w:r w:rsidR="00A46579" w:rsidRPr="0054577C">
        <w:rPr>
          <w:bCs/>
          <w:szCs w:val="18"/>
          <w:lang w:val="en-GB"/>
        </w:rPr>
        <w:t>h which test</w:t>
      </w:r>
      <w:r w:rsidR="003B6598" w:rsidRPr="0054577C">
        <w:rPr>
          <w:bCs/>
          <w:szCs w:val="18"/>
          <w:lang w:val="en-GB"/>
        </w:rPr>
        <w:t>s</w:t>
      </w:r>
      <w:r w:rsidR="00A46579" w:rsidRPr="0054577C">
        <w:rPr>
          <w:bCs/>
          <w:szCs w:val="18"/>
          <w:lang w:val="en-GB"/>
        </w:rPr>
        <w:t xml:space="preserve"> </w:t>
      </w:r>
      <w:r w:rsidR="00AA40BD" w:rsidRPr="0054577C">
        <w:rPr>
          <w:bCs/>
          <w:szCs w:val="18"/>
          <w:lang w:val="en-GB"/>
        </w:rPr>
        <w:t xml:space="preserve">the </w:t>
      </w:r>
      <w:r w:rsidR="00DF14C4" w:rsidRPr="0054577C">
        <w:rPr>
          <w:bCs/>
          <w:szCs w:val="18"/>
          <w:lang w:val="en-GB"/>
        </w:rPr>
        <w:t>panel’s recommendations.</w:t>
      </w:r>
      <w:r w:rsidR="00AA40BD" w:rsidRPr="0054577C">
        <w:rPr>
          <w:bCs/>
          <w:szCs w:val="18"/>
          <w:lang w:val="en-GB"/>
        </w:rPr>
        <w:t xml:space="preserve"> </w:t>
      </w:r>
    </w:p>
    <w:p w14:paraId="014F6EBD" w14:textId="58029BC0" w:rsidR="002F662D" w:rsidRPr="0054577C" w:rsidRDefault="002F662D" w:rsidP="002F662D">
      <w:pPr>
        <w:pStyle w:val="MDPI18keywords"/>
        <w:rPr>
          <w:szCs w:val="18"/>
        </w:rPr>
      </w:pPr>
      <w:r w:rsidRPr="0054577C">
        <w:rPr>
          <w:b/>
          <w:szCs w:val="18"/>
        </w:rPr>
        <w:t xml:space="preserve">Keywords: </w:t>
      </w:r>
      <w:r w:rsidR="00B841BE" w:rsidRPr="0054577C">
        <w:rPr>
          <w:szCs w:val="18"/>
        </w:rPr>
        <w:t>exercise</w:t>
      </w:r>
      <w:r w:rsidRPr="0054577C">
        <w:rPr>
          <w:szCs w:val="18"/>
        </w:rPr>
        <w:t xml:space="preserve">; </w:t>
      </w:r>
      <w:r w:rsidR="00B841BE" w:rsidRPr="0054577C">
        <w:rPr>
          <w:szCs w:val="18"/>
        </w:rPr>
        <w:t>health</w:t>
      </w:r>
      <w:r w:rsidRPr="0054577C">
        <w:rPr>
          <w:szCs w:val="18"/>
        </w:rPr>
        <w:t xml:space="preserve">; </w:t>
      </w:r>
      <w:r w:rsidR="00B841BE" w:rsidRPr="0054577C">
        <w:rPr>
          <w:szCs w:val="18"/>
        </w:rPr>
        <w:t>visual impairment; blind</w:t>
      </w:r>
      <w:r w:rsidR="00FA6A02" w:rsidRPr="0054577C">
        <w:rPr>
          <w:szCs w:val="18"/>
        </w:rPr>
        <w:t>; social care.</w:t>
      </w:r>
    </w:p>
    <w:p w14:paraId="5F580833" w14:textId="77777777" w:rsidR="002F662D" w:rsidRPr="0054577C" w:rsidRDefault="002F662D" w:rsidP="002F662D">
      <w:pPr>
        <w:pStyle w:val="MDPI19line"/>
        <w:rPr>
          <w:color w:val="FF0000"/>
        </w:rPr>
      </w:pPr>
    </w:p>
    <w:p w14:paraId="4EB7F7F4" w14:textId="5514DD91" w:rsidR="002F662D" w:rsidRPr="0054577C" w:rsidRDefault="002F662D" w:rsidP="002F662D">
      <w:pPr>
        <w:pStyle w:val="MDPI21heading1"/>
        <w:rPr>
          <w:lang w:eastAsia="zh-CN"/>
        </w:rPr>
      </w:pPr>
      <w:r w:rsidRPr="0054577C">
        <w:rPr>
          <w:lang w:eastAsia="zh-CN"/>
        </w:rPr>
        <w:t>1. Introduction</w:t>
      </w:r>
    </w:p>
    <w:p w14:paraId="2A2A853B" w14:textId="636CFA69" w:rsidR="002F0FE9" w:rsidRPr="0054577C" w:rsidRDefault="002F0FE9" w:rsidP="00F45C3B">
      <w:pPr>
        <w:pStyle w:val="MDPI31text"/>
        <w:rPr>
          <w:lang w:val="en-GB"/>
        </w:rPr>
      </w:pPr>
      <w:r w:rsidRPr="0054577C">
        <w:rPr>
          <w:lang w:val="en-GB"/>
        </w:rPr>
        <w:t>Regular physical activity (PA) is essential to prevent and manage non communicable diseases including type 2 diabetes, cardiovascular disease, stroke, colon cancer and breast cancer</w:t>
      </w:r>
      <w:r w:rsidR="00DE1EC0" w:rsidRPr="0054577C">
        <w:rPr>
          <w:lang w:val="en-GB"/>
        </w:rPr>
        <w:t xml:space="preserve"> [1]</w:t>
      </w:r>
      <w:r w:rsidRPr="0054577C">
        <w:rPr>
          <w:lang w:val="en-GB"/>
        </w:rPr>
        <w:t xml:space="preserve">. Regular PA also promotes good mental </w:t>
      </w:r>
      <w:r w:rsidR="00E50468" w:rsidRPr="0054577C">
        <w:rPr>
          <w:lang w:val="en-GB"/>
        </w:rPr>
        <w:t>health and</w:t>
      </w:r>
      <w:r w:rsidRPr="0054577C">
        <w:rPr>
          <w:lang w:val="en-GB"/>
        </w:rPr>
        <w:t xml:space="preserve"> can be beneficial for symptoms of depression</w:t>
      </w:r>
      <w:r w:rsidR="00DE1EC0" w:rsidRPr="0054577C">
        <w:rPr>
          <w:lang w:val="en-GB"/>
        </w:rPr>
        <w:t xml:space="preserve"> [2]</w:t>
      </w:r>
      <w:r w:rsidR="00E121E6" w:rsidRPr="0054577C">
        <w:rPr>
          <w:lang w:val="en-GB"/>
        </w:rPr>
        <w:t xml:space="preserve"> </w:t>
      </w:r>
      <w:r w:rsidRPr="0054577C">
        <w:rPr>
          <w:lang w:val="en-GB"/>
        </w:rPr>
        <w:t>and anxiety</w:t>
      </w:r>
      <w:r w:rsidR="00DE1EC0" w:rsidRPr="0054577C">
        <w:rPr>
          <w:lang w:val="en-GB"/>
        </w:rPr>
        <w:t xml:space="preserve"> [3]</w:t>
      </w:r>
      <w:r w:rsidRPr="0054577C">
        <w:rPr>
          <w:lang w:val="en-GB"/>
        </w:rPr>
        <w:t>, as well as improving overall quality of life</w:t>
      </w:r>
      <w:r w:rsidR="00DE1EC0" w:rsidRPr="0054577C">
        <w:rPr>
          <w:lang w:val="en-GB"/>
        </w:rPr>
        <w:t xml:space="preserve"> [4,5]</w:t>
      </w:r>
      <w:r w:rsidRPr="0054577C">
        <w:rPr>
          <w:lang w:val="en-GB"/>
        </w:rPr>
        <w:t xml:space="preserve">. </w:t>
      </w:r>
      <w:r w:rsidR="00C11847" w:rsidRPr="0054577C">
        <w:rPr>
          <w:lang w:val="en-GB"/>
        </w:rPr>
        <w:t>T</w:t>
      </w:r>
      <w:r w:rsidR="00C11847" w:rsidRPr="0054577C">
        <w:t xml:space="preserve">he United Kingdom (UK) Chief Medical Officers’ Guidelines recommend each week adults do 150 minutes of moderate PA, or 75 minutes of vigorous PA, </w:t>
      </w:r>
      <w:r w:rsidR="00F45C3B" w:rsidRPr="0054577C">
        <w:t>or a combination of the two, and strengthening exercises on two days</w:t>
      </w:r>
      <w:bookmarkStart w:id="0" w:name="_Ref118706704"/>
      <w:r w:rsidR="00DE1EC0" w:rsidRPr="0054577C">
        <w:t xml:space="preserve"> [6]</w:t>
      </w:r>
      <w:bookmarkEnd w:id="0"/>
      <w:r w:rsidR="00F45C3B" w:rsidRPr="0054577C">
        <w:t xml:space="preserve">. </w:t>
      </w:r>
      <w:r w:rsidRPr="0054577C">
        <w:rPr>
          <w:lang w:val="en-GB"/>
        </w:rPr>
        <w:t xml:space="preserve">However, in the UK approximately 34% of men and 42% of women do not </w:t>
      </w:r>
      <w:r w:rsidR="005119CF" w:rsidRPr="0054577C">
        <w:rPr>
          <w:lang w:val="en-GB"/>
        </w:rPr>
        <w:t xml:space="preserve">meet PA </w:t>
      </w:r>
      <w:r w:rsidR="00F80FD7" w:rsidRPr="0054577C">
        <w:rPr>
          <w:lang w:val="en-GB"/>
        </w:rPr>
        <w:t>guidelines</w:t>
      </w:r>
      <w:r w:rsidR="00DE1EC0" w:rsidRPr="0054577C">
        <w:rPr>
          <w:lang w:val="en-GB"/>
        </w:rPr>
        <w:t xml:space="preserve"> [6]</w:t>
      </w:r>
      <w:r w:rsidRPr="0054577C">
        <w:rPr>
          <w:lang w:val="en-GB"/>
        </w:rPr>
        <w:t xml:space="preserve"> and this problem is particularly prolific among populations with </w:t>
      </w:r>
      <w:r w:rsidR="003825B1">
        <w:rPr>
          <w:lang w:val="en-GB"/>
        </w:rPr>
        <w:t>visual impairments</w:t>
      </w:r>
      <w:r w:rsidRPr="0054577C">
        <w:rPr>
          <w:lang w:val="en-GB"/>
        </w:rPr>
        <w:t>.</w:t>
      </w:r>
      <w:r w:rsidR="00E50468" w:rsidRPr="0054577C">
        <w:rPr>
          <w:lang w:val="en-GB"/>
        </w:rPr>
        <w:t xml:space="preserve"> A</w:t>
      </w:r>
      <w:r w:rsidRPr="0054577C">
        <w:rPr>
          <w:lang w:val="en-GB"/>
        </w:rPr>
        <w:t>dults who have self-reported poor sight even whilst wearing glasses or contact lenses</w:t>
      </w:r>
      <w:r w:rsidR="00DE1EC0" w:rsidRPr="0054577C">
        <w:rPr>
          <w:lang w:val="en-GB"/>
        </w:rPr>
        <w:t xml:space="preserve"> [7]</w:t>
      </w:r>
      <w:r w:rsidRPr="0054577C">
        <w:rPr>
          <w:lang w:val="en-GB"/>
        </w:rPr>
        <w:t xml:space="preserve"> and people who have sight loss which is severe enough to be diagnosed as visually impaired are twice as likely </w:t>
      </w:r>
      <w:r w:rsidR="00D41723" w:rsidRPr="0054577C">
        <w:rPr>
          <w:lang w:val="en-GB"/>
        </w:rPr>
        <w:t>not to meet PA guidelines</w:t>
      </w:r>
      <w:r w:rsidRPr="0054577C">
        <w:rPr>
          <w:lang w:val="en-GB"/>
        </w:rPr>
        <w:t xml:space="preserve"> as sighted people</w:t>
      </w:r>
      <w:r w:rsidR="00DE1EC0" w:rsidRPr="0054577C">
        <w:rPr>
          <w:lang w:val="en-GB"/>
        </w:rPr>
        <w:t xml:space="preserve"> [8]</w:t>
      </w:r>
      <w:r w:rsidRPr="0054577C">
        <w:rPr>
          <w:lang w:val="en-GB"/>
        </w:rPr>
        <w:t xml:space="preserve">. Thus, to address inequalities in health arising from low PA levels among people with </w:t>
      </w:r>
      <w:r w:rsidR="00D50F49">
        <w:rPr>
          <w:lang w:val="en-GB"/>
        </w:rPr>
        <w:t>visual impairment</w:t>
      </w:r>
      <w:r w:rsidRPr="0054577C">
        <w:rPr>
          <w:lang w:val="en-GB"/>
        </w:rPr>
        <w:t xml:space="preserve">, interventions are required to target this specific population group. </w:t>
      </w:r>
    </w:p>
    <w:p w14:paraId="437741A2" w14:textId="2E1BF2F2" w:rsidR="00845E34" w:rsidRDefault="002F0FE9" w:rsidP="00145DDC">
      <w:pPr>
        <w:pStyle w:val="MDPI31text"/>
        <w:rPr>
          <w:lang w:val="en-GB"/>
        </w:rPr>
      </w:pPr>
      <w:r w:rsidRPr="0054577C">
        <w:rPr>
          <w:lang w:val="en-GB"/>
        </w:rPr>
        <w:t xml:space="preserve">Research suggests that the majority of UK adults with </w:t>
      </w:r>
      <w:r w:rsidR="00D50F49">
        <w:rPr>
          <w:lang w:val="en-GB"/>
        </w:rPr>
        <w:t>visual impairment</w:t>
      </w:r>
      <w:r w:rsidRPr="0054577C">
        <w:rPr>
          <w:lang w:val="en-GB"/>
        </w:rPr>
        <w:t xml:space="preserve"> would increase their PA if they were advised to by a professional who works in </w:t>
      </w:r>
      <w:r w:rsidR="00A52D6B">
        <w:rPr>
          <w:lang w:val="en-GB"/>
        </w:rPr>
        <w:t>visual impairment</w:t>
      </w:r>
      <w:r w:rsidRPr="0054577C">
        <w:rPr>
          <w:lang w:val="en-GB"/>
        </w:rPr>
        <w:t xml:space="preserve"> </w:t>
      </w:r>
      <w:r w:rsidRPr="0054577C">
        <w:rPr>
          <w:lang w:val="en-GB"/>
        </w:rPr>
        <w:lastRenderedPageBreak/>
        <w:t>services</w:t>
      </w:r>
      <w:r w:rsidR="00DE1EC0" w:rsidRPr="0054577C">
        <w:rPr>
          <w:lang w:val="en-GB"/>
        </w:rPr>
        <w:t xml:space="preserve"> [9]</w:t>
      </w:r>
      <w:r w:rsidRPr="0054577C">
        <w:rPr>
          <w:lang w:val="en-GB"/>
        </w:rPr>
        <w:t>. Therefore, professionals</w:t>
      </w:r>
      <w:r w:rsidR="00360B13">
        <w:rPr>
          <w:lang w:val="en-GB"/>
        </w:rPr>
        <w:t xml:space="preserve"> who work for visual impairment services</w:t>
      </w:r>
      <w:r w:rsidRPr="0054577C">
        <w:rPr>
          <w:lang w:val="en-GB"/>
        </w:rPr>
        <w:t xml:space="preserve">, defined as someone who is employed to provide emotional or practical support to people with </w:t>
      </w:r>
      <w:r w:rsidR="00D50F49">
        <w:rPr>
          <w:lang w:val="en-GB"/>
        </w:rPr>
        <w:t>visual impairment</w:t>
      </w:r>
      <w:r w:rsidRPr="0054577C">
        <w:rPr>
          <w:lang w:val="en-GB"/>
        </w:rPr>
        <w:t xml:space="preserve">, </w:t>
      </w:r>
      <w:r w:rsidR="006E616F">
        <w:rPr>
          <w:lang w:val="en-GB"/>
        </w:rPr>
        <w:t>(e.g. outreach work</w:t>
      </w:r>
      <w:r w:rsidR="00272010">
        <w:rPr>
          <w:lang w:val="en-GB"/>
        </w:rPr>
        <w:t>er</w:t>
      </w:r>
      <w:r w:rsidR="002B6CBE">
        <w:rPr>
          <w:lang w:val="en-GB"/>
        </w:rPr>
        <w:t>s</w:t>
      </w:r>
      <w:r w:rsidR="006E616F">
        <w:rPr>
          <w:lang w:val="en-GB"/>
        </w:rPr>
        <w:t xml:space="preserve">, low-vision rehabilitation officers, </w:t>
      </w:r>
      <w:r w:rsidR="0066171C">
        <w:rPr>
          <w:lang w:val="en-GB"/>
        </w:rPr>
        <w:t xml:space="preserve">family </w:t>
      </w:r>
      <w:r w:rsidR="00EA3A87">
        <w:rPr>
          <w:lang w:val="en-GB"/>
        </w:rPr>
        <w:t xml:space="preserve">support </w:t>
      </w:r>
      <w:r w:rsidR="0066171C">
        <w:rPr>
          <w:lang w:val="en-GB"/>
        </w:rPr>
        <w:t>worker</w:t>
      </w:r>
      <w:r w:rsidR="002B6CBE">
        <w:rPr>
          <w:lang w:val="en-GB"/>
        </w:rPr>
        <w:t>s</w:t>
      </w:r>
      <w:r w:rsidR="0066171C">
        <w:rPr>
          <w:lang w:val="en-GB"/>
        </w:rPr>
        <w:t>,</w:t>
      </w:r>
      <w:r w:rsidR="0071383B">
        <w:rPr>
          <w:lang w:val="en-GB"/>
        </w:rPr>
        <w:t xml:space="preserve"> emotional support worker</w:t>
      </w:r>
      <w:r w:rsidR="002B6CBE">
        <w:rPr>
          <w:lang w:val="en-GB"/>
        </w:rPr>
        <w:t>s</w:t>
      </w:r>
      <w:r w:rsidR="0071383B">
        <w:rPr>
          <w:lang w:val="en-GB"/>
        </w:rPr>
        <w:t>)</w:t>
      </w:r>
      <w:r w:rsidR="0066171C">
        <w:rPr>
          <w:lang w:val="en-GB"/>
        </w:rPr>
        <w:t xml:space="preserve"> </w:t>
      </w:r>
      <w:r w:rsidRPr="0054577C">
        <w:rPr>
          <w:lang w:val="en-GB"/>
        </w:rPr>
        <w:t xml:space="preserve">could play a key role in advising and supporting people to become more active. </w:t>
      </w:r>
      <w:r w:rsidR="00B944C7">
        <w:rPr>
          <w:lang w:val="en-GB"/>
        </w:rPr>
        <w:t xml:space="preserve">In 2022, </w:t>
      </w:r>
      <w:r w:rsidR="00597949">
        <w:rPr>
          <w:lang w:val="en-GB"/>
        </w:rPr>
        <w:t xml:space="preserve">British Blind Sport and </w:t>
      </w:r>
      <w:r w:rsidR="006D346F">
        <w:rPr>
          <w:lang w:val="en-GB"/>
        </w:rPr>
        <w:t>partners published a guide</w:t>
      </w:r>
      <w:r w:rsidR="00CB250D">
        <w:rPr>
          <w:lang w:val="en-GB"/>
        </w:rPr>
        <w:t xml:space="preserve"> for</w:t>
      </w:r>
      <w:r w:rsidR="00B944C7" w:rsidRPr="00B944C7">
        <w:rPr>
          <w:lang w:val="en-GB"/>
        </w:rPr>
        <w:t xml:space="preserve"> rehabilitation workers supporting blind and partially sighted adults with PA</w:t>
      </w:r>
      <w:r w:rsidR="00145DDC">
        <w:rPr>
          <w:lang w:val="en-GB"/>
        </w:rPr>
        <w:t xml:space="preserve"> [</w:t>
      </w:r>
      <w:r w:rsidR="009F3E05">
        <w:rPr>
          <w:bCs/>
          <w:lang w:val="en-GB"/>
        </w:rPr>
        <w:t>10</w:t>
      </w:r>
      <w:r w:rsidR="00145DDC">
        <w:rPr>
          <w:bCs/>
          <w:sz w:val="22"/>
          <w:szCs w:val="24"/>
          <w:lang w:val="en-GB"/>
        </w:rPr>
        <w:t>]</w:t>
      </w:r>
      <w:r w:rsidR="006D346F">
        <w:rPr>
          <w:lang w:val="en-GB"/>
        </w:rPr>
        <w:t>.</w:t>
      </w:r>
      <w:r w:rsidR="00F551A8">
        <w:rPr>
          <w:lang w:val="en-GB"/>
        </w:rPr>
        <w:t xml:space="preserve"> The guide summarises the benefits of PA, </w:t>
      </w:r>
      <w:r w:rsidR="00230B4A">
        <w:rPr>
          <w:lang w:val="en-GB"/>
        </w:rPr>
        <w:t xml:space="preserve">advice on doing PA safely, and examples of exercises which could be taught to people with visual impairment. </w:t>
      </w:r>
      <w:r w:rsidR="00D51707">
        <w:rPr>
          <w:lang w:val="en-GB"/>
        </w:rPr>
        <w:t>Offering training</w:t>
      </w:r>
      <w:r w:rsidR="00A133D2">
        <w:rPr>
          <w:lang w:val="en-GB"/>
        </w:rPr>
        <w:t xml:space="preserve"> </w:t>
      </w:r>
      <w:r w:rsidR="008E3D96">
        <w:rPr>
          <w:lang w:val="en-GB"/>
        </w:rPr>
        <w:t xml:space="preserve">for professionals </w:t>
      </w:r>
      <w:r w:rsidR="00A133D2">
        <w:rPr>
          <w:lang w:val="en-GB"/>
        </w:rPr>
        <w:t xml:space="preserve">which builds upon the recommendations outlined in this guide </w:t>
      </w:r>
      <w:r w:rsidR="00F36219">
        <w:rPr>
          <w:lang w:val="en-GB"/>
        </w:rPr>
        <w:t>has several advantages</w:t>
      </w:r>
      <w:r w:rsidR="00326448">
        <w:rPr>
          <w:lang w:val="en-GB"/>
        </w:rPr>
        <w:t>. For example, training could</w:t>
      </w:r>
      <w:r w:rsidR="00A133D2">
        <w:rPr>
          <w:lang w:val="en-GB"/>
        </w:rPr>
        <w:t xml:space="preserve"> encourag</w:t>
      </w:r>
      <w:r w:rsidR="00326448">
        <w:rPr>
          <w:lang w:val="en-GB"/>
        </w:rPr>
        <w:t>e</w:t>
      </w:r>
      <w:r w:rsidR="00A133D2">
        <w:rPr>
          <w:lang w:val="en-GB"/>
        </w:rPr>
        <w:t xml:space="preserve"> interaction between the trainer and trainee</w:t>
      </w:r>
      <w:r w:rsidR="00326448">
        <w:rPr>
          <w:lang w:val="en-GB"/>
        </w:rPr>
        <w:t>s</w:t>
      </w:r>
      <w:r w:rsidR="00A133D2">
        <w:rPr>
          <w:lang w:val="en-GB"/>
        </w:rPr>
        <w:t>, allowing trainees to discuss and clarify points they are concerned about</w:t>
      </w:r>
      <w:r w:rsidR="00326448">
        <w:rPr>
          <w:lang w:val="en-GB"/>
        </w:rPr>
        <w:t>.</w:t>
      </w:r>
      <w:r w:rsidR="00A9424F">
        <w:rPr>
          <w:lang w:val="en-GB"/>
        </w:rPr>
        <w:t xml:space="preserve"> </w:t>
      </w:r>
      <w:r w:rsidR="00326448">
        <w:rPr>
          <w:lang w:val="en-GB"/>
        </w:rPr>
        <w:t>T</w:t>
      </w:r>
      <w:r w:rsidR="00A9424F">
        <w:rPr>
          <w:lang w:val="en-GB"/>
        </w:rPr>
        <w:t>raining can</w:t>
      </w:r>
      <w:r w:rsidR="00326448">
        <w:rPr>
          <w:lang w:val="en-GB"/>
        </w:rPr>
        <w:t xml:space="preserve"> also</w:t>
      </w:r>
      <w:r w:rsidR="00A9424F">
        <w:rPr>
          <w:lang w:val="en-GB"/>
        </w:rPr>
        <w:t xml:space="preserve"> utilise tools such as role-playing scenarios</w:t>
      </w:r>
      <w:r w:rsidR="007756D4">
        <w:rPr>
          <w:lang w:val="en-GB"/>
        </w:rPr>
        <w:t xml:space="preserve"> and group discussions which may help some people understand the material better than the guide alone</w:t>
      </w:r>
      <w:r w:rsidR="00326448">
        <w:rPr>
          <w:lang w:val="en-GB"/>
        </w:rPr>
        <w:t xml:space="preserve">. </w:t>
      </w:r>
      <w:r w:rsidR="00145DDC" w:rsidRPr="00145DDC">
        <w:rPr>
          <w:lang w:val="en-GB"/>
        </w:rPr>
        <w:t xml:space="preserve">Moreover, training </w:t>
      </w:r>
      <w:r w:rsidR="00145DDC">
        <w:rPr>
          <w:lang w:val="en-GB"/>
        </w:rPr>
        <w:t xml:space="preserve">could </w:t>
      </w:r>
      <w:r w:rsidR="00145DDC" w:rsidRPr="00145DDC">
        <w:rPr>
          <w:lang w:val="en-GB"/>
        </w:rPr>
        <w:t xml:space="preserve">incorporate </w:t>
      </w:r>
      <w:r w:rsidR="00145DDC">
        <w:rPr>
          <w:lang w:val="en-GB"/>
        </w:rPr>
        <w:t xml:space="preserve">a </w:t>
      </w:r>
      <w:r w:rsidR="00145DDC" w:rsidRPr="00145DDC">
        <w:rPr>
          <w:lang w:val="en-GB"/>
        </w:rPr>
        <w:t xml:space="preserve">broader </w:t>
      </w:r>
      <w:r w:rsidR="00145DDC">
        <w:rPr>
          <w:lang w:val="en-GB"/>
        </w:rPr>
        <w:t xml:space="preserve">range of </w:t>
      </w:r>
      <w:r w:rsidR="00145DDC" w:rsidRPr="00145DDC">
        <w:rPr>
          <w:lang w:val="en-GB"/>
        </w:rPr>
        <w:t>topics</w:t>
      </w:r>
      <w:r w:rsidR="00D51707">
        <w:rPr>
          <w:lang w:val="en-GB"/>
        </w:rPr>
        <w:t>,</w:t>
      </w:r>
      <w:r w:rsidR="00145DDC" w:rsidRPr="00145DDC">
        <w:rPr>
          <w:lang w:val="en-GB"/>
        </w:rPr>
        <w:t xml:space="preserve"> and can be structured as an ongoing professional development program. This would provide an opportunity for continuous learning and the ability to expand upon the foundational knowledge provided by the guide.</w:t>
      </w:r>
      <w:r w:rsidR="00145DDC">
        <w:rPr>
          <w:lang w:val="en-GB"/>
        </w:rPr>
        <w:t xml:space="preserve"> </w:t>
      </w:r>
      <w:r w:rsidRPr="0054577C">
        <w:rPr>
          <w:lang w:val="en-GB"/>
        </w:rPr>
        <w:t>However</w:t>
      </w:r>
      <w:r w:rsidR="00711914">
        <w:rPr>
          <w:lang w:val="en-GB"/>
        </w:rPr>
        <w:t>,</w:t>
      </w:r>
      <w:r w:rsidR="00862164">
        <w:rPr>
          <w:lang w:val="en-GB"/>
        </w:rPr>
        <w:t xml:space="preserve"> to our knowledge</w:t>
      </w:r>
      <w:r w:rsidRPr="0054577C">
        <w:rPr>
          <w:lang w:val="en-GB"/>
        </w:rPr>
        <w:t>, there are currently no</w:t>
      </w:r>
      <w:r w:rsidR="006E3CC0">
        <w:rPr>
          <w:lang w:val="en-GB"/>
        </w:rPr>
        <w:t xml:space="preserve"> UK</w:t>
      </w:r>
      <w:r w:rsidR="00845E34">
        <w:rPr>
          <w:lang w:val="en-GB"/>
        </w:rPr>
        <w:t xml:space="preserve"> based</w:t>
      </w:r>
      <w:r w:rsidRPr="0054577C">
        <w:rPr>
          <w:lang w:val="en-GB"/>
        </w:rPr>
        <w:t xml:space="preserve"> training programs aimed at supporting professionals </w:t>
      </w:r>
      <w:r w:rsidR="00845E34">
        <w:rPr>
          <w:lang w:val="en-GB"/>
        </w:rPr>
        <w:t xml:space="preserve">in visual impairment services </w:t>
      </w:r>
      <w:r w:rsidRPr="0054577C">
        <w:rPr>
          <w:lang w:val="en-GB"/>
        </w:rPr>
        <w:t xml:space="preserve">to promote PA. </w:t>
      </w:r>
    </w:p>
    <w:p w14:paraId="3C45E4FA" w14:textId="2C859004" w:rsidR="002F0FE9" w:rsidRPr="0054577C" w:rsidRDefault="002F0FE9" w:rsidP="00145DDC">
      <w:pPr>
        <w:pStyle w:val="MDPI31text"/>
        <w:rPr>
          <w:lang w:val="en-GB"/>
        </w:rPr>
      </w:pPr>
      <w:r w:rsidRPr="0054577C">
        <w:rPr>
          <w:lang w:val="en-GB"/>
        </w:rPr>
        <w:t>Training can be effective at increasing the number of professionals who promote PA as part of their practice.  For example, the Moving Health Care Professionals’ project (MHPP) has provided 28,000 healthcare professionals with clinical champion training</w:t>
      </w:r>
      <w:r w:rsidR="00F80FD7" w:rsidRPr="0054577C">
        <w:rPr>
          <w:lang w:val="en-GB"/>
        </w:rPr>
        <w:t>,</w:t>
      </w:r>
      <w:r w:rsidR="00537E57">
        <w:rPr>
          <w:lang w:val="en-GB"/>
        </w:rPr>
        <w:t xml:space="preserve"> </w:t>
      </w:r>
      <w:r w:rsidR="00D62CD3" w:rsidRPr="00D62CD3">
        <w:rPr>
          <w:lang w:val="en-GB"/>
        </w:rPr>
        <w:t xml:space="preserve">a peer training network </w:t>
      </w:r>
      <w:r w:rsidR="00FC0540">
        <w:rPr>
          <w:lang w:val="en-GB"/>
        </w:rPr>
        <w:t xml:space="preserve">which supports </w:t>
      </w:r>
      <w:r w:rsidR="00D62CD3" w:rsidRPr="00D62CD3">
        <w:rPr>
          <w:lang w:val="en-GB"/>
        </w:rPr>
        <w:t>professionals</w:t>
      </w:r>
      <w:r w:rsidR="00FC0540">
        <w:rPr>
          <w:lang w:val="en-GB"/>
        </w:rPr>
        <w:t xml:space="preserve"> </w:t>
      </w:r>
      <w:r w:rsidR="00537E57">
        <w:rPr>
          <w:lang w:val="en-GB"/>
        </w:rPr>
        <w:t xml:space="preserve">to </w:t>
      </w:r>
      <w:r w:rsidR="00FC0540">
        <w:rPr>
          <w:lang w:val="en-GB"/>
        </w:rPr>
        <w:t xml:space="preserve">create a culture of </w:t>
      </w:r>
      <w:r w:rsidR="00D62CD3" w:rsidRPr="00D62CD3">
        <w:rPr>
          <w:lang w:val="en-GB"/>
        </w:rPr>
        <w:t>discuss</w:t>
      </w:r>
      <w:r w:rsidR="00FC0540">
        <w:rPr>
          <w:lang w:val="en-GB"/>
        </w:rPr>
        <w:t>ing</w:t>
      </w:r>
      <w:r w:rsidR="00D62CD3" w:rsidRPr="00D62CD3">
        <w:rPr>
          <w:lang w:val="en-GB"/>
        </w:rPr>
        <w:t xml:space="preserve"> </w:t>
      </w:r>
      <w:r w:rsidR="00FC0540">
        <w:rPr>
          <w:lang w:val="en-GB"/>
        </w:rPr>
        <w:t>PA with patients</w:t>
      </w:r>
      <w:r w:rsidR="00537E57">
        <w:rPr>
          <w:lang w:val="en-GB"/>
        </w:rPr>
        <w:t xml:space="preserve"> within their organisation. An</w:t>
      </w:r>
      <w:r w:rsidR="00537E57" w:rsidRPr="0054577C">
        <w:rPr>
          <w:lang w:val="en-GB"/>
        </w:rPr>
        <w:t xml:space="preserve"> evaluation</w:t>
      </w:r>
      <w:r w:rsidR="00F80FD7" w:rsidRPr="0054577C">
        <w:rPr>
          <w:lang w:val="en-GB"/>
        </w:rPr>
        <w:t xml:space="preserve"> of </w:t>
      </w:r>
      <w:r w:rsidR="005F4AE7">
        <w:rPr>
          <w:lang w:val="en-GB"/>
        </w:rPr>
        <w:t xml:space="preserve">the </w:t>
      </w:r>
      <w:r w:rsidR="00354F31">
        <w:rPr>
          <w:lang w:val="en-GB"/>
        </w:rPr>
        <w:t xml:space="preserve">training </w:t>
      </w:r>
      <w:r w:rsidR="00F80FD7" w:rsidRPr="0054577C">
        <w:rPr>
          <w:lang w:val="en-GB"/>
        </w:rPr>
        <w:t xml:space="preserve">found </w:t>
      </w:r>
      <w:r w:rsidR="005119CF" w:rsidRPr="0054577C">
        <w:rPr>
          <w:lang w:val="en-GB"/>
        </w:rPr>
        <w:t xml:space="preserve">40% of </w:t>
      </w:r>
      <w:r w:rsidR="00F80FD7" w:rsidRPr="0054577C">
        <w:rPr>
          <w:lang w:val="en-GB"/>
        </w:rPr>
        <w:t>trainees</w:t>
      </w:r>
      <w:r w:rsidR="005119CF" w:rsidRPr="0054577C">
        <w:rPr>
          <w:lang w:val="en-GB"/>
        </w:rPr>
        <w:t xml:space="preserve"> had more conversations about PA with patients</w:t>
      </w:r>
      <w:r w:rsidR="00F80FD7" w:rsidRPr="0054577C">
        <w:rPr>
          <w:lang w:val="en-GB"/>
        </w:rPr>
        <w:t xml:space="preserve"> post training</w:t>
      </w:r>
      <w:r w:rsidR="00DE1EC0" w:rsidRPr="0054577C">
        <w:rPr>
          <w:lang w:val="en-GB"/>
        </w:rPr>
        <w:t xml:space="preserve"> [</w:t>
      </w:r>
      <w:r w:rsidR="00AC5CBF">
        <w:rPr>
          <w:lang w:val="en-GB"/>
        </w:rPr>
        <w:t>11</w:t>
      </w:r>
      <w:r w:rsidR="00DE1EC0" w:rsidRPr="0054577C">
        <w:rPr>
          <w:lang w:val="en-GB"/>
        </w:rPr>
        <w:t>]</w:t>
      </w:r>
      <w:r w:rsidRPr="0054577C">
        <w:rPr>
          <w:lang w:val="en-GB"/>
        </w:rPr>
        <w:t xml:space="preserve">. Previous studies have also found </w:t>
      </w:r>
      <w:r w:rsidR="00C40F00" w:rsidRPr="0054577C">
        <w:rPr>
          <w:lang w:val="en-GB"/>
        </w:rPr>
        <w:t xml:space="preserve">training on </w:t>
      </w:r>
      <w:r w:rsidRPr="0054577C">
        <w:rPr>
          <w:lang w:val="en-GB"/>
        </w:rPr>
        <w:t>PA promotion</w:t>
      </w:r>
      <w:r w:rsidR="00C40F00" w:rsidRPr="0054577C">
        <w:rPr>
          <w:lang w:val="en-GB"/>
        </w:rPr>
        <w:t xml:space="preserve"> </w:t>
      </w:r>
      <w:r w:rsidRPr="0054577C">
        <w:rPr>
          <w:lang w:val="en-GB"/>
        </w:rPr>
        <w:t>was associated with increased PA promotion among allied and non-medical healthcare professionals</w:t>
      </w:r>
      <w:r w:rsidR="00DE1EC0" w:rsidRPr="0054577C">
        <w:rPr>
          <w:lang w:val="en-GB"/>
        </w:rPr>
        <w:t xml:space="preserve"> [1</w:t>
      </w:r>
      <w:r w:rsidR="0018130F">
        <w:rPr>
          <w:lang w:val="en-GB"/>
        </w:rPr>
        <w:t>2</w:t>
      </w:r>
      <w:r w:rsidR="00DE1EC0" w:rsidRPr="0054577C">
        <w:rPr>
          <w:lang w:val="en-GB"/>
        </w:rPr>
        <w:t>]</w:t>
      </w:r>
      <w:r w:rsidRPr="0054577C">
        <w:rPr>
          <w:lang w:val="en-GB"/>
        </w:rPr>
        <w:t xml:space="preserve">. In summary, training is required to equip professionals with the skills they need to promote PA effectively and to increase PA promotion within </w:t>
      </w:r>
      <w:r w:rsidR="00E91C5E">
        <w:rPr>
          <w:lang w:val="en-GB"/>
        </w:rPr>
        <w:t>visual impairment</w:t>
      </w:r>
      <w:r w:rsidRPr="0054577C">
        <w:rPr>
          <w:lang w:val="en-GB"/>
        </w:rPr>
        <w:t xml:space="preserve"> services.</w:t>
      </w:r>
    </w:p>
    <w:p w14:paraId="02B01872" w14:textId="2F153703" w:rsidR="002F662D" w:rsidRPr="0054577C" w:rsidRDefault="002F0FE9" w:rsidP="002F0FE9">
      <w:pPr>
        <w:pStyle w:val="MDPI31text"/>
        <w:rPr>
          <w:lang w:val="en-GB"/>
        </w:rPr>
      </w:pPr>
      <w:r w:rsidRPr="0054577C">
        <w:rPr>
          <w:lang w:val="en-GB"/>
        </w:rPr>
        <w:t>Previous research which has aimed to develop PA promotion training for</w:t>
      </w:r>
      <w:r w:rsidR="00A51FAF">
        <w:rPr>
          <w:lang w:val="en-GB"/>
        </w:rPr>
        <w:t xml:space="preserve"> health and social care</w:t>
      </w:r>
      <w:r w:rsidRPr="0054577C">
        <w:rPr>
          <w:lang w:val="en-GB"/>
        </w:rPr>
        <w:t xml:space="preserve"> professionals have used a Delphi design to inform the training program design and components</w:t>
      </w:r>
      <w:r w:rsidR="00DE1EC0" w:rsidRPr="0054577C">
        <w:rPr>
          <w:lang w:val="en-GB"/>
        </w:rPr>
        <w:t xml:space="preserve"> [1</w:t>
      </w:r>
      <w:r w:rsidR="0018130F">
        <w:rPr>
          <w:lang w:val="en-GB"/>
        </w:rPr>
        <w:t>3</w:t>
      </w:r>
      <w:r w:rsidR="00DE1EC0" w:rsidRPr="0054577C">
        <w:rPr>
          <w:lang w:val="en-GB"/>
        </w:rPr>
        <w:t>-1</w:t>
      </w:r>
      <w:r w:rsidR="0018130F">
        <w:rPr>
          <w:lang w:val="en-GB"/>
        </w:rPr>
        <w:t>5</w:t>
      </w:r>
      <w:r w:rsidR="00DE1EC0" w:rsidRPr="0054577C">
        <w:rPr>
          <w:lang w:val="en-GB"/>
        </w:rPr>
        <w:t>]</w:t>
      </w:r>
      <w:r w:rsidR="00E121E6" w:rsidRPr="0054577C">
        <w:rPr>
          <w:lang w:val="en-GB"/>
        </w:rPr>
        <w:t xml:space="preserve">. </w:t>
      </w:r>
      <w:r w:rsidRPr="0054577C">
        <w:rPr>
          <w:lang w:val="en-GB"/>
        </w:rPr>
        <w:t>The Delphi technique was originally developed with the aim of reaching consensus among a group of experts through the use of multiple questionnaires interspersed with feedback</w:t>
      </w:r>
      <w:r w:rsidR="00DE1EC0" w:rsidRPr="0054577C">
        <w:rPr>
          <w:lang w:val="en-GB"/>
        </w:rPr>
        <w:t xml:space="preserve"> [1</w:t>
      </w:r>
      <w:r w:rsidR="0018130F">
        <w:rPr>
          <w:lang w:val="en-GB"/>
        </w:rPr>
        <w:t>6</w:t>
      </w:r>
      <w:r w:rsidR="00DE1EC0" w:rsidRPr="0054577C">
        <w:rPr>
          <w:lang w:val="en-GB"/>
        </w:rPr>
        <w:t>]</w:t>
      </w:r>
      <w:r w:rsidRPr="0054577C">
        <w:rPr>
          <w:lang w:val="en-GB"/>
        </w:rPr>
        <w:t xml:space="preserve">. There are several advantages of using </w:t>
      </w:r>
      <w:r w:rsidR="00E50468" w:rsidRPr="0054577C">
        <w:rPr>
          <w:lang w:val="en-GB"/>
        </w:rPr>
        <w:t xml:space="preserve">the </w:t>
      </w:r>
      <w:r w:rsidRPr="0054577C">
        <w:rPr>
          <w:lang w:val="en-GB"/>
        </w:rPr>
        <w:t>Delphi</w:t>
      </w:r>
      <w:r w:rsidR="00E50468" w:rsidRPr="0054577C">
        <w:rPr>
          <w:lang w:val="en-GB"/>
        </w:rPr>
        <w:t xml:space="preserve"> approach</w:t>
      </w:r>
      <w:r w:rsidRPr="0054577C">
        <w:rPr>
          <w:lang w:val="en-GB"/>
        </w:rPr>
        <w:t>. Firstly, Delphi responses are anonymous which can reduce the risk of participants conforming to the opinions presented by dominant members of the panel</w:t>
      </w:r>
      <w:bookmarkStart w:id="1" w:name="_Ref118355388"/>
      <w:r w:rsidR="00DE1EC0" w:rsidRPr="0054577C">
        <w:rPr>
          <w:lang w:val="en-GB"/>
        </w:rPr>
        <w:t xml:space="preserve"> [1</w:t>
      </w:r>
      <w:r w:rsidR="0018130F">
        <w:rPr>
          <w:lang w:val="en-GB"/>
        </w:rPr>
        <w:t>7</w:t>
      </w:r>
      <w:r w:rsidR="00DE1EC0" w:rsidRPr="0054577C">
        <w:rPr>
          <w:lang w:val="en-GB"/>
        </w:rPr>
        <w:t>,1</w:t>
      </w:r>
      <w:r w:rsidR="0018130F">
        <w:rPr>
          <w:lang w:val="en-GB"/>
        </w:rPr>
        <w:t>8</w:t>
      </w:r>
      <w:r w:rsidR="00DE1EC0" w:rsidRPr="0054577C">
        <w:rPr>
          <w:lang w:val="en-GB"/>
        </w:rPr>
        <w:t>]</w:t>
      </w:r>
      <w:bookmarkEnd w:id="1"/>
      <w:r w:rsidRPr="0054577C">
        <w:rPr>
          <w:lang w:val="en-GB"/>
        </w:rPr>
        <w:t>. Furthermore, the controlled feedback can reduce the influence of irrelevant communications within a group, or communications focused on individual interest which can distract from problem solving. Controlled feedback gives participants the ability to reflect on the responses and allows participants to provide further understanding of the problems or issues which need to be addressed</w:t>
      </w:r>
      <w:r w:rsidR="00DE1EC0" w:rsidRPr="0054577C">
        <w:rPr>
          <w:lang w:val="en-GB"/>
        </w:rPr>
        <w:t xml:space="preserve"> [1</w:t>
      </w:r>
      <w:r w:rsidR="009B07B7">
        <w:rPr>
          <w:lang w:val="en-GB"/>
        </w:rPr>
        <w:t>6</w:t>
      </w:r>
      <w:r w:rsidR="00DE1EC0" w:rsidRPr="0054577C">
        <w:rPr>
          <w:lang w:val="en-GB"/>
        </w:rPr>
        <w:t>]</w:t>
      </w:r>
      <w:r w:rsidRPr="0054577C">
        <w:rPr>
          <w:lang w:val="en-GB"/>
        </w:rPr>
        <w:t xml:space="preserve">. </w:t>
      </w:r>
      <w:r w:rsidR="00E50468" w:rsidRPr="0054577C">
        <w:rPr>
          <w:lang w:val="en-GB"/>
        </w:rPr>
        <w:t>Online D</w:t>
      </w:r>
      <w:r w:rsidRPr="0054577C">
        <w:rPr>
          <w:lang w:val="en-GB"/>
        </w:rPr>
        <w:t>elphi studies can also allow multiple participants to engage with the process at a time and place which is convenient for them, as participants are able to respond within a specified time period rather than attend a scheduled meeting, which may be required for other consensus building techniques such as nominal group technique</w:t>
      </w:r>
      <w:r w:rsidR="00E121E6" w:rsidRPr="0054577C">
        <w:rPr>
          <w:lang w:val="en-GB"/>
        </w:rPr>
        <w:t xml:space="preserve"> </w:t>
      </w:r>
      <w:r w:rsidR="00DE1EC0" w:rsidRPr="0054577C">
        <w:rPr>
          <w:lang w:val="en-GB"/>
        </w:rPr>
        <w:t>[</w:t>
      </w:r>
      <w:r w:rsidR="009B07B7">
        <w:rPr>
          <w:lang w:val="en-GB"/>
        </w:rPr>
        <w:t>19</w:t>
      </w:r>
      <w:r w:rsidR="00DE1EC0" w:rsidRPr="0054577C">
        <w:rPr>
          <w:lang w:val="en-GB"/>
        </w:rPr>
        <w:t>]</w:t>
      </w:r>
      <w:r w:rsidR="00E121E6" w:rsidRPr="0054577C">
        <w:rPr>
          <w:lang w:val="en-GB"/>
        </w:rPr>
        <w:t xml:space="preserve"> </w:t>
      </w:r>
      <w:r w:rsidRPr="0054577C">
        <w:rPr>
          <w:lang w:val="en-GB"/>
        </w:rPr>
        <w:t>or a consensus conference</w:t>
      </w:r>
      <w:r w:rsidR="00DE1EC0" w:rsidRPr="0054577C">
        <w:rPr>
          <w:lang w:val="en-GB"/>
        </w:rPr>
        <w:t xml:space="preserve"> [</w:t>
      </w:r>
      <w:r w:rsidR="00257794">
        <w:rPr>
          <w:lang w:val="en-GB"/>
        </w:rPr>
        <w:t>2</w:t>
      </w:r>
      <w:r w:rsidR="009B07B7">
        <w:rPr>
          <w:lang w:val="en-GB"/>
        </w:rPr>
        <w:t>0</w:t>
      </w:r>
      <w:r w:rsidR="00DE1EC0" w:rsidRPr="0054577C">
        <w:rPr>
          <w:lang w:val="en-GB"/>
        </w:rPr>
        <w:t>]</w:t>
      </w:r>
      <w:r w:rsidRPr="0054577C">
        <w:rPr>
          <w:lang w:val="en-GB"/>
        </w:rPr>
        <w:t xml:space="preserve">. Therefore, the present study uses a Delphi </w:t>
      </w:r>
      <w:bookmarkStart w:id="2" w:name="_Hlk117230394"/>
      <w:r w:rsidRPr="0054577C">
        <w:rPr>
          <w:lang w:val="en-GB"/>
        </w:rPr>
        <w:t xml:space="preserve">study design to inform the development of a training program to help </w:t>
      </w:r>
      <w:r w:rsidR="00E91C5E">
        <w:rPr>
          <w:lang w:val="en-GB"/>
        </w:rPr>
        <w:t>visual impairment</w:t>
      </w:r>
      <w:r w:rsidRPr="0054577C">
        <w:rPr>
          <w:lang w:val="en-GB"/>
        </w:rPr>
        <w:t xml:space="preserve"> service professionals </w:t>
      </w:r>
      <w:r w:rsidR="004120FF">
        <w:rPr>
          <w:lang w:val="en-GB"/>
        </w:rPr>
        <w:t xml:space="preserve">in the UK to </w:t>
      </w:r>
      <w:r w:rsidRPr="0054577C">
        <w:rPr>
          <w:lang w:val="en-GB"/>
        </w:rPr>
        <w:t xml:space="preserve">promote PA to people with </w:t>
      </w:r>
      <w:r w:rsidR="00D50F49">
        <w:rPr>
          <w:lang w:val="en-GB"/>
        </w:rPr>
        <w:t>visual impairment</w:t>
      </w:r>
      <w:r w:rsidRPr="0054577C">
        <w:rPr>
          <w:lang w:val="en-GB"/>
        </w:rPr>
        <w:t xml:space="preserve">. </w:t>
      </w:r>
      <w:bookmarkEnd w:id="2"/>
    </w:p>
    <w:p w14:paraId="38A687DC" w14:textId="77777777" w:rsidR="002F662D" w:rsidRPr="0054577C" w:rsidRDefault="002F662D" w:rsidP="002F662D">
      <w:pPr>
        <w:pStyle w:val="MDPI21heading1"/>
      </w:pPr>
      <w:r w:rsidRPr="0054577C">
        <w:rPr>
          <w:lang w:eastAsia="zh-CN"/>
        </w:rPr>
        <w:t xml:space="preserve">2. </w:t>
      </w:r>
      <w:r w:rsidRPr="0054577C">
        <w:t>Materials and Methods</w:t>
      </w:r>
    </w:p>
    <w:p w14:paraId="3888BB2A" w14:textId="1ED6F870" w:rsidR="00340102" w:rsidRPr="0054577C" w:rsidRDefault="00340102" w:rsidP="00340102">
      <w:pPr>
        <w:pStyle w:val="MDPI21heading1"/>
        <w:ind w:firstLine="452"/>
        <w:rPr>
          <w:b w:val="0"/>
          <w:lang w:val="en-GB"/>
        </w:rPr>
      </w:pPr>
      <w:r w:rsidRPr="0054577C">
        <w:rPr>
          <w:b w:val="0"/>
          <w:bCs/>
          <w:lang w:val="en-GB"/>
        </w:rPr>
        <w:t>A modified Delphi method was used to reach consensus among experts. The main characteristic of a modified Delphi includes replacing the first round of survey questions with interviews or focus groups</w:t>
      </w:r>
      <w:r w:rsidR="009D3FCD">
        <w:rPr>
          <w:b w:val="0"/>
          <w:bCs/>
          <w:lang w:val="en-GB"/>
        </w:rPr>
        <w:t>;</w:t>
      </w:r>
      <w:r w:rsidRPr="0054577C">
        <w:rPr>
          <w:b w:val="0"/>
          <w:bCs/>
          <w:lang w:val="en-GB"/>
        </w:rPr>
        <w:t xml:space="preserve"> they may also use fewer than three rounds of surveys</w:t>
      </w:r>
      <w:r w:rsidR="00DE1EC0" w:rsidRPr="0054577C">
        <w:rPr>
          <w:b w:val="0"/>
          <w:bCs/>
          <w:lang w:val="en-GB"/>
        </w:rPr>
        <w:t xml:space="preserve"> [2</w:t>
      </w:r>
      <w:r w:rsidR="009B07B7">
        <w:rPr>
          <w:b w:val="0"/>
          <w:bCs/>
          <w:lang w:val="en-GB"/>
        </w:rPr>
        <w:t>1</w:t>
      </w:r>
      <w:r w:rsidR="00DE1EC0" w:rsidRPr="0054577C">
        <w:rPr>
          <w:b w:val="0"/>
          <w:bCs/>
          <w:lang w:val="en-GB"/>
        </w:rPr>
        <w:t>]</w:t>
      </w:r>
      <w:r w:rsidRPr="0054577C">
        <w:rPr>
          <w:b w:val="0"/>
          <w:bCs/>
          <w:lang w:val="en-GB"/>
        </w:rPr>
        <w:t xml:space="preserve">. Beyond the key defining features of a Delphi study there is no universally accepted </w:t>
      </w:r>
      <w:r w:rsidRPr="0054577C">
        <w:rPr>
          <w:b w:val="0"/>
          <w:bCs/>
          <w:lang w:val="en-GB"/>
        </w:rPr>
        <w:lastRenderedPageBreak/>
        <w:t xml:space="preserve">method for conducting a Delphi, and thus the design can be adapted to meet the aims of individual studies. </w:t>
      </w:r>
      <w:r w:rsidR="0017085D" w:rsidRPr="0054577C">
        <w:rPr>
          <w:b w:val="0"/>
          <w:bCs/>
          <w:lang w:val="en-GB"/>
        </w:rPr>
        <w:t>T</w:t>
      </w:r>
      <w:r w:rsidRPr="0054577C">
        <w:rPr>
          <w:b w:val="0"/>
          <w:bCs/>
          <w:lang w:val="en-GB"/>
        </w:rPr>
        <w:t xml:space="preserve">he research process </w:t>
      </w:r>
      <w:r w:rsidR="0017085D" w:rsidRPr="0054577C">
        <w:rPr>
          <w:b w:val="0"/>
          <w:bCs/>
          <w:lang w:val="en-GB"/>
        </w:rPr>
        <w:t>is</w:t>
      </w:r>
      <w:r w:rsidRPr="0054577C">
        <w:rPr>
          <w:b w:val="0"/>
          <w:bCs/>
          <w:lang w:val="en-GB"/>
        </w:rPr>
        <w:t xml:space="preserve"> outlined in </w:t>
      </w:r>
      <w:r w:rsidR="008C2D58" w:rsidRPr="0054577C">
        <w:rPr>
          <w:b w:val="0"/>
          <w:bCs/>
          <w:lang w:val="en-GB"/>
        </w:rPr>
        <w:t>F</w:t>
      </w:r>
      <w:r w:rsidRPr="0054577C">
        <w:rPr>
          <w:b w:val="0"/>
          <w:bCs/>
          <w:lang w:val="en-GB"/>
        </w:rPr>
        <w:t xml:space="preserve">igure 1. </w:t>
      </w:r>
    </w:p>
    <w:p w14:paraId="70811A17" w14:textId="77777777" w:rsidR="00340102" w:rsidRPr="0054577C" w:rsidRDefault="00340102" w:rsidP="00340102">
      <w:pPr>
        <w:pStyle w:val="MDPI21heading1"/>
        <w:rPr>
          <w:lang w:val="en-GB"/>
        </w:rPr>
      </w:pPr>
      <w:r w:rsidRPr="0054577C">
        <w:rPr>
          <w:noProof/>
          <w:lang w:val="en-GB"/>
        </w:rPr>
        <w:drawing>
          <wp:inline distT="0" distB="0" distL="0" distR="0" wp14:anchorId="59D1608A" wp14:editId="50717010">
            <wp:extent cx="7052310" cy="6847259"/>
            <wp:effectExtent l="0" t="0" r="0" b="10795"/>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23D2CA69" w14:textId="3CA41129" w:rsidR="00340102" w:rsidRPr="0054577C" w:rsidRDefault="00340102" w:rsidP="00340102">
      <w:pPr>
        <w:pStyle w:val="MDPI21heading1"/>
        <w:rPr>
          <w:bCs/>
          <w:lang w:val="en-GB"/>
        </w:rPr>
      </w:pPr>
      <w:r w:rsidRPr="0054577C">
        <w:rPr>
          <w:bCs/>
          <w:lang w:val="en-GB"/>
        </w:rPr>
        <w:t xml:space="preserve">Figure </w:t>
      </w:r>
      <w:r w:rsidR="008C2D58" w:rsidRPr="0054577C">
        <w:rPr>
          <w:bCs/>
          <w:lang w:val="en-GB"/>
        </w:rPr>
        <w:t>1</w:t>
      </w:r>
      <w:r w:rsidRPr="0054577C">
        <w:rPr>
          <w:bCs/>
          <w:lang w:val="en-GB"/>
        </w:rPr>
        <w:t xml:space="preserve">: </w:t>
      </w:r>
      <w:r w:rsidR="008C2D58" w:rsidRPr="0054577C">
        <w:rPr>
          <w:bCs/>
          <w:lang w:val="en-GB"/>
        </w:rPr>
        <w:t>M</w:t>
      </w:r>
      <w:r w:rsidRPr="0054577C">
        <w:rPr>
          <w:bCs/>
          <w:lang w:val="en-GB"/>
        </w:rPr>
        <w:t>odified Delphi process</w:t>
      </w:r>
    </w:p>
    <w:p w14:paraId="68ABE0E7" w14:textId="57A63600" w:rsidR="00340102" w:rsidRPr="0054577C" w:rsidRDefault="00340102" w:rsidP="00340102">
      <w:pPr>
        <w:pStyle w:val="MDPI21heading1"/>
        <w:rPr>
          <w:b w:val="0"/>
          <w:i/>
          <w:iCs/>
          <w:lang w:val="en-GB"/>
        </w:rPr>
      </w:pPr>
      <w:r w:rsidRPr="0054577C">
        <w:rPr>
          <w:b w:val="0"/>
          <w:i/>
          <w:iCs/>
          <w:lang w:val="en-GB"/>
        </w:rPr>
        <w:t>2.1. Stage one</w:t>
      </w:r>
    </w:p>
    <w:p w14:paraId="24DFF80E" w14:textId="1AE5DF4D" w:rsidR="00340102" w:rsidRPr="0054577C" w:rsidRDefault="00340102" w:rsidP="00340102">
      <w:pPr>
        <w:pStyle w:val="MDPI21heading1"/>
        <w:ind w:firstLine="452"/>
        <w:rPr>
          <w:b w:val="0"/>
          <w:bCs/>
          <w:lang w:val="en-GB"/>
        </w:rPr>
      </w:pPr>
      <w:r w:rsidRPr="0054577C">
        <w:rPr>
          <w:b w:val="0"/>
          <w:bCs/>
          <w:lang w:val="en-GB"/>
        </w:rPr>
        <w:t xml:space="preserve">Firstly, a focus group was held with four experts. The aim of this meeting was to gather input into what questions should be included in the Delphi to inform the development of a training program. Experts who had contributed to the development of </w:t>
      </w:r>
      <w:r w:rsidR="00D928FE">
        <w:rPr>
          <w:b w:val="0"/>
          <w:bCs/>
          <w:lang w:val="en-GB"/>
        </w:rPr>
        <w:t>the</w:t>
      </w:r>
      <w:r w:rsidRPr="0054577C">
        <w:rPr>
          <w:b w:val="0"/>
          <w:bCs/>
          <w:lang w:val="en-GB"/>
        </w:rPr>
        <w:t xml:space="preserve"> guide for</w:t>
      </w:r>
      <w:r w:rsidR="00F8130C">
        <w:rPr>
          <w:b w:val="0"/>
          <w:bCs/>
          <w:lang w:val="en-GB"/>
        </w:rPr>
        <w:t xml:space="preserve"> UK</w:t>
      </w:r>
      <w:r w:rsidRPr="0054577C">
        <w:rPr>
          <w:b w:val="0"/>
          <w:bCs/>
          <w:lang w:val="en-GB"/>
        </w:rPr>
        <w:t xml:space="preserve"> rehabilitation workers supporting blind and partially sighted adults with </w:t>
      </w:r>
      <w:r w:rsidRPr="0054577C">
        <w:rPr>
          <w:b w:val="0"/>
          <w:bCs/>
          <w:lang w:val="en-GB"/>
        </w:rPr>
        <w:lastRenderedPageBreak/>
        <w:t>PA produced in 2022</w:t>
      </w:r>
      <w:r w:rsidR="00DE1EC0" w:rsidRPr="0054577C">
        <w:rPr>
          <w:b w:val="0"/>
          <w:bCs/>
          <w:lang w:val="en-GB"/>
        </w:rPr>
        <w:t xml:space="preserve"> [</w:t>
      </w:r>
      <w:r w:rsidR="00984278">
        <w:rPr>
          <w:b w:val="0"/>
          <w:bCs/>
          <w:lang w:val="en-GB"/>
        </w:rPr>
        <w:t>10</w:t>
      </w:r>
      <w:r w:rsidR="00DE1EC0" w:rsidRPr="0054577C">
        <w:rPr>
          <w:b w:val="0"/>
          <w:bCs/>
          <w:lang w:val="en-GB"/>
        </w:rPr>
        <w:t>]</w:t>
      </w:r>
      <w:r w:rsidRPr="0054577C">
        <w:rPr>
          <w:b w:val="0"/>
          <w:bCs/>
          <w:lang w:val="en-GB"/>
        </w:rPr>
        <w:t xml:space="preserve"> were invited to participate via email.. The experts were asked for their initial thoughts on the idea of a training program to help professionals</w:t>
      </w:r>
      <w:r w:rsidR="003E1EF4">
        <w:rPr>
          <w:b w:val="0"/>
          <w:bCs/>
          <w:lang w:val="en-GB"/>
        </w:rPr>
        <w:t xml:space="preserve"> in visual impairment services</w:t>
      </w:r>
      <w:r w:rsidRPr="0054577C">
        <w:rPr>
          <w:b w:val="0"/>
          <w:bCs/>
          <w:lang w:val="en-GB"/>
        </w:rPr>
        <w:t xml:space="preserve"> to advise and support people with their PA. In addition, the experts were provided with a list of potential ideas for the training program, which aimed to address barriers to PA promotion identified in previous interviews with professionals</w:t>
      </w:r>
      <w:r w:rsidR="00AF4B78">
        <w:rPr>
          <w:b w:val="0"/>
          <w:bCs/>
          <w:lang w:val="en-GB"/>
        </w:rPr>
        <w:t xml:space="preserve"> working in visual impairment services</w:t>
      </w:r>
      <w:r w:rsidRPr="0054577C">
        <w:rPr>
          <w:b w:val="0"/>
          <w:bCs/>
          <w:lang w:val="en-GB"/>
        </w:rPr>
        <w:t xml:space="preserve"> including: advice being inappropriate if the individual was not given time to grieve the loss of their sight, concerns about the appropriateness of advice, concerns regarding the health and mobility limitations of people who used their services, a lack of confidence to engage in PA among people who used their services, a lack of awareness of PA opportunities among people who used their services and environmental barriers. Experts were then asked for their opinions and if there were any additional components which should be included in a training program. Experts were also invited to provide any additional comments or insight which they felt may be important. </w:t>
      </w:r>
      <w:r w:rsidR="00F25F2C" w:rsidRPr="00F25F2C">
        <w:rPr>
          <w:b w:val="0"/>
          <w:bCs/>
          <w:lang w:val="en-GB"/>
        </w:rPr>
        <w:t>During the focus group, two researchers recorded notes (R</w:t>
      </w:r>
      <w:r w:rsidR="00852D7F">
        <w:rPr>
          <w:b w:val="0"/>
          <w:bCs/>
          <w:lang w:val="en-GB"/>
        </w:rPr>
        <w:t>K</w:t>
      </w:r>
      <w:r w:rsidR="00F25F2C" w:rsidRPr="00F25F2C">
        <w:rPr>
          <w:b w:val="0"/>
          <w:bCs/>
          <w:lang w:val="en-GB"/>
        </w:rPr>
        <w:t>L, PMA). After the meeting, the same two researchers compared and collated their notes to ensure that they had understood what was discussed and identified the key messages conveyed in the meeting.</w:t>
      </w:r>
      <w:r w:rsidR="00C5173C">
        <w:rPr>
          <w:b w:val="0"/>
          <w:bCs/>
          <w:lang w:val="en-GB"/>
        </w:rPr>
        <w:t xml:space="preserve"> </w:t>
      </w:r>
      <w:r w:rsidRPr="0054577C">
        <w:rPr>
          <w:b w:val="0"/>
          <w:bCs/>
          <w:lang w:val="en-GB"/>
        </w:rPr>
        <w:t xml:space="preserve">The key messages and discussion points raised in the focus group informed the development of round one of the Delphi. </w:t>
      </w:r>
    </w:p>
    <w:p w14:paraId="3F3BE769" w14:textId="1214ACCB" w:rsidR="00340102" w:rsidRPr="0054577C" w:rsidRDefault="00340102" w:rsidP="00340102">
      <w:pPr>
        <w:pStyle w:val="MDPI21heading1"/>
        <w:rPr>
          <w:b w:val="0"/>
          <w:i/>
          <w:iCs/>
          <w:lang w:val="en-GB"/>
        </w:rPr>
      </w:pPr>
      <w:r w:rsidRPr="0054577C">
        <w:rPr>
          <w:b w:val="0"/>
          <w:i/>
          <w:iCs/>
          <w:lang w:val="en-GB"/>
        </w:rPr>
        <w:t>2.2. Stage two: Defining consensus and closing criteria</w:t>
      </w:r>
    </w:p>
    <w:p w14:paraId="13312682" w14:textId="6BFC4392" w:rsidR="00D37447" w:rsidRDefault="00340102" w:rsidP="00340102">
      <w:pPr>
        <w:pStyle w:val="MDPI21heading1"/>
        <w:ind w:firstLine="452"/>
        <w:rPr>
          <w:b w:val="0"/>
          <w:bCs/>
          <w:lang w:val="en-GB"/>
        </w:rPr>
      </w:pPr>
      <w:r w:rsidRPr="0054577C">
        <w:rPr>
          <w:b w:val="0"/>
          <w:bCs/>
          <w:lang w:val="en-GB"/>
        </w:rPr>
        <w:t>Prior to the</w:t>
      </w:r>
      <w:r w:rsidR="00287442" w:rsidRPr="0054577C">
        <w:rPr>
          <w:b w:val="0"/>
          <w:bCs/>
          <w:lang w:val="en-GB"/>
        </w:rPr>
        <w:t xml:space="preserve"> start of the</w:t>
      </w:r>
      <w:r w:rsidRPr="0054577C">
        <w:rPr>
          <w:b w:val="0"/>
          <w:bCs/>
          <w:lang w:val="en-GB"/>
        </w:rPr>
        <w:t xml:space="preserve"> present </w:t>
      </w:r>
      <w:r w:rsidR="00C86666" w:rsidRPr="0054577C">
        <w:rPr>
          <w:b w:val="0"/>
          <w:bCs/>
          <w:lang w:val="en-GB"/>
        </w:rPr>
        <w:t>study,</w:t>
      </w:r>
      <w:r w:rsidRPr="0054577C">
        <w:rPr>
          <w:b w:val="0"/>
          <w:bCs/>
          <w:lang w:val="en-GB"/>
        </w:rPr>
        <w:t xml:space="preserve"> it was decided that the study would be closed after two rounds, providing the panel had reached consensus on a range of components and design features, which could inform a feasible pilot trial of a training program. In the case that there were no components or design features which reached consensus the </w:t>
      </w:r>
      <w:r w:rsidR="00C86666" w:rsidRPr="0054577C">
        <w:rPr>
          <w:b w:val="0"/>
          <w:bCs/>
          <w:lang w:val="en-GB"/>
        </w:rPr>
        <w:t xml:space="preserve">lead </w:t>
      </w:r>
      <w:r w:rsidRPr="0054577C">
        <w:rPr>
          <w:b w:val="0"/>
          <w:bCs/>
          <w:lang w:val="en-GB"/>
        </w:rPr>
        <w:t xml:space="preserve">researcher planned to organise a consensus conference with panel members. </w:t>
      </w:r>
    </w:p>
    <w:p w14:paraId="39F533DD" w14:textId="092BEF8B" w:rsidR="00340102" w:rsidRPr="0054577C" w:rsidRDefault="00D37447" w:rsidP="00340102">
      <w:pPr>
        <w:pStyle w:val="MDPI21heading1"/>
        <w:ind w:firstLine="452"/>
        <w:rPr>
          <w:b w:val="0"/>
          <w:bCs/>
          <w:lang w:val="en-GB"/>
        </w:rPr>
      </w:pPr>
      <w:r w:rsidRPr="00D37447">
        <w:rPr>
          <w:b w:val="0"/>
          <w:bCs/>
          <w:lang w:val="en-GB"/>
        </w:rPr>
        <w:t>Delphi studies vary with studies defining consensus from 50% to 100% agreement</w:t>
      </w:r>
      <w:r w:rsidR="000D795E">
        <w:rPr>
          <w:b w:val="0"/>
          <w:bCs/>
          <w:lang w:val="en-GB"/>
        </w:rPr>
        <w:t xml:space="preserve"> [2</w:t>
      </w:r>
      <w:r w:rsidR="0032241D">
        <w:rPr>
          <w:b w:val="0"/>
          <w:bCs/>
          <w:lang w:val="en-GB"/>
        </w:rPr>
        <w:t>2</w:t>
      </w:r>
      <w:r w:rsidR="000D795E">
        <w:rPr>
          <w:b w:val="0"/>
          <w:bCs/>
          <w:lang w:val="en-GB"/>
        </w:rPr>
        <w:t>]</w:t>
      </w:r>
      <w:r w:rsidR="00740D4F">
        <w:rPr>
          <w:b w:val="0"/>
          <w:bCs/>
          <w:lang w:val="en-GB"/>
        </w:rPr>
        <w:t>.</w:t>
      </w:r>
      <w:r w:rsidR="00D243FB">
        <w:rPr>
          <w:b w:val="0"/>
          <w:bCs/>
          <w:lang w:val="en-GB"/>
        </w:rPr>
        <w:t xml:space="preserve"> </w:t>
      </w:r>
      <w:r w:rsidR="00740D4F">
        <w:rPr>
          <w:b w:val="0"/>
          <w:bCs/>
          <w:lang w:val="en-GB"/>
        </w:rPr>
        <w:t>I</w:t>
      </w:r>
      <w:r>
        <w:rPr>
          <w:b w:val="0"/>
          <w:bCs/>
          <w:lang w:val="en-GB"/>
        </w:rPr>
        <w:t>n the present study c</w:t>
      </w:r>
      <w:r w:rsidR="00CD13ED" w:rsidRPr="00CD13ED">
        <w:rPr>
          <w:b w:val="0"/>
          <w:bCs/>
          <w:lang w:val="en-GB"/>
        </w:rPr>
        <w:t xml:space="preserve">onsensus was defined as equal to or greater than 70% </w:t>
      </w:r>
      <w:r w:rsidR="00D928FE">
        <w:rPr>
          <w:b w:val="0"/>
          <w:bCs/>
          <w:lang w:val="en-GB"/>
        </w:rPr>
        <w:t xml:space="preserve">of </w:t>
      </w:r>
      <w:r w:rsidR="00CD13ED" w:rsidRPr="00CD13ED">
        <w:rPr>
          <w:b w:val="0"/>
          <w:bCs/>
          <w:lang w:val="en-GB"/>
        </w:rPr>
        <w:t>participants agreeing that a specific component</w:t>
      </w:r>
      <w:r w:rsidR="005303B9">
        <w:rPr>
          <w:b w:val="0"/>
          <w:bCs/>
          <w:lang w:val="en-GB"/>
        </w:rPr>
        <w:t>,</w:t>
      </w:r>
      <w:r w:rsidR="00CD13ED" w:rsidRPr="00CD13ED">
        <w:rPr>
          <w:b w:val="0"/>
          <w:bCs/>
          <w:lang w:val="en-GB"/>
        </w:rPr>
        <w:t xml:space="preserve"> or design feature</w:t>
      </w:r>
      <w:r w:rsidR="005303B9">
        <w:rPr>
          <w:b w:val="0"/>
          <w:bCs/>
          <w:lang w:val="en-GB"/>
        </w:rPr>
        <w:t>,</w:t>
      </w:r>
      <w:r w:rsidR="00CD13ED" w:rsidRPr="00CD13ED">
        <w:rPr>
          <w:b w:val="0"/>
          <w:bCs/>
          <w:lang w:val="en-GB"/>
        </w:rPr>
        <w:t xml:space="preserve"> of the training should be included in the training program</w:t>
      </w:r>
      <w:r w:rsidR="002879A1">
        <w:rPr>
          <w:b w:val="0"/>
          <w:bCs/>
          <w:lang w:val="en-GB"/>
        </w:rPr>
        <w:t>.</w:t>
      </w:r>
    </w:p>
    <w:p w14:paraId="7CED1A30" w14:textId="002BD9B0" w:rsidR="00340102" w:rsidRPr="0054577C" w:rsidRDefault="00340102" w:rsidP="00340102">
      <w:pPr>
        <w:pStyle w:val="MDPI21heading1"/>
        <w:rPr>
          <w:b w:val="0"/>
          <w:i/>
          <w:iCs/>
          <w:lang w:val="en-GB"/>
        </w:rPr>
      </w:pPr>
      <w:r w:rsidRPr="0054577C">
        <w:rPr>
          <w:b w:val="0"/>
          <w:i/>
          <w:iCs/>
          <w:lang w:val="en-GB"/>
        </w:rPr>
        <w:t xml:space="preserve">2.3. Stage three: Developing round one of the Delphi </w:t>
      </w:r>
    </w:p>
    <w:p w14:paraId="7AFCA6CD" w14:textId="4989CFB7" w:rsidR="00340102" w:rsidRPr="0054577C" w:rsidRDefault="00340102" w:rsidP="005303B9">
      <w:pPr>
        <w:pStyle w:val="MDPI21heading1"/>
        <w:ind w:firstLine="452"/>
        <w:rPr>
          <w:b w:val="0"/>
          <w:bCs/>
          <w:lang w:val="en-GB"/>
        </w:rPr>
      </w:pPr>
      <w:r w:rsidRPr="0054577C">
        <w:rPr>
          <w:b w:val="0"/>
          <w:bCs/>
          <w:lang w:val="en-GB"/>
        </w:rPr>
        <w:t>The aims of the survey administered in round one were to identify what components or design elements the expert panel agreed should be included in the training program, and to get further feedback and suggestions on components and design elements which should be included in the training program. The questions included single choice and multiple-choice questions, participants were also provided with free text box</w:t>
      </w:r>
      <w:r w:rsidR="009E0A61">
        <w:rPr>
          <w:b w:val="0"/>
          <w:bCs/>
          <w:lang w:val="en-GB"/>
        </w:rPr>
        <w:t>es</w:t>
      </w:r>
      <w:r w:rsidRPr="0054577C">
        <w:rPr>
          <w:b w:val="0"/>
          <w:bCs/>
          <w:lang w:val="en-GB"/>
        </w:rPr>
        <w:t xml:space="preserve"> to add additional input and develop ideas. </w:t>
      </w:r>
    </w:p>
    <w:p w14:paraId="4997F01F" w14:textId="0B356BB9" w:rsidR="00340102" w:rsidRPr="0054577C" w:rsidRDefault="00340102" w:rsidP="00340102">
      <w:pPr>
        <w:pStyle w:val="MDPI21heading1"/>
        <w:rPr>
          <w:b w:val="0"/>
          <w:lang w:val="en-GB"/>
        </w:rPr>
      </w:pPr>
      <w:r w:rsidRPr="0054577C">
        <w:rPr>
          <w:b w:val="0"/>
          <w:lang w:val="en-GB"/>
        </w:rPr>
        <w:t xml:space="preserve">2.3.1. Question content </w:t>
      </w:r>
    </w:p>
    <w:p w14:paraId="0E5FD68A" w14:textId="59439A0D" w:rsidR="00340102" w:rsidRPr="0054577C" w:rsidRDefault="00DA4C48" w:rsidP="002517CC">
      <w:pPr>
        <w:pStyle w:val="MDPI21heading1"/>
        <w:ind w:firstLine="452"/>
        <w:rPr>
          <w:b w:val="0"/>
          <w:lang w:val="en-GB"/>
        </w:rPr>
      </w:pPr>
      <w:r>
        <w:rPr>
          <w:b w:val="0"/>
          <w:bCs/>
          <w:lang w:val="en-GB"/>
        </w:rPr>
        <w:t>In round one</w:t>
      </w:r>
      <w:r w:rsidR="00D06890">
        <w:rPr>
          <w:b w:val="0"/>
          <w:bCs/>
          <w:lang w:val="en-GB"/>
        </w:rPr>
        <w:t>,</w:t>
      </w:r>
      <w:r>
        <w:rPr>
          <w:b w:val="0"/>
          <w:bCs/>
          <w:lang w:val="en-GB"/>
        </w:rPr>
        <w:t xml:space="preserve"> participants were asked for feedback on the design and components of the training program. </w:t>
      </w:r>
      <w:r w:rsidR="00D06890">
        <w:rPr>
          <w:b w:val="0"/>
          <w:bCs/>
          <w:lang w:val="en-GB"/>
        </w:rPr>
        <w:t>P</w:t>
      </w:r>
      <w:r>
        <w:rPr>
          <w:b w:val="0"/>
          <w:bCs/>
          <w:lang w:val="en-GB"/>
        </w:rPr>
        <w:t xml:space="preserve">articipants </w:t>
      </w:r>
      <w:r w:rsidR="00340102" w:rsidRPr="0054577C">
        <w:rPr>
          <w:b w:val="0"/>
          <w:bCs/>
          <w:lang w:val="en-GB"/>
        </w:rPr>
        <w:t xml:space="preserve">were </w:t>
      </w:r>
      <w:bookmarkStart w:id="3" w:name="_Hlk116633485"/>
      <w:r w:rsidR="00340102" w:rsidRPr="0054577C">
        <w:rPr>
          <w:b w:val="0"/>
          <w:bCs/>
          <w:lang w:val="en-GB"/>
        </w:rPr>
        <w:t xml:space="preserve">asked to select whether they thought the training should be delivered in person, online, or both. Participants were also asked what elements of a training </w:t>
      </w:r>
      <w:r w:rsidR="00D928FE">
        <w:rPr>
          <w:b w:val="0"/>
          <w:bCs/>
          <w:lang w:val="en-GB"/>
        </w:rPr>
        <w:t>program</w:t>
      </w:r>
      <w:r w:rsidR="00D928FE" w:rsidRPr="0054577C">
        <w:rPr>
          <w:b w:val="0"/>
          <w:bCs/>
          <w:lang w:val="en-GB"/>
        </w:rPr>
        <w:t xml:space="preserve"> </w:t>
      </w:r>
      <w:r w:rsidR="00340102" w:rsidRPr="0054577C">
        <w:rPr>
          <w:b w:val="0"/>
          <w:bCs/>
          <w:lang w:val="en-GB"/>
        </w:rPr>
        <w:t xml:space="preserve">they thought should be included. The options included: ‘a section explaining the benefits of PA for people with </w:t>
      </w:r>
      <w:r w:rsidR="00E91C5E">
        <w:rPr>
          <w:b w:val="0"/>
          <w:bCs/>
          <w:lang w:val="en-GB"/>
        </w:rPr>
        <w:t>visual impairment’</w:t>
      </w:r>
      <w:r w:rsidR="00340102" w:rsidRPr="0054577C">
        <w:rPr>
          <w:b w:val="0"/>
          <w:bCs/>
          <w:lang w:val="en-GB"/>
        </w:rPr>
        <w:t>, ‘a myth busting section which address</w:t>
      </w:r>
      <w:r w:rsidR="00B9651D">
        <w:rPr>
          <w:b w:val="0"/>
          <w:bCs/>
          <w:lang w:val="en-GB"/>
        </w:rPr>
        <w:t>es</w:t>
      </w:r>
      <w:r w:rsidR="00340102" w:rsidRPr="0054577C">
        <w:rPr>
          <w:b w:val="0"/>
          <w:bCs/>
          <w:lang w:val="en-GB"/>
        </w:rPr>
        <w:t xml:space="preserve"> common myths associated with PA’, ‘a practical role play activity where training course participants can practice giving motivational PA advice’, ‘show people how to find local PA opportunities’, ‘show people chair based activities they can pass on to service users’, ‘a peer support section where people can share their experiences and concerns about advising and supporting people with PA’, ‘ a </w:t>
      </w:r>
      <w:r w:rsidR="00340102" w:rsidRPr="0054577C">
        <w:rPr>
          <w:b w:val="0"/>
          <w:bCs/>
          <w:lang w:val="en-GB"/>
        </w:rPr>
        <w:lastRenderedPageBreak/>
        <w:t>section addressing the health and safety concerns people may have about PA’. In addition, participants were given the option to add free text if they felt none of the options provided were applicable.</w:t>
      </w:r>
      <w:r w:rsidR="00340102" w:rsidRPr="0054577C">
        <w:rPr>
          <w:b w:val="0"/>
          <w:lang w:val="en-GB"/>
        </w:rPr>
        <w:t xml:space="preserve"> </w:t>
      </w:r>
    </w:p>
    <w:p w14:paraId="33050844" w14:textId="32F85EFD" w:rsidR="00340102" w:rsidRPr="0054577C" w:rsidRDefault="00340102" w:rsidP="002517CC">
      <w:pPr>
        <w:pStyle w:val="MDPI21heading1"/>
        <w:ind w:firstLine="452"/>
        <w:rPr>
          <w:b w:val="0"/>
          <w:lang w:val="en-GB"/>
        </w:rPr>
      </w:pPr>
      <w:r w:rsidRPr="0054577C">
        <w:rPr>
          <w:b w:val="0"/>
          <w:bCs/>
          <w:lang w:val="en-GB"/>
        </w:rPr>
        <w:t xml:space="preserve">To sustain long-term </w:t>
      </w:r>
      <w:r w:rsidR="00C86666" w:rsidRPr="0054577C">
        <w:rPr>
          <w:b w:val="0"/>
          <w:bCs/>
          <w:lang w:val="en-GB"/>
        </w:rPr>
        <w:t>behaviour</w:t>
      </w:r>
      <w:r w:rsidRPr="0054577C">
        <w:rPr>
          <w:b w:val="0"/>
          <w:bCs/>
          <w:lang w:val="en-GB"/>
        </w:rPr>
        <w:t xml:space="preserve"> change among professionals</w:t>
      </w:r>
      <w:r w:rsidR="006D6A29">
        <w:rPr>
          <w:b w:val="0"/>
          <w:bCs/>
          <w:lang w:val="en-GB"/>
        </w:rPr>
        <w:t>,</w:t>
      </w:r>
      <w:r w:rsidRPr="0054577C">
        <w:rPr>
          <w:b w:val="0"/>
          <w:bCs/>
          <w:lang w:val="en-GB"/>
        </w:rPr>
        <w:t xml:space="preserve"> it was important that the training course encouraged participants to continue to develop their skills, and work on implementing PA promotion </w:t>
      </w:r>
      <w:r w:rsidR="00B9651D" w:rsidRPr="0054577C">
        <w:rPr>
          <w:b w:val="0"/>
          <w:bCs/>
          <w:lang w:val="en-GB"/>
        </w:rPr>
        <w:t>into</w:t>
      </w:r>
      <w:r w:rsidRPr="0054577C">
        <w:rPr>
          <w:b w:val="0"/>
          <w:bCs/>
          <w:lang w:val="en-GB"/>
        </w:rPr>
        <w:t xml:space="preserve"> </w:t>
      </w:r>
      <w:r w:rsidR="00B9651D">
        <w:rPr>
          <w:b w:val="0"/>
          <w:bCs/>
          <w:lang w:val="en-GB"/>
        </w:rPr>
        <w:t xml:space="preserve">their </w:t>
      </w:r>
      <w:r w:rsidRPr="0054577C">
        <w:rPr>
          <w:b w:val="0"/>
          <w:bCs/>
          <w:lang w:val="en-GB"/>
        </w:rPr>
        <w:t xml:space="preserve">practice. Therefore, participants were asked what individuals or organisations should be encouraged to do post-training. The options included: ‘set up PA groups or experiences for staff’, ‘contribute three PA groups to the British Blind Sport activity finder’, ‘share an example of good practice which can be shared on social media and newsletters’, ‘present their experience of setting up PA groups/promoting PA to their service users at a bi-annual meeting with other </w:t>
      </w:r>
      <w:r w:rsidR="00C96B68">
        <w:rPr>
          <w:b w:val="0"/>
          <w:bCs/>
          <w:lang w:val="en-GB"/>
        </w:rPr>
        <w:t>visual impairment</w:t>
      </w:r>
      <w:r w:rsidRPr="0054577C">
        <w:rPr>
          <w:b w:val="0"/>
          <w:bCs/>
          <w:lang w:val="en-GB"/>
        </w:rPr>
        <w:t xml:space="preserve"> service</w:t>
      </w:r>
      <w:r w:rsidR="00683292">
        <w:rPr>
          <w:b w:val="0"/>
          <w:bCs/>
          <w:lang w:val="en-GB"/>
        </w:rPr>
        <w:t>s</w:t>
      </w:r>
      <w:r w:rsidRPr="0054577C">
        <w:rPr>
          <w:b w:val="0"/>
          <w:bCs/>
          <w:lang w:val="en-GB"/>
        </w:rPr>
        <w:t>, ‘complete a book or record of local groups/services that people can be sign posted to’, ‘produce a leaflet or newsletter which can be given/sent to service users about PA’, and ‘evaluate how many service users in their organisation engage in PA’. Participants were also given the option to add free text if they felt none of the options provided were applicable.</w:t>
      </w:r>
      <w:r w:rsidR="00CD33B4">
        <w:rPr>
          <w:b w:val="0"/>
          <w:lang w:val="en-GB"/>
        </w:rPr>
        <w:t xml:space="preserve"> </w:t>
      </w:r>
      <w:r w:rsidRPr="0054577C">
        <w:rPr>
          <w:b w:val="0"/>
          <w:bCs/>
          <w:lang w:val="en-GB"/>
        </w:rPr>
        <w:t>Participants were</w:t>
      </w:r>
      <w:r w:rsidR="00CD33B4">
        <w:rPr>
          <w:b w:val="0"/>
          <w:bCs/>
          <w:lang w:val="en-GB"/>
        </w:rPr>
        <w:t xml:space="preserve"> also</w:t>
      </w:r>
      <w:r w:rsidRPr="0054577C">
        <w:rPr>
          <w:b w:val="0"/>
          <w:bCs/>
          <w:lang w:val="en-GB"/>
        </w:rPr>
        <w:t xml:space="preserve"> asked what rewards could</w:t>
      </w:r>
      <w:r w:rsidR="00D928FE">
        <w:rPr>
          <w:b w:val="0"/>
          <w:bCs/>
          <w:lang w:val="en-GB"/>
        </w:rPr>
        <w:t xml:space="preserve"> be</w:t>
      </w:r>
      <w:r w:rsidRPr="0054577C">
        <w:rPr>
          <w:b w:val="0"/>
          <w:bCs/>
          <w:lang w:val="en-GB"/>
        </w:rPr>
        <w:t xml:space="preserve"> offer</w:t>
      </w:r>
      <w:r w:rsidR="00D928FE">
        <w:rPr>
          <w:b w:val="0"/>
          <w:bCs/>
          <w:lang w:val="en-GB"/>
        </w:rPr>
        <w:t>ed</w:t>
      </w:r>
      <w:r w:rsidR="00982726">
        <w:rPr>
          <w:b w:val="0"/>
          <w:bCs/>
          <w:lang w:val="en-GB"/>
        </w:rPr>
        <w:t xml:space="preserve"> to</w:t>
      </w:r>
      <w:r w:rsidRPr="0054577C">
        <w:rPr>
          <w:b w:val="0"/>
          <w:bCs/>
          <w:lang w:val="en-GB"/>
        </w:rPr>
        <w:t xml:space="preserve"> people to ensure they engaged with the training and additional good practice after the training program had finished. Participants were provided with free text to input ideas. </w:t>
      </w:r>
      <w:bookmarkEnd w:id="3"/>
      <w:r w:rsidRPr="0054577C">
        <w:rPr>
          <w:b w:val="0"/>
          <w:lang w:val="en-GB"/>
        </w:rPr>
        <w:t xml:space="preserve"> </w:t>
      </w:r>
    </w:p>
    <w:p w14:paraId="631AE9C6" w14:textId="7D60E793" w:rsidR="00340102" w:rsidRPr="0054577C" w:rsidRDefault="00CD33B4" w:rsidP="00340102">
      <w:pPr>
        <w:pStyle w:val="MDPI21heading1"/>
        <w:ind w:firstLine="452"/>
        <w:rPr>
          <w:b w:val="0"/>
          <w:bCs/>
          <w:lang w:val="en-GB"/>
        </w:rPr>
      </w:pPr>
      <w:r>
        <w:rPr>
          <w:b w:val="0"/>
          <w:bCs/>
          <w:lang w:val="en-GB"/>
        </w:rPr>
        <w:t>Finally, p</w:t>
      </w:r>
      <w:r w:rsidR="00340102" w:rsidRPr="0054577C">
        <w:rPr>
          <w:b w:val="0"/>
          <w:bCs/>
          <w:lang w:val="en-GB"/>
        </w:rPr>
        <w:t xml:space="preserve">articipants were provided with a free text option at the end of the survey to input any other ideas or feedback they may have which could inform the design of the training program. </w:t>
      </w:r>
    </w:p>
    <w:p w14:paraId="1A873F4D" w14:textId="52E75DB7" w:rsidR="00340102" w:rsidRPr="0054577C" w:rsidRDefault="00340102" w:rsidP="00340102">
      <w:pPr>
        <w:pStyle w:val="MDPI21heading1"/>
        <w:rPr>
          <w:b w:val="0"/>
          <w:i/>
          <w:iCs/>
          <w:lang w:val="en-GB"/>
        </w:rPr>
      </w:pPr>
      <w:r w:rsidRPr="0054577C">
        <w:rPr>
          <w:b w:val="0"/>
          <w:i/>
          <w:iCs/>
          <w:lang w:val="en-GB"/>
        </w:rPr>
        <w:t xml:space="preserve">2.4. Stage four: Recruiting the panel for the Delphi surveys </w:t>
      </w:r>
    </w:p>
    <w:p w14:paraId="519435CD" w14:textId="78D31B13" w:rsidR="00340102" w:rsidRPr="0054577C" w:rsidRDefault="00340102" w:rsidP="00340102">
      <w:pPr>
        <w:pStyle w:val="MDPI21heading1"/>
        <w:ind w:firstLine="452"/>
        <w:rPr>
          <w:b w:val="0"/>
          <w:bCs/>
          <w:lang w:val="en-GB"/>
        </w:rPr>
      </w:pPr>
      <w:r w:rsidRPr="0054577C">
        <w:rPr>
          <w:b w:val="0"/>
          <w:bCs/>
          <w:lang w:val="en-GB"/>
        </w:rPr>
        <w:t xml:space="preserve">Participants were eligible for inclusion in the Delphi panel if they </w:t>
      </w:r>
      <w:r w:rsidR="00A07543">
        <w:rPr>
          <w:b w:val="0"/>
          <w:bCs/>
          <w:lang w:val="en-GB"/>
        </w:rPr>
        <w:t>were</w:t>
      </w:r>
      <w:r w:rsidR="00F8130C">
        <w:rPr>
          <w:b w:val="0"/>
          <w:bCs/>
          <w:lang w:val="en-GB"/>
        </w:rPr>
        <w:t xml:space="preserve"> based</w:t>
      </w:r>
      <w:r w:rsidR="00AB3C5C">
        <w:rPr>
          <w:b w:val="0"/>
          <w:bCs/>
          <w:lang w:val="en-GB"/>
        </w:rPr>
        <w:t xml:space="preserve"> in the UK</w:t>
      </w:r>
      <w:r w:rsidR="00F8130C">
        <w:rPr>
          <w:b w:val="0"/>
          <w:bCs/>
          <w:lang w:val="en-GB"/>
        </w:rPr>
        <w:t xml:space="preserve"> and </w:t>
      </w:r>
      <w:r w:rsidRPr="0054577C">
        <w:rPr>
          <w:b w:val="0"/>
          <w:bCs/>
          <w:lang w:val="en-GB"/>
        </w:rPr>
        <w:t>had one or more</w:t>
      </w:r>
      <w:r w:rsidR="00B9651D">
        <w:rPr>
          <w:b w:val="0"/>
          <w:bCs/>
          <w:lang w:val="en-GB"/>
        </w:rPr>
        <w:t xml:space="preserve"> of the</w:t>
      </w:r>
      <w:r w:rsidRPr="0054577C">
        <w:rPr>
          <w:b w:val="0"/>
          <w:bCs/>
          <w:lang w:val="en-GB"/>
        </w:rPr>
        <w:t xml:space="preserve"> following areas of expertise or experiences: worked for a disability sport charity, worked for a </w:t>
      </w:r>
      <w:r w:rsidR="00A814FD">
        <w:rPr>
          <w:b w:val="0"/>
          <w:bCs/>
          <w:lang w:val="en-GB"/>
        </w:rPr>
        <w:t>visual impairment</w:t>
      </w:r>
      <w:r w:rsidRPr="0054577C">
        <w:rPr>
          <w:b w:val="0"/>
          <w:bCs/>
          <w:lang w:val="en-GB"/>
        </w:rPr>
        <w:t xml:space="preserve"> charity, provided emotional or practical support for people with </w:t>
      </w:r>
      <w:r w:rsidR="00A814FD">
        <w:rPr>
          <w:b w:val="0"/>
          <w:bCs/>
          <w:lang w:val="en-GB"/>
        </w:rPr>
        <w:t>visual impairment</w:t>
      </w:r>
      <w:r w:rsidRPr="0054577C">
        <w:rPr>
          <w:b w:val="0"/>
          <w:bCs/>
          <w:lang w:val="en-GB"/>
        </w:rPr>
        <w:t>, r</w:t>
      </w:r>
      <w:r w:rsidR="00B21E3C">
        <w:rPr>
          <w:b w:val="0"/>
          <w:bCs/>
          <w:lang w:val="en-GB"/>
        </w:rPr>
        <w:t>a</w:t>
      </w:r>
      <w:r w:rsidRPr="0054577C">
        <w:rPr>
          <w:b w:val="0"/>
          <w:bCs/>
          <w:lang w:val="en-GB"/>
        </w:rPr>
        <w:t>n or support</w:t>
      </w:r>
      <w:r w:rsidR="00B21E3C">
        <w:rPr>
          <w:b w:val="0"/>
          <w:bCs/>
          <w:lang w:val="en-GB"/>
        </w:rPr>
        <w:t>ed</w:t>
      </w:r>
      <w:r w:rsidRPr="0054577C">
        <w:rPr>
          <w:b w:val="0"/>
          <w:bCs/>
          <w:lang w:val="en-GB"/>
        </w:rPr>
        <w:t xml:space="preserve"> PA groups or services for people with </w:t>
      </w:r>
      <w:r w:rsidR="00A814FD">
        <w:rPr>
          <w:b w:val="0"/>
          <w:bCs/>
          <w:lang w:val="en-GB"/>
        </w:rPr>
        <w:t>visual impairment</w:t>
      </w:r>
      <w:r w:rsidRPr="0054577C">
        <w:rPr>
          <w:b w:val="0"/>
          <w:bCs/>
          <w:lang w:val="en-GB"/>
        </w:rPr>
        <w:t>, provide</w:t>
      </w:r>
      <w:r w:rsidR="00B21E3C">
        <w:rPr>
          <w:b w:val="0"/>
          <w:bCs/>
          <w:lang w:val="en-GB"/>
        </w:rPr>
        <w:t>d</w:t>
      </w:r>
      <w:r w:rsidRPr="0054577C">
        <w:rPr>
          <w:b w:val="0"/>
          <w:bCs/>
          <w:lang w:val="en-GB"/>
        </w:rPr>
        <w:t xml:space="preserve"> or facilitate</w:t>
      </w:r>
      <w:r w:rsidR="00B21E3C">
        <w:rPr>
          <w:b w:val="0"/>
          <w:bCs/>
          <w:lang w:val="en-GB"/>
        </w:rPr>
        <w:t>d</w:t>
      </w:r>
      <w:r w:rsidRPr="0054577C">
        <w:rPr>
          <w:b w:val="0"/>
          <w:bCs/>
          <w:lang w:val="en-GB"/>
        </w:rPr>
        <w:t xml:space="preserve"> training for people who work in </w:t>
      </w:r>
      <w:r w:rsidR="00A814FD">
        <w:rPr>
          <w:b w:val="0"/>
          <w:bCs/>
          <w:lang w:val="en-GB"/>
        </w:rPr>
        <w:t xml:space="preserve">visual impairment </w:t>
      </w:r>
      <w:r w:rsidRPr="0054577C">
        <w:rPr>
          <w:b w:val="0"/>
          <w:bCs/>
          <w:lang w:val="en-GB"/>
        </w:rPr>
        <w:t xml:space="preserve">services or had </w:t>
      </w:r>
      <w:r w:rsidR="00A814FD">
        <w:rPr>
          <w:b w:val="0"/>
          <w:bCs/>
          <w:lang w:val="en-GB"/>
        </w:rPr>
        <w:t>visual</w:t>
      </w:r>
      <w:r w:rsidRPr="0054577C">
        <w:rPr>
          <w:b w:val="0"/>
          <w:bCs/>
          <w:lang w:val="en-GB"/>
        </w:rPr>
        <w:t xml:space="preserve"> impairment themselves. The aim was to create a diverse panel of experts who could provide input in to either how to design training programs for professionals in </w:t>
      </w:r>
      <w:r w:rsidR="00806966">
        <w:rPr>
          <w:b w:val="0"/>
          <w:bCs/>
          <w:lang w:val="en-GB"/>
        </w:rPr>
        <w:t>visual impairment services</w:t>
      </w:r>
      <w:r w:rsidR="00B21E3C">
        <w:rPr>
          <w:b w:val="0"/>
          <w:bCs/>
          <w:lang w:val="en-GB"/>
        </w:rPr>
        <w:t>,</w:t>
      </w:r>
      <w:r w:rsidRPr="0054577C">
        <w:rPr>
          <w:b w:val="0"/>
          <w:bCs/>
          <w:lang w:val="en-GB"/>
        </w:rPr>
        <w:t xml:space="preserve"> or how to facilitate PA among people with </w:t>
      </w:r>
      <w:r w:rsidR="00A814FD">
        <w:rPr>
          <w:b w:val="0"/>
          <w:bCs/>
          <w:lang w:val="en-GB"/>
        </w:rPr>
        <w:t>visual impairment</w:t>
      </w:r>
      <w:r w:rsidRPr="0054577C">
        <w:rPr>
          <w:b w:val="0"/>
          <w:bCs/>
          <w:lang w:val="en-GB"/>
        </w:rPr>
        <w:t xml:space="preserve">. The email link was distributed to </w:t>
      </w:r>
      <w:r w:rsidR="00F57429">
        <w:rPr>
          <w:b w:val="0"/>
          <w:bCs/>
          <w:lang w:val="en-GB"/>
        </w:rPr>
        <w:t>visual impairment</w:t>
      </w:r>
      <w:r w:rsidRPr="0054577C">
        <w:rPr>
          <w:b w:val="0"/>
          <w:bCs/>
          <w:lang w:val="en-GB"/>
        </w:rPr>
        <w:t xml:space="preserve"> charities and organisations via the mailing list of Visionary, a membership organisation for local </w:t>
      </w:r>
      <w:r w:rsidR="00F57429">
        <w:rPr>
          <w:b w:val="0"/>
          <w:bCs/>
          <w:lang w:val="en-GB"/>
        </w:rPr>
        <w:t>visual impairment</w:t>
      </w:r>
      <w:r w:rsidRPr="0054577C">
        <w:rPr>
          <w:b w:val="0"/>
          <w:bCs/>
          <w:lang w:val="en-GB"/>
        </w:rPr>
        <w:t xml:space="preserve"> charities. The experts who had participated in the focus group also shared the link within their professional networks via email. Along with the invite to participate, participants received a link to the participant information sheet, which was followed by an informed consent form. All participants were required to provide i</w:t>
      </w:r>
      <w:r w:rsidR="00A82443" w:rsidRPr="0054577C">
        <w:rPr>
          <w:b w:val="0"/>
          <w:bCs/>
          <w:lang w:val="en-GB"/>
        </w:rPr>
        <w:t>n</w:t>
      </w:r>
      <w:r w:rsidRPr="0054577C">
        <w:rPr>
          <w:b w:val="0"/>
          <w:bCs/>
          <w:lang w:val="en-GB"/>
        </w:rPr>
        <w:t xml:space="preserve">formed consent prior to proceeding with the Delphi survey. Round one of the Delphi was open for responses for three weeks. </w:t>
      </w:r>
    </w:p>
    <w:p w14:paraId="3DE0E897" w14:textId="52B05AAA" w:rsidR="00340102" w:rsidRPr="0054577C" w:rsidRDefault="00340102" w:rsidP="00340102">
      <w:pPr>
        <w:pStyle w:val="MDPI21heading1"/>
        <w:rPr>
          <w:b w:val="0"/>
          <w:i/>
          <w:iCs/>
          <w:lang w:val="en-GB"/>
        </w:rPr>
      </w:pPr>
      <w:r w:rsidRPr="0054577C">
        <w:rPr>
          <w:b w:val="0"/>
          <w:i/>
          <w:iCs/>
          <w:lang w:val="en-GB"/>
        </w:rPr>
        <w:t xml:space="preserve">2.5. Stage five: Data analysis </w:t>
      </w:r>
    </w:p>
    <w:p w14:paraId="7847D101" w14:textId="6A1E8862" w:rsidR="00340102" w:rsidRPr="0054577C" w:rsidRDefault="00340102" w:rsidP="00340102">
      <w:pPr>
        <w:pStyle w:val="MDPI21heading1"/>
        <w:ind w:firstLine="452"/>
        <w:rPr>
          <w:b w:val="0"/>
          <w:bCs/>
          <w:lang w:val="en-GB"/>
        </w:rPr>
      </w:pPr>
      <w:r w:rsidRPr="0054577C">
        <w:rPr>
          <w:b w:val="0"/>
          <w:bCs/>
          <w:lang w:val="en-GB"/>
        </w:rPr>
        <w:t>All statistical analyses were conducted using SPSS Version 28. 0.0.0 (190). Descriptive statistics were used to summarise the population characteristics and the survey responses. In addition, the suggestions and feedback provided in round one w</w:t>
      </w:r>
      <w:r w:rsidR="00302625">
        <w:rPr>
          <w:b w:val="0"/>
          <w:bCs/>
          <w:lang w:val="en-GB"/>
        </w:rPr>
        <w:t>ere</w:t>
      </w:r>
      <w:r w:rsidRPr="0054577C">
        <w:rPr>
          <w:b w:val="0"/>
          <w:bCs/>
          <w:lang w:val="en-GB"/>
        </w:rPr>
        <w:t xml:space="preserve"> compiled into a list, which was then coded and grouped into categories using conventional content analysis</w:t>
      </w:r>
      <w:r w:rsidR="00CE475E" w:rsidRPr="0054577C">
        <w:rPr>
          <w:b w:val="0"/>
          <w:bCs/>
          <w:lang w:val="en-GB"/>
        </w:rPr>
        <w:t xml:space="preserve"> [</w:t>
      </w:r>
      <w:r w:rsidR="002B60E7">
        <w:rPr>
          <w:b w:val="0"/>
          <w:bCs/>
          <w:lang w:val="en-GB"/>
        </w:rPr>
        <w:t>23</w:t>
      </w:r>
      <w:r w:rsidR="00CE475E" w:rsidRPr="0054577C">
        <w:rPr>
          <w:b w:val="0"/>
          <w:bCs/>
          <w:lang w:val="en-GB"/>
        </w:rPr>
        <w:t>]</w:t>
      </w:r>
      <w:r w:rsidRPr="0054577C">
        <w:rPr>
          <w:b w:val="0"/>
          <w:bCs/>
          <w:lang w:val="en-GB"/>
        </w:rPr>
        <w:t>. The categories were used to inform the questions which were included in round two.</w:t>
      </w:r>
    </w:p>
    <w:p w14:paraId="7629FFA2" w14:textId="51A6B0F4" w:rsidR="00340102" w:rsidRPr="0054577C" w:rsidRDefault="00340102" w:rsidP="00340102">
      <w:pPr>
        <w:pStyle w:val="MDPI21heading1"/>
        <w:rPr>
          <w:b w:val="0"/>
          <w:i/>
          <w:iCs/>
          <w:lang w:val="en-GB"/>
        </w:rPr>
      </w:pPr>
      <w:r w:rsidRPr="0054577C">
        <w:rPr>
          <w:b w:val="0"/>
          <w:i/>
          <w:iCs/>
          <w:lang w:val="en-GB"/>
        </w:rPr>
        <w:t xml:space="preserve">2.6. Stage six: Developing round two of the Delphi  </w:t>
      </w:r>
    </w:p>
    <w:p w14:paraId="4440D5D3" w14:textId="59559068" w:rsidR="00340102" w:rsidRPr="0054577C" w:rsidRDefault="00340102" w:rsidP="00340102">
      <w:pPr>
        <w:pStyle w:val="MDPI21heading1"/>
        <w:ind w:firstLine="452"/>
        <w:rPr>
          <w:b w:val="0"/>
          <w:bCs/>
          <w:lang w:val="en-GB"/>
        </w:rPr>
      </w:pPr>
      <w:r w:rsidRPr="0054577C">
        <w:rPr>
          <w:b w:val="0"/>
          <w:bCs/>
          <w:lang w:val="en-GB"/>
        </w:rPr>
        <w:lastRenderedPageBreak/>
        <w:t>One week after round one had closed, participants were sent a summary of the findings in round one</w:t>
      </w:r>
      <w:r w:rsidR="009F2E27" w:rsidRPr="0054577C">
        <w:rPr>
          <w:b w:val="0"/>
          <w:bCs/>
          <w:lang w:val="en-GB"/>
        </w:rPr>
        <w:t>,</w:t>
      </w:r>
      <w:r w:rsidRPr="0054577C">
        <w:rPr>
          <w:b w:val="0"/>
          <w:bCs/>
          <w:lang w:val="en-GB"/>
        </w:rPr>
        <w:t xml:space="preserve"> </w:t>
      </w:r>
      <w:r w:rsidR="009F2E27" w:rsidRPr="0054577C">
        <w:rPr>
          <w:b w:val="0"/>
          <w:bCs/>
        </w:rPr>
        <w:t>alongside</w:t>
      </w:r>
      <w:r w:rsidR="009F2E27" w:rsidRPr="0054577C">
        <w:t xml:space="preserve"> </w:t>
      </w:r>
      <w:r w:rsidR="009F2E27" w:rsidRPr="0054577C">
        <w:rPr>
          <w:b w:val="0"/>
          <w:bCs/>
          <w:lang w:val="en-GB"/>
        </w:rPr>
        <w:t xml:space="preserve">the questions for round two of the Delphi, </w:t>
      </w:r>
      <w:r w:rsidRPr="0054577C">
        <w:rPr>
          <w:b w:val="0"/>
          <w:bCs/>
          <w:lang w:val="en-GB"/>
        </w:rPr>
        <w:t xml:space="preserve">via a link which was sent to their individual emails. </w:t>
      </w:r>
    </w:p>
    <w:p w14:paraId="0657CFC1" w14:textId="29608DF2" w:rsidR="00340102" w:rsidRPr="0054577C" w:rsidRDefault="00340102" w:rsidP="00340102">
      <w:pPr>
        <w:pStyle w:val="MDPI21heading1"/>
        <w:rPr>
          <w:b w:val="0"/>
          <w:lang w:val="en-GB"/>
        </w:rPr>
      </w:pPr>
      <w:r w:rsidRPr="0054577C">
        <w:rPr>
          <w:b w:val="0"/>
          <w:lang w:val="en-GB"/>
        </w:rPr>
        <w:t>2.6.1. Who should be included in the training (multiple choice questions)</w:t>
      </w:r>
    </w:p>
    <w:p w14:paraId="71C9D941" w14:textId="7AC9CDA4" w:rsidR="00340102" w:rsidRPr="0054577C" w:rsidRDefault="00340102" w:rsidP="00340102">
      <w:pPr>
        <w:pStyle w:val="MDPI21heading1"/>
        <w:ind w:firstLine="452"/>
        <w:rPr>
          <w:b w:val="0"/>
          <w:bCs/>
          <w:lang w:val="en-GB"/>
        </w:rPr>
      </w:pPr>
      <w:r w:rsidRPr="0054577C">
        <w:rPr>
          <w:b w:val="0"/>
          <w:bCs/>
          <w:lang w:val="en-GB"/>
        </w:rPr>
        <w:t xml:space="preserve">In round one several participants suggested the training should also target PA providers, volunteers and leisure facility </w:t>
      </w:r>
      <w:r w:rsidR="00A82443" w:rsidRPr="0054577C">
        <w:rPr>
          <w:b w:val="0"/>
          <w:bCs/>
          <w:lang w:val="en-GB"/>
        </w:rPr>
        <w:t>providers;</w:t>
      </w:r>
      <w:r w:rsidRPr="0054577C">
        <w:rPr>
          <w:b w:val="0"/>
          <w:bCs/>
          <w:lang w:val="en-GB"/>
        </w:rPr>
        <w:t xml:space="preserve"> these suggestions were grouped as ‘training needs to target a wider audience’. To explore this suggestion further the following question was included in round two: ‘should we target a broader range of people with the training program? Please select who you think the training should be targeted at in addition </w:t>
      </w:r>
      <w:r w:rsidR="00B33A72">
        <w:rPr>
          <w:b w:val="0"/>
          <w:bCs/>
          <w:lang w:val="en-GB"/>
        </w:rPr>
        <w:t xml:space="preserve">to </w:t>
      </w:r>
      <w:r w:rsidRPr="0054577C">
        <w:rPr>
          <w:b w:val="0"/>
          <w:bCs/>
          <w:lang w:val="en-GB"/>
        </w:rPr>
        <w:t>professionals</w:t>
      </w:r>
      <w:r w:rsidR="00E67420">
        <w:rPr>
          <w:b w:val="0"/>
          <w:bCs/>
          <w:lang w:val="en-GB"/>
        </w:rPr>
        <w:t xml:space="preserve"> in visual impairment ser</w:t>
      </w:r>
      <w:r w:rsidR="0036117B">
        <w:rPr>
          <w:b w:val="0"/>
          <w:bCs/>
          <w:lang w:val="en-GB"/>
        </w:rPr>
        <w:t>vices</w:t>
      </w:r>
      <w:r w:rsidRPr="0054577C">
        <w:rPr>
          <w:b w:val="0"/>
          <w:bCs/>
          <w:lang w:val="en-GB"/>
        </w:rPr>
        <w:t>.’ Participants could select: ‘Local physical activity providers’, ‘</w:t>
      </w:r>
      <w:r w:rsidR="00F57429">
        <w:rPr>
          <w:b w:val="0"/>
          <w:bCs/>
          <w:lang w:val="en-GB"/>
        </w:rPr>
        <w:t>Visual impairment</w:t>
      </w:r>
      <w:r w:rsidRPr="0054577C">
        <w:rPr>
          <w:b w:val="0"/>
          <w:bCs/>
          <w:lang w:val="en-GB"/>
        </w:rPr>
        <w:t xml:space="preserve"> organisation's volunteers’, ‘Physical activity group's volunteers’, or ‘We should only target </w:t>
      </w:r>
      <w:r w:rsidR="00F57429">
        <w:rPr>
          <w:b w:val="0"/>
          <w:bCs/>
          <w:lang w:val="en-GB"/>
        </w:rPr>
        <w:t>visual impairment</w:t>
      </w:r>
      <w:r w:rsidRPr="0054577C">
        <w:rPr>
          <w:b w:val="0"/>
          <w:bCs/>
          <w:lang w:val="en-GB"/>
        </w:rPr>
        <w:t xml:space="preserve"> service professionals’.</w:t>
      </w:r>
    </w:p>
    <w:p w14:paraId="67A09104" w14:textId="55D313E4" w:rsidR="00340102" w:rsidRPr="0054577C" w:rsidRDefault="00340102" w:rsidP="00340102">
      <w:pPr>
        <w:pStyle w:val="MDPI21heading1"/>
        <w:rPr>
          <w:b w:val="0"/>
          <w:lang w:val="en-GB"/>
        </w:rPr>
      </w:pPr>
      <w:r w:rsidRPr="0054577C">
        <w:rPr>
          <w:b w:val="0"/>
          <w:lang w:val="en-GB"/>
        </w:rPr>
        <w:t xml:space="preserve">2.6.2. Inclusion of a networking session (single choice questions) </w:t>
      </w:r>
    </w:p>
    <w:p w14:paraId="15E830C7" w14:textId="7CB332CB" w:rsidR="00340102" w:rsidRPr="0054577C" w:rsidRDefault="00340102" w:rsidP="00340102">
      <w:pPr>
        <w:pStyle w:val="MDPI21heading1"/>
        <w:ind w:firstLine="452"/>
        <w:rPr>
          <w:b w:val="0"/>
          <w:bCs/>
          <w:lang w:val="en-GB"/>
        </w:rPr>
      </w:pPr>
      <w:r w:rsidRPr="0054577C">
        <w:rPr>
          <w:b w:val="0"/>
          <w:bCs/>
          <w:lang w:val="en-GB"/>
        </w:rPr>
        <w:t xml:space="preserve">Another reoccurring suggestion which came up in people’s responses to the round one survey, was that training should promote partnerships between </w:t>
      </w:r>
      <w:r w:rsidR="00A814FD">
        <w:rPr>
          <w:b w:val="0"/>
          <w:bCs/>
          <w:lang w:val="en-GB"/>
        </w:rPr>
        <w:t>visual impairment</w:t>
      </w:r>
      <w:r w:rsidRPr="0054577C">
        <w:rPr>
          <w:b w:val="0"/>
          <w:bCs/>
          <w:lang w:val="en-GB"/>
        </w:rPr>
        <w:t xml:space="preserve"> services and local PA providers. Therefore, participants were asked ‘do you think that we should include a networking session as part of the training, which allows local physical activity providers and </w:t>
      </w:r>
      <w:r w:rsidR="00F57429">
        <w:rPr>
          <w:b w:val="0"/>
          <w:bCs/>
          <w:lang w:val="en-GB"/>
        </w:rPr>
        <w:t>visual impairment</w:t>
      </w:r>
      <w:r w:rsidRPr="0054577C">
        <w:rPr>
          <w:b w:val="0"/>
          <w:bCs/>
          <w:lang w:val="en-GB"/>
        </w:rPr>
        <w:t xml:space="preserve"> services to meet?’ Participants could select ‘yes’ or ‘no’, for participants who responded ‘yes’ a follow up question was included which asked ‘how should the networking sessions be delivered?’, participants could select ‘online’, ‘in-person’ or ‘both’.</w:t>
      </w:r>
    </w:p>
    <w:p w14:paraId="07A41278" w14:textId="78F500C0" w:rsidR="00340102" w:rsidRPr="0054577C" w:rsidRDefault="00340102" w:rsidP="00340102">
      <w:pPr>
        <w:pStyle w:val="MDPI21heading1"/>
        <w:rPr>
          <w:b w:val="0"/>
          <w:lang w:val="en-GB"/>
        </w:rPr>
      </w:pPr>
      <w:r w:rsidRPr="0054577C">
        <w:rPr>
          <w:b w:val="0"/>
          <w:lang w:val="en-GB"/>
        </w:rPr>
        <w:t>2.6.3. Managing PA effectively (multiple choice question)</w:t>
      </w:r>
    </w:p>
    <w:p w14:paraId="3C6546B5" w14:textId="2BBC3B7D" w:rsidR="00340102" w:rsidRPr="0054577C" w:rsidRDefault="00340102" w:rsidP="00340102">
      <w:pPr>
        <w:pStyle w:val="MDPI21heading1"/>
        <w:ind w:firstLine="452"/>
        <w:rPr>
          <w:b w:val="0"/>
          <w:bCs/>
          <w:lang w:val="en-GB"/>
        </w:rPr>
      </w:pPr>
      <w:r w:rsidRPr="0054577C">
        <w:rPr>
          <w:b w:val="0"/>
          <w:bCs/>
          <w:lang w:val="en-GB"/>
        </w:rPr>
        <w:t xml:space="preserve">Participants also made suggestions in round one that training should include information about how to manage PA and recovery. Therefore, participants were asked to select which of the following </w:t>
      </w:r>
      <w:r w:rsidR="006601AD">
        <w:rPr>
          <w:b w:val="0"/>
          <w:bCs/>
          <w:lang w:val="en-GB"/>
        </w:rPr>
        <w:t>components</w:t>
      </w:r>
      <w:r w:rsidRPr="0054577C">
        <w:rPr>
          <w:b w:val="0"/>
          <w:bCs/>
          <w:lang w:val="en-GB"/>
        </w:rPr>
        <w:t xml:space="preserve"> they thought should be included in a training program: ‘how and when to refer to a physiotherapist’, ‘injury prevention training’, ‘information about recovery strategies’, ‘a wellbeing section e.g., meditation/relaxation’ or ‘none of the above’.</w:t>
      </w:r>
    </w:p>
    <w:p w14:paraId="145661AD" w14:textId="71F9526D" w:rsidR="00340102" w:rsidRPr="0054577C" w:rsidRDefault="00340102" w:rsidP="00340102">
      <w:pPr>
        <w:pStyle w:val="MDPI21heading1"/>
        <w:rPr>
          <w:b w:val="0"/>
          <w:lang w:val="en-GB"/>
        </w:rPr>
      </w:pPr>
      <w:r w:rsidRPr="0054577C">
        <w:rPr>
          <w:b w:val="0"/>
          <w:lang w:val="en-GB"/>
        </w:rPr>
        <w:t xml:space="preserve">2.6.4. Additional ideas for a training program (multiple choice question) </w:t>
      </w:r>
    </w:p>
    <w:p w14:paraId="50EDEE1B" w14:textId="5E7BDD01" w:rsidR="00340102" w:rsidRPr="0054577C" w:rsidRDefault="00340102" w:rsidP="00340102">
      <w:pPr>
        <w:pStyle w:val="MDPI21heading1"/>
        <w:ind w:firstLine="452"/>
        <w:rPr>
          <w:b w:val="0"/>
          <w:bCs/>
          <w:lang w:val="en-GB"/>
        </w:rPr>
      </w:pPr>
      <w:r w:rsidRPr="0054577C">
        <w:rPr>
          <w:b w:val="0"/>
          <w:bCs/>
          <w:lang w:val="en-GB"/>
        </w:rPr>
        <w:t>Participants additional suggestions in round one w</w:t>
      </w:r>
      <w:r w:rsidR="0036117B">
        <w:rPr>
          <w:b w:val="0"/>
          <w:bCs/>
          <w:lang w:val="en-GB"/>
        </w:rPr>
        <w:t>ere</w:t>
      </w:r>
      <w:r w:rsidRPr="0054577C">
        <w:rPr>
          <w:b w:val="0"/>
          <w:bCs/>
          <w:lang w:val="en-GB"/>
        </w:rPr>
        <w:t xml:space="preserve"> compiled into a list of options, and participants were asked to select which</w:t>
      </w:r>
      <w:r w:rsidR="00272059">
        <w:rPr>
          <w:b w:val="0"/>
          <w:bCs/>
          <w:lang w:val="en-GB"/>
        </w:rPr>
        <w:t xml:space="preserve"> options</w:t>
      </w:r>
      <w:r w:rsidRPr="0054577C">
        <w:rPr>
          <w:b w:val="0"/>
          <w:bCs/>
          <w:lang w:val="en-GB"/>
        </w:rPr>
        <w:t xml:space="preserve"> they thought should be included in the training program. Participants were asked to select a maximum of three to ensure that the training program developed was based on what participants thought should be prioritised in a training program, and to ensure the training program </w:t>
      </w:r>
      <w:r w:rsidR="00A944A9">
        <w:rPr>
          <w:b w:val="0"/>
          <w:bCs/>
          <w:lang w:val="en-GB"/>
        </w:rPr>
        <w:t>c</w:t>
      </w:r>
      <w:r w:rsidRPr="0054577C">
        <w:rPr>
          <w:b w:val="0"/>
          <w:bCs/>
          <w:lang w:val="en-GB"/>
        </w:rPr>
        <w:t xml:space="preserve">ould be feasibly delivered across the </w:t>
      </w:r>
      <w:r w:rsidR="00A944A9">
        <w:rPr>
          <w:b w:val="0"/>
          <w:bCs/>
          <w:lang w:val="en-GB"/>
        </w:rPr>
        <w:t>UK</w:t>
      </w:r>
      <w:r w:rsidRPr="0054577C">
        <w:rPr>
          <w:b w:val="0"/>
          <w:bCs/>
          <w:lang w:val="en-GB"/>
        </w:rPr>
        <w:t xml:space="preserve"> within the context of time and resource constraints. Participants could select from the following options: ‘improve awareness of local charities who provide </w:t>
      </w:r>
      <w:r w:rsidR="00A82443" w:rsidRPr="0054577C">
        <w:rPr>
          <w:b w:val="0"/>
          <w:bCs/>
          <w:lang w:val="en-GB"/>
        </w:rPr>
        <w:t xml:space="preserve">PA </w:t>
      </w:r>
      <w:r w:rsidRPr="0054577C">
        <w:rPr>
          <w:b w:val="0"/>
          <w:bCs/>
          <w:lang w:val="en-GB"/>
        </w:rPr>
        <w:t xml:space="preserve">activities’, ‘improve awareness of available adapted equipment’, ‘how to develop a list of local accessible sessions in the community’, ‘develop knowledge of barriers faced by </w:t>
      </w:r>
      <w:r w:rsidR="00CF0DE0">
        <w:rPr>
          <w:b w:val="0"/>
          <w:bCs/>
          <w:lang w:val="en-GB"/>
        </w:rPr>
        <w:t>visually impaired</w:t>
      </w:r>
      <w:r w:rsidRPr="0054577C">
        <w:rPr>
          <w:b w:val="0"/>
          <w:bCs/>
          <w:lang w:val="en-GB"/>
        </w:rPr>
        <w:t xml:space="preserve"> people and solutions’, ‘how to source grants’, ‘how to do a risk assessment’, ‘give people ideas for group exercise or partnered exercise’, ‘do mystery shopping-type exercises as ways to ensure appropriate support is being offered and educate exercise providers if necessary’, ‘a section with ideas on how to be person-centered with your support’, ‘a section on how to do remote exercise safely (e.g.</w:t>
      </w:r>
      <w:r w:rsidR="00A82443" w:rsidRPr="0054577C">
        <w:rPr>
          <w:b w:val="0"/>
          <w:bCs/>
          <w:lang w:val="en-GB"/>
        </w:rPr>
        <w:t>,</w:t>
      </w:r>
      <w:r w:rsidRPr="0054577C">
        <w:rPr>
          <w:b w:val="0"/>
          <w:bCs/>
          <w:lang w:val="en-GB"/>
        </w:rPr>
        <w:t xml:space="preserve"> phone or video based exercises)’, ‘refresher training to update skills’, ‘find and train local physical activity champions within organisations’, ‘share feel good stories when someone has </w:t>
      </w:r>
      <w:r w:rsidRPr="0054577C">
        <w:rPr>
          <w:b w:val="0"/>
          <w:bCs/>
          <w:lang w:val="en-GB"/>
        </w:rPr>
        <w:lastRenderedPageBreak/>
        <w:t xml:space="preserve">changed their life through exercise’, ‘include </w:t>
      </w:r>
      <w:r w:rsidR="001A6EAC" w:rsidRPr="0054577C">
        <w:rPr>
          <w:b w:val="0"/>
          <w:bCs/>
          <w:lang w:val="en-GB"/>
        </w:rPr>
        <w:t>Sim specs</w:t>
      </w:r>
      <w:r w:rsidR="00BF66B3" w:rsidRPr="0054577C">
        <w:rPr>
          <w:b w:val="0"/>
          <w:bCs/>
          <w:lang w:val="en-GB"/>
        </w:rPr>
        <w:t xml:space="preserve"> (glasse</w:t>
      </w:r>
      <w:r w:rsidR="006164F6" w:rsidRPr="0054577C">
        <w:rPr>
          <w:b w:val="0"/>
          <w:bCs/>
          <w:lang w:val="en-GB"/>
        </w:rPr>
        <w:t>s</w:t>
      </w:r>
      <w:r w:rsidR="00BF66B3" w:rsidRPr="0054577C">
        <w:rPr>
          <w:b w:val="0"/>
          <w:bCs/>
          <w:lang w:val="en-GB"/>
        </w:rPr>
        <w:t xml:space="preserve"> which </w:t>
      </w:r>
      <w:r w:rsidR="001A6EAC" w:rsidRPr="0054577C">
        <w:rPr>
          <w:b w:val="0"/>
          <w:bCs/>
          <w:lang w:val="en-GB"/>
        </w:rPr>
        <w:t>simulate different types of visual impairments)</w:t>
      </w:r>
      <w:r w:rsidRPr="0054577C">
        <w:rPr>
          <w:b w:val="0"/>
          <w:bCs/>
          <w:lang w:val="en-GB"/>
        </w:rPr>
        <w:t xml:space="preserve">, so staff can experience </w:t>
      </w:r>
      <w:r w:rsidR="00F57429">
        <w:rPr>
          <w:b w:val="0"/>
          <w:bCs/>
          <w:lang w:val="en-GB"/>
        </w:rPr>
        <w:t>visual impairment</w:t>
      </w:r>
      <w:r w:rsidRPr="0054577C">
        <w:rPr>
          <w:b w:val="0"/>
          <w:bCs/>
          <w:lang w:val="en-GB"/>
        </w:rPr>
        <w:t xml:space="preserve"> and therefore provide better support’, ‘delivery by someone with lived experience of being blind/partially sighted so they can talk about real life experiences (challenges and solutions)’, ‘a section on how to account for cultural sensitivities’ or ‘none of the above’.</w:t>
      </w:r>
    </w:p>
    <w:p w14:paraId="52D46DDB" w14:textId="5C2AA383" w:rsidR="00340102" w:rsidRPr="0054577C" w:rsidRDefault="00340102" w:rsidP="00340102">
      <w:pPr>
        <w:pStyle w:val="MDPI21heading1"/>
        <w:rPr>
          <w:b w:val="0"/>
          <w:lang w:val="en-GB"/>
        </w:rPr>
      </w:pPr>
      <w:r w:rsidRPr="0054577C">
        <w:rPr>
          <w:b w:val="0"/>
          <w:lang w:val="en-GB"/>
        </w:rPr>
        <w:t>2.6.5. Incentives (multiple choice questions)</w:t>
      </w:r>
    </w:p>
    <w:p w14:paraId="22CE14B6" w14:textId="61860B4B" w:rsidR="00340102" w:rsidRPr="0054577C" w:rsidRDefault="00340102" w:rsidP="00340102">
      <w:pPr>
        <w:pStyle w:val="MDPI21heading1"/>
        <w:ind w:firstLine="452"/>
        <w:rPr>
          <w:b w:val="0"/>
          <w:bCs/>
          <w:lang w:val="en-GB"/>
        </w:rPr>
      </w:pPr>
      <w:bookmarkStart w:id="4" w:name="_Hlk116549005"/>
      <w:r w:rsidRPr="0054577C">
        <w:rPr>
          <w:b w:val="0"/>
          <w:bCs/>
          <w:lang w:val="en-GB"/>
        </w:rPr>
        <w:t>In round one participants provided suggestions of incentives that could be offered to encourage professional</w:t>
      </w:r>
      <w:r w:rsidR="0036117B">
        <w:rPr>
          <w:b w:val="0"/>
          <w:bCs/>
          <w:lang w:val="en-GB"/>
        </w:rPr>
        <w:t xml:space="preserve"> in visual impairment services</w:t>
      </w:r>
      <w:r w:rsidRPr="0054577C">
        <w:rPr>
          <w:b w:val="0"/>
          <w:bCs/>
          <w:lang w:val="en-GB"/>
        </w:rPr>
        <w:t xml:space="preserve"> to participate</w:t>
      </w:r>
      <w:r w:rsidR="00680082">
        <w:rPr>
          <w:b w:val="0"/>
          <w:bCs/>
          <w:lang w:val="en-GB"/>
        </w:rPr>
        <w:t xml:space="preserve"> in training</w:t>
      </w:r>
      <w:r w:rsidRPr="0054577C">
        <w:rPr>
          <w:b w:val="0"/>
          <w:bCs/>
          <w:lang w:val="en-GB"/>
        </w:rPr>
        <w:t>. The suggestions were compiled into a list, and in round two participants were asked to select all</w:t>
      </w:r>
      <w:r w:rsidR="00680082">
        <w:rPr>
          <w:b w:val="0"/>
          <w:bCs/>
          <w:lang w:val="en-GB"/>
        </w:rPr>
        <w:t xml:space="preserve"> of</w:t>
      </w:r>
      <w:r w:rsidRPr="0054577C">
        <w:rPr>
          <w:b w:val="0"/>
          <w:bCs/>
          <w:lang w:val="en-GB"/>
        </w:rPr>
        <w:t xml:space="preserve"> the options which they thought would incentivise </w:t>
      </w:r>
      <w:r w:rsidR="00F57429">
        <w:rPr>
          <w:b w:val="0"/>
          <w:bCs/>
          <w:lang w:val="en-GB"/>
        </w:rPr>
        <w:t>visual impairment</w:t>
      </w:r>
      <w:r w:rsidRPr="0054577C">
        <w:rPr>
          <w:b w:val="0"/>
          <w:bCs/>
          <w:lang w:val="en-GB"/>
        </w:rPr>
        <w:t xml:space="preserve"> service professionals to participate. </w:t>
      </w:r>
      <w:bookmarkEnd w:id="4"/>
      <w:r w:rsidRPr="0054577C">
        <w:rPr>
          <w:b w:val="0"/>
          <w:bCs/>
          <w:lang w:val="en-GB"/>
        </w:rPr>
        <w:t>The following options were provided: ‘vouchers for sports shops’, ‘connections with sports organisations e.g. local gyms/sports/venues/coaches so that establishing groups is easier’, ‘any funding towards completion of training’, ‘resources/links to facilitate PA’, ‘free membership to activities’, ‘certificate of achievement’, ‘Continued Professional Development (CPD) points’, ‘accreditation, recognition e.g. gold, silver, bronze standards’, ‘a course handbook with ideas of exercises and tips on how to make them accessible’, ‘some free sessions at a local leisure centre for participants’ or ‘no rewards/incentives should be offered’.</w:t>
      </w:r>
    </w:p>
    <w:p w14:paraId="71EA93A3" w14:textId="7359047C" w:rsidR="00340102" w:rsidRPr="0054577C" w:rsidRDefault="00340102" w:rsidP="00340102">
      <w:pPr>
        <w:pStyle w:val="MDPI21heading1"/>
        <w:ind w:firstLine="452"/>
        <w:rPr>
          <w:b w:val="0"/>
          <w:bCs/>
          <w:lang w:val="en-GB"/>
        </w:rPr>
      </w:pPr>
      <w:r w:rsidRPr="0054577C">
        <w:rPr>
          <w:b w:val="0"/>
          <w:bCs/>
          <w:lang w:val="en-GB"/>
        </w:rPr>
        <w:t xml:space="preserve">In round one participants also provided suggestions of incentives that could be offered to encourage PA providers to participate in training. The suggestions were compiled into a list, and in round two participants were asked to select all the options which they thought </w:t>
      </w:r>
      <w:r w:rsidR="00033126">
        <w:rPr>
          <w:b w:val="0"/>
          <w:bCs/>
          <w:lang w:val="en-GB"/>
        </w:rPr>
        <w:t>c</w:t>
      </w:r>
      <w:r w:rsidRPr="0054577C">
        <w:rPr>
          <w:b w:val="0"/>
          <w:bCs/>
          <w:lang w:val="en-GB"/>
        </w:rPr>
        <w:t xml:space="preserve">ould incentivise PA providers to participate. The following options were provided: ‘a badge they can display showing staff have </w:t>
      </w:r>
      <w:r w:rsidR="00CF0DE0">
        <w:rPr>
          <w:b w:val="0"/>
          <w:bCs/>
          <w:lang w:val="en-GB"/>
        </w:rPr>
        <w:t>visual impairment</w:t>
      </w:r>
      <w:r w:rsidRPr="0054577C">
        <w:rPr>
          <w:b w:val="0"/>
          <w:bCs/>
          <w:lang w:val="en-GB"/>
        </w:rPr>
        <w:t xml:space="preserve"> awareness’, ‘a course handbook with ideas of exercises and tips on how to make them accessible’, ‘PA sessions to encourage good practice’ or ‘no rewards/incentives should be offered’.</w:t>
      </w:r>
    </w:p>
    <w:p w14:paraId="4F2ED71D" w14:textId="3CE79279" w:rsidR="00340102" w:rsidRPr="0054577C" w:rsidRDefault="00340102" w:rsidP="00340102">
      <w:pPr>
        <w:pStyle w:val="MDPI21heading1"/>
        <w:rPr>
          <w:b w:val="0"/>
          <w:i/>
          <w:iCs/>
          <w:lang w:val="en-GB"/>
        </w:rPr>
      </w:pPr>
      <w:r w:rsidRPr="0054577C">
        <w:rPr>
          <w:b w:val="0"/>
          <w:i/>
          <w:iCs/>
          <w:lang w:val="en-GB"/>
        </w:rPr>
        <w:t>2.7 Stage seven: distributing round two of the Delphi</w:t>
      </w:r>
    </w:p>
    <w:p w14:paraId="52FF59F6" w14:textId="161FB160" w:rsidR="00340102" w:rsidRPr="0054577C" w:rsidRDefault="00340102" w:rsidP="00340102">
      <w:pPr>
        <w:pStyle w:val="MDPI21heading1"/>
        <w:ind w:firstLine="452"/>
        <w:rPr>
          <w:b w:val="0"/>
          <w:bCs/>
          <w:lang w:val="en-GB"/>
        </w:rPr>
      </w:pPr>
      <w:r w:rsidRPr="0054577C">
        <w:rPr>
          <w:b w:val="0"/>
          <w:bCs/>
          <w:lang w:val="en-GB"/>
        </w:rPr>
        <w:t>The survey was sent to all respondents in round one via a link sent to their individual emails. To ensure that the response rate reached a minimum of 70% as recommended to ensure the Delphi process is rigorous</w:t>
      </w:r>
      <w:r w:rsidR="00DE1EC0" w:rsidRPr="0054577C">
        <w:rPr>
          <w:b w:val="0"/>
          <w:bCs/>
          <w:lang w:val="en-GB"/>
        </w:rPr>
        <w:t xml:space="preserve"> [</w:t>
      </w:r>
      <w:r w:rsidR="00A4446A">
        <w:rPr>
          <w:b w:val="0"/>
          <w:bCs/>
          <w:lang w:val="en-GB"/>
        </w:rPr>
        <w:t>24</w:t>
      </w:r>
      <w:r w:rsidR="00DE1EC0" w:rsidRPr="0054577C">
        <w:rPr>
          <w:b w:val="0"/>
          <w:bCs/>
          <w:lang w:val="en-GB"/>
        </w:rPr>
        <w:t>]</w:t>
      </w:r>
      <w:r w:rsidRPr="0054577C">
        <w:rPr>
          <w:b w:val="0"/>
          <w:bCs/>
          <w:lang w:val="en-GB"/>
        </w:rPr>
        <w:t xml:space="preserve"> a follow up email was sent one week prior to the survey closing. Round two of the Delphi was open for responses for three weeks. </w:t>
      </w:r>
    </w:p>
    <w:p w14:paraId="292B17D2" w14:textId="0ADDD859" w:rsidR="00340102" w:rsidRPr="0054577C" w:rsidRDefault="00340102" w:rsidP="00340102">
      <w:pPr>
        <w:pStyle w:val="MDPI21heading1"/>
        <w:rPr>
          <w:b w:val="0"/>
          <w:i/>
          <w:iCs/>
          <w:lang w:val="en-GB"/>
        </w:rPr>
      </w:pPr>
      <w:r w:rsidRPr="0054577C">
        <w:rPr>
          <w:b w:val="0"/>
          <w:i/>
          <w:iCs/>
          <w:lang w:val="en-GB"/>
        </w:rPr>
        <w:t xml:space="preserve">2.8 Stage eight: Data analysis </w:t>
      </w:r>
    </w:p>
    <w:p w14:paraId="753DAAE1" w14:textId="77777777" w:rsidR="00340102" w:rsidRPr="0054577C" w:rsidRDefault="00340102" w:rsidP="00340102">
      <w:pPr>
        <w:pStyle w:val="MDPI21heading1"/>
        <w:ind w:firstLine="452"/>
        <w:rPr>
          <w:b w:val="0"/>
          <w:bCs/>
          <w:lang w:val="en-GB"/>
        </w:rPr>
      </w:pPr>
      <w:r w:rsidRPr="0054577C">
        <w:rPr>
          <w:b w:val="0"/>
          <w:bCs/>
          <w:lang w:val="en-GB"/>
        </w:rPr>
        <w:t xml:space="preserve">All statistical analyses were conducted using SPSS Version 28. 0.0.0 (190). Descriptive statistics were used to summarise the population characteristics and the survey responses. </w:t>
      </w:r>
    </w:p>
    <w:p w14:paraId="737E7E96" w14:textId="2D2F9E26" w:rsidR="002F662D" w:rsidRPr="0054577C" w:rsidRDefault="002F662D" w:rsidP="0081532B">
      <w:pPr>
        <w:pStyle w:val="MDPI21heading1"/>
      </w:pPr>
      <w:r w:rsidRPr="0054577C">
        <w:t>3. Results</w:t>
      </w:r>
    </w:p>
    <w:p w14:paraId="7CE8CACA" w14:textId="61064C91" w:rsidR="002F1406" w:rsidRPr="0054577C" w:rsidRDefault="002F1406" w:rsidP="009A00EF">
      <w:pPr>
        <w:pStyle w:val="MDPI21heading1"/>
        <w:ind w:firstLine="452"/>
        <w:rPr>
          <w:b w:val="0"/>
          <w:bCs/>
          <w:lang w:val="en-GB"/>
        </w:rPr>
      </w:pPr>
      <w:bookmarkStart w:id="5" w:name="_Hlk116648969"/>
      <w:r w:rsidRPr="0054577C">
        <w:rPr>
          <w:b w:val="0"/>
          <w:bCs/>
          <w:lang w:val="en-GB"/>
        </w:rPr>
        <w:t xml:space="preserve">Seventeen participants responded to round one, and twelve participants responded to round two (70.6% rate). Table </w:t>
      </w:r>
      <w:r w:rsidR="00557FF3" w:rsidRPr="0054577C">
        <w:rPr>
          <w:b w:val="0"/>
          <w:bCs/>
          <w:lang w:val="en-GB"/>
        </w:rPr>
        <w:t xml:space="preserve">1 </w:t>
      </w:r>
      <w:r w:rsidRPr="0054577C">
        <w:rPr>
          <w:b w:val="0"/>
          <w:bCs/>
          <w:lang w:val="en-GB"/>
        </w:rPr>
        <w:t xml:space="preserve">presents the </w:t>
      </w:r>
      <w:r w:rsidR="00492F80">
        <w:rPr>
          <w:b w:val="0"/>
          <w:bCs/>
          <w:lang w:val="en-GB"/>
        </w:rPr>
        <w:t>distribution</w:t>
      </w:r>
      <w:r w:rsidRPr="0054577C">
        <w:rPr>
          <w:b w:val="0"/>
          <w:bCs/>
          <w:lang w:val="en-GB"/>
        </w:rPr>
        <w:t xml:space="preserve"> of expertise of the panel in rounds one and two, although the panel size decreased in round two the range and distribution of expertise of the respondents in </w:t>
      </w:r>
      <w:r w:rsidR="00557FF3" w:rsidRPr="0054577C">
        <w:rPr>
          <w:b w:val="0"/>
          <w:bCs/>
          <w:lang w:val="en-GB"/>
        </w:rPr>
        <w:t xml:space="preserve">both </w:t>
      </w:r>
      <w:r w:rsidRPr="0054577C">
        <w:rPr>
          <w:b w:val="0"/>
          <w:bCs/>
          <w:lang w:val="en-GB"/>
        </w:rPr>
        <w:t>round</w:t>
      </w:r>
      <w:r w:rsidR="00557FF3" w:rsidRPr="0054577C">
        <w:rPr>
          <w:b w:val="0"/>
          <w:bCs/>
          <w:lang w:val="en-GB"/>
        </w:rPr>
        <w:t xml:space="preserve">s was </w:t>
      </w:r>
      <w:r w:rsidRPr="0054577C">
        <w:rPr>
          <w:b w:val="0"/>
          <w:bCs/>
          <w:lang w:val="en-GB"/>
        </w:rPr>
        <w:t>similar.</w:t>
      </w:r>
      <w:r w:rsidR="009A00EF" w:rsidRPr="0054577C">
        <w:rPr>
          <w:b w:val="0"/>
          <w:bCs/>
          <w:lang w:val="en-GB"/>
        </w:rPr>
        <w:t xml:space="preserve"> </w:t>
      </w:r>
      <w:r w:rsidRPr="0054577C">
        <w:rPr>
          <w:b w:val="0"/>
          <w:bCs/>
          <w:lang w:val="en-GB"/>
        </w:rPr>
        <w:t xml:space="preserve">Table </w:t>
      </w:r>
      <w:r w:rsidR="00557FF3" w:rsidRPr="0054577C">
        <w:rPr>
          <w:b w:val="0"/>
          <w:bCs/>
          <w:lang w:val="en-GB"/>
        </w:rPr>
        <w:t xml:space="preserve">2 </w:t>
      </w:r>
      <w:r w:rsidRPr="0054577C">
        <w:rPr>
          <w:b w:val="0"/>
          <w:bCs/>
          <w:lang w:val="en-GB"/>
        </w:rPr>
        <w:t>presents the areas in which consensus was achieved in round one</w:t>
      </w:r>
      <w:r w:rsidR="00C63E61">
        <w:rPr>
          <w:b w:val="0"/>
          <w:bCs/>
          <w:lang w:val="en-GB"/>
        </w:rPr>
        <w:t>,</w:t>
      </w:r>
      <w:r w:rsidRPr="0054577C">
        <w:rPr>
          <w:b w:val="0"/>
          <w:bCs/>
          <w:lang w:val="en-GB"/>
        </w:rPr>
        <w:t xml:space="preserve"> and </w:t>
      </w:r>
      <w:r w:rsidR="00557FF3" w:rsidRPr="0054577C">
        <w:rPr>
          <w:b w:val="0"/>
          <w:bCs/>
          <w:lang w:val="en-GB"/>
        </w:rPr>
        <w:t>T</w:t>
      </w:r>
      <w:r w:rsidRPr="0054577C">
        <w:rPr>
          <w:b w:val="0"/>
          <w:bCs/>
          <w:lang w:val="en-GB"/>
        </w:rPr>
        <w:t xml:space="preserve">able </w:t>
      </w:r>
      <w:r w:rsidR="00557FF3" w:rsidRPr="0054577C">
        <w:rPr>
          <w:b w:val="0"/>
          <w:bCs/>
          <w:lang w:val="en-GB"/>
        </w:rPr>
        <w:t xml:space="preserve">3 </w:t>
      </w:r>
      <w:r w:rsidRPr="0054577C">
        <w:rPr>
          <w:b w:val="0"/>
          <w:bCs/>
          <w:lang w:val="en-GB"/>
        </w:rPr>
        <w:t xml:space="preserve">presents the areas in which consensus was achieved in round two. </w:t>
      </w:r>
    </w:p>
    <w:p w14:paraId="6E219896" w14:textId="130AB0A8" w:rsidR="002F1406" w:rsidRPr="0054577C" w:rsidRDefault="002F1406" w:rsidP="002F1406">
      <w:pPr>
        <w:pStyle w:val="MDPI21heading1"/>
        <w:rPr>
          <w:bCs/>
          <w:lang w:val="en-GB"/>
        </w:rPr>
      </w:pPr>
      <w:r w:rsidRPr="0054577C">
        <w:rPr>
          <w:bCs/>
          <w:lang w:val="en-GB"/>
        </w:rPr>
        <w:t xml:space="preserve">Table </w:t>
      </w:r>
      <w:r w:rsidR="00557FF3" w:rsidRPr="0054577C">
        <w:rPr>
          <w:bCs/>
          <w:lang w:val="en-GB"/>
        </w:rPr>
        <w:t>1</w:t>
      </w:r>
      <w:r w:rsidRPr="0054577C">
        <w:rPr>
          <w:bCs/>
          <w:lang w:val="en-GB"/>
        </w:rPr>
        <w:t xml:space="preserve">. </w:t>
      </w:r>
      <w:r w:rsidRPr="0054577C">
        <w:rPr>
          <w:b w:val="0"/>
          <w:lang w:val="en-GB"/>
        </w:rPr>
        <w:t>Areas of expertise of the panel in round one</w:t>
      </w:r>
      <w:r w:rsidRPr="0054577C">
        <w:rPr>
          <w:bCs/>
          <w:lang w:val="en-GB"/>
        </w:rPr>
        <w:t xml:space="preserve"> </w:t>
      </w:r>
    </w:p>
    <w:tbl>
      <w:tblPr>
        <w:tblW w:w="7857" w:type="dxa"/>
        <w:tblInd w:w="2608" w:type="dxa"/>
        <w:tblBorders>
          <w:top w:val="single" w:sz="8" w:space="0" w:color="auto"/>
          <w:bottom w:val="single" w:sz="8" w:space="0" w:color="auto"/>
        </w:tblBorders>
        <w:tblLayout w:type="fixed"/>
        <w:tblCellMar>
          <w:left w:w="0" w:type="dxa"/>
          <w:right w:w="0" w:type="dxa"/>
        </w:tblCellMar>
        <w:tblLook w:val="04A0" w:firstRow="1" w:lastRow="0" w:firstColumn="1" w:lastColumn="0" w:noHBand="0" w:noVBand="1"/>
      </w:tblPr>
      <w:tblGrid>
        <w:gridCol w:w="2619"/>
        <w:gridCol w:w="2619"/>
        <w:gridCol w:w="2619"/>
      </w:tblGrid>
      <w:tr w:rsidR="002F1406" w:rsidRPr="0054577C" w14:paraId="30A912B3" w14:textId="77777777" w:rsidTr="002F1406">
        <w:tc>
          <w:tcPr>
            <w:tcW w:w="2619" w:type="dxa"/>
            <w:tcBorders>
              <w:top w:val="single" w:sz="8" w:space="0" w:color="auto"/>
              <w:bottom w:val="single" w:sz="4" w:space="0" w:color="auto"/>
            </w:tcBorders>
            <w:shd w:val="clear" w:color="auto" w:fill="auto"/>
            <w:vAlign w:val="center"/>
          </w:tcPr>
          <w:p w14:paraId="68322824" w14:textId="77777777" w:rsidR="002F1406" w:rsidRPr="0054577C" w:rsidRDefault="002F1406" w:rsidP="002F1406">
            <w:pPr>
              <w:pStyle w:val="MDPI42tablebody"/>
              <w:spacing w:line="240" w:lineRule="auto"/>
              <w:rPr>
                <w:b/>
                <w:snapToGrid/>
              </w:rPr>
            </w:pPr>
            <w:r w:rsidRPr="0054577C">
              <w:rPr>
                <w:b/>
                <w:snapToGrid/>
              </w:rPr>
              <w:lastRenderedPageBreak/>
              <w:t xml:space="preserve">Areas of expertise of the panel </w:t>
            </w:r>
          </w:p>
        </w:tc>
        <w:tc>
          <w:tcPr>
            <w:tcW w:w="2619" w:type="dxa"/>
            <w:tcBorders>
              <w:top w:val="single" w:sz="8" w:space="0" w:color="auto"/>
              <w:bottom w:val="single" w:sz="4" w:space="0" w:color="auto"/>
            </w:tcBorders>
            <w:shd w:val="clear" w:color="auto" w:fill="auto"/>
            <w:vAlign w:val="center"/>
          </w:tcPr>
          <w:p w14:paraId="673AD91F" w14:textId="77777777" w:rsidR="002F1406" w:rsidRPr="0054577C" w:rsidRDefault="002F1406" w:rsidP="002F1406">
            <w:pPr>
              <w:pStyle w:val="MDPI42tablebody"/>
              <w:spacing w:line="240" w:lineRule="auto"/>
              <w:rPr>
                <w:b/>
                <w:snapToGrid/>
              </w:rPr>
            </w:pPr>
            <w:r w:rsidRPr="0054577C">
              <w:rPr>
                <w:b/>
                <w:snapToGrid/>
              </w:rPr>
              <w:t>Round one</w:t>
            </w:r>
          </w:p>
          <w:p w14:paraId="57A8779E" w14:textId="77777777" w:rsidR="002F1406" w:rsidRPr="0054577C" w:rsidRDefault="002F1406" w:rsidP="002F1406">
            <w:pPr>
              <w:pStyle w:val="MDPI42tablebody"/>
              <w:spacing w:line="240" w:lineRule="auto"/>
              <w:rPr>
                <w:b/>
                <w:snapToGrid/>
              </w:rPr>
            </w:pPr>
            <w:r w:rsidRPr="0054577C">
              <w:rPr>
                <w:b/>
                <w:snapToGrid/>
              </w:rPr>
              <w:t>N (%)</w:t>
            </w:r>
          </w:p>
        </w:tc>
        <w:tc>
          <w:tcPr>
            <w:tcW w:w="2619" w:type="dxa"/>
            <w:tcBorders>
              <w:top w:val="single" w:sz="8" w:space="0" w:color="auto"/>
              <w:bottom w:val="single" w:sz="4" w:space="0" w:color="auto"/>
            </w:tcBorders>
            <w:shd w:val="clear" w:color="auto" w:fill="auto"/>
            <w:vAlign w:val="center"/>
          </w:tcPr>
          <w:p w14:paraId="7501BDD0" w14:textId="77777777" w:rsidR="002F1406" w:rsidRPr="0054577C" w:rsidRDefault="002F1406" w:rsidP="002F1406">
            <w:pPr>
              <w:pStyle w:val="MDPI42tablebody"/>
              <w:spacing w:line="240" w:lineRule="auto"/>
              <w:rPr>
                <w:b/>
                <w:snapToGrid/>
              </w:rPr>
            </w:pPr>
            <w:r w:rsidRPr="0054577C">
              <w:rPr>
                <w:b/>
                <w:snapToGrid/>
              </w:rPr>
              <w:t>Round two</w:t>
            </w:r>
          </w:p>
          <w:p w14:paraId="5EDBD776" w14:textId="77777777" w:rsidR="002F1406" w:rsidRPr="0054577C" w:rsidRDefault="002F1406" w:rsidP="002F1406">
            <w:pPr>
              <w:pStyle w:val="MDPI42tablebody"/>
              <w:spacing w:line="240" w:lineRule="auto"/>
              <w:rPr>
                <w:b/>
                <w:snapToGrid/>
              </w:rPr>
            </w:pPr>
          </w:p>
          <w:p w14:paraId="32E5B04C" w14:textId="77777777" w:rsidR="002F1406" w:rsidRPr="0054577C" w:rsidRDefault="002F1406" w:rsidP="002F1406">
            <w:pPr>
              <w:pStyle w:val="MDPI42tablebody"/>
              <w:spacing w:line="240" w:lineRule="auto"/>
              <w:rPr>
                <w:b/>
                <w:snapToGrid/>
              </w:rPr>
            </w:pPr>
            <w:r w:rsidRPr="0054577C">
              <w:rPr>
                <w:b/>
                <w:snapToGrid/>
              </w:rPr>
              <w:t>N (%)</w:t>
            </w:r>
          </w:p>
        </w:tc>
      </w:tr>
      <w:tr w:rsidR="002F1406" w:rsidRPr="0054577C" w14:paraId="5D4F57DA" w14:textId="77777777" w:rsidTr="002F1406">
        <w:tc>
          <w:tcPr>
            <w:tcW w:w="2619" w:type="dxa"/>
            <w:tcBorders>
              <w:bottom w:val="single" w:sz="4" w:space="0" w:color="auto"/>
            </w:tcBorders>
            <w:shd w:val="clear" w:color="auto" w:fill="auto"/>
            <w:vAlign w:val="center"/>
          </w:tcPr>
          <w:p w14:paraId="613F349E" w14:textId="674CB309" w:rsidR="002F1406" w:rsidRPr="0054577C" w:rsidRDefault="002F1406" w:rsidP="002F1406">
            <w:pPr>
              <w:pStyle w:val="MDPI42tablebody"/>
              <w:spacing w:line="240" w:lineRule="auto"/>
              <w:rPr>
                <w:bCs/>
                <w:snapToGrid/>
              </w:rPr>
            </w:pPr>
            <w:r w:rsidRPr="0054577C">
              <w:rPr>
                <w:bCs/>
                <w:snapToGrid/>
              </w:rPr>
              <w:t xml:space="preserve">Work for a disability sport or </w:t>
            </w:r>
            <w:r w:rsidR="007A402E">
              <w:rPr>
                <w:bCs/>
                <w:snapToGrid/>
              </w:rPr>
              <w:t>visual impairment</w:t>
            </w:r>
            <w:r w:rsidRPr="0054577C">
              <w:rPr>
                <w:bCs/>
                <w:snapToGrid/>
              </w:rPr>
              <w:t xml:space="preserve"> charity</w:t>
            </w:r>
          </w:p>
        </w:tc>
        <w:tc>
          <w:tcPr>
            <w:tcW w:w="2619" w:type="dxa"/>
            <w:tcBorders>
              <w:bottom w:val="single" w:sz="4" w:space="0" w:color="auto"/>
            </w:tcBorders>
            <w:shd w:val="clear" w:color="auto" w:fill="auto"/>
            <w:vAlign w:val="center"/>
          </w:tcPr>
          <w:p w14:paraId="50D27833" w14:textId="77777777" w:rsidR="002F1406" w:rsidRPr="0054577C" w:rsidRDefault="002F1406" w:rsidP="002F1406">
            <w:pPr>
              <w:pStyle w:val="MDPI42tablebody"/>
              <w:spacing w:line="240" w:lineRule="auto"/>
              <w:rPr>
                <w:bCs/>
                <w:snapToGrid/>
              </w:rPr>
            </w:pPr>
            <w:r w:rsidRPr="0054577C">
              <w:rPr>
                <w:bCs/>
                <w:snapToGrid/>
              </w:rPr>
              <w:t>13 (76.5%)</w:t>
            </w:r>
          </w:p>
        </w:tc>
        <w:tc>
          <w:tcPr>
            <w:tcW w:w="2619" w:type="dxa"/>
            <w:tcBorders>
              <w:bottom w:val="single" w:sz="4" w:space="0" w:color="auto"/>
            </w:tcBorders>
            <w:shd w:val="clear" w:color="auto" w:fill="auto"/>
            <w:vAlign w:val="center"/>
          </w:tcPr>
          <w:p w14:paraId="355A1E76" w14:textId="77777777" w:rsidR="002F1406" w:rsidRPr="0054577C" w:rsidRDefault="002F1406" w:rsidP="002F1406">
            <w:pPr>
              <w:pStyle w:val="MDPI42tablebody"/>
              <w:spacing w:line="240" w:lineRule="auto"/>
              <w:rPr>
                <w:bCs/>
                <w:snapToGrid/>
              </w:rPr>
            </w:pPr>
            <w:r w:rsidRPr="0054577C">
              <w:rPr>
                <w:bCs/>
                <w:snapToGrid/>
              </w:rPr>
              <w:t>10 (83.3%)</w:t>
            </w:r>
          </w:p>
        </w:tc>
      </w:tr>
      <w:tr w:rsidR="002F1406" w:rsidRPr="0054577C" w14:paraId="0737EC01" w14:textId="77777777" w:rsidTr="002F1406">
        <w:tc>
          <w:tcPr>
            <w:tcW w:w="2619" w:type="dxa"/>
            <w:tcBorders>
              <w:bottom w:val="single" w:sz="4" w:space="0" w:color="auto"/>
            </w:tcBorders>
            <w:shd w:val="clear" w:color="auto" w:fill="auto"/>
            <w:vAlign w:val="center"/>
          </w:tcPr>
          <w:p w14:paraId="47EA2EDF" w14:textId="047D5982" w:rsidR="002F1406" w:rsidRPr="0054577C" w:rsidRDefault="002F1406" w:rsidP="002F1406">
            <w:pPr>
              <w:pStyle w:val="MDPI42tablebody"/>
              <w:spacing w:line="240" w:lineRule="auto"/>
              <w:rPr>
                <w:bCs/>
                <w:snapToGrid/>
              </w:rPr>
            </w:pPr>
            <w:r w:rsidRPr="0054577C">
              <w:rPr>
                <w:bCs/>
                <w:snapToGrid/>
              </w:rPr>
              <w:t xml:space="preserve">Provides emotional or practical support for people with </w:t>
            </w:r>
            <w:r w:rsidR="007A402E">
              <w:rPr>
                <w:bCs/>
                <w:snapToGrid/>
              </w:rPr>
              <w:t>visual impairment</w:t>
            </w:r>
          </w:p>
        </w:tc>
        <w:tc>
          <w:tcPr>
            <w:tcW w:w="2619" w:type="dxa"/>
            <w:tcBorders>
              <w:bottom w:val="single" w:sz="4" w:space="0" w:color="auto"/>
            </w:tcBorders>
            <w:shd w:val="clear" w:color="auto" w:fill="auto"/>
            <w:vAlign w:val="center"/>
          </w:tcPr>
          <w:p w14:paraId="7E14F155" w14:textId="77777777" w:rsidR="002F1406" w:rsidRPr="0054577C" w:rsidRDefault="002F1406" w:rsidP="002F1406">
            <w:pPr>
              <w:pStyle w:val="MDPI42tablebody"/>
              <w:spacing w:line="240" w:lineRule="auto"/>
              <w:rPr>
                <w:bCs/>
                <w:snapToGrid/>
              </w:rPr>
            </w:pPr>
            <w:r w:rsidRPr="0054577C">
              <w:rPr>
                <w:bCs/>
                <w:snapToGrid/>
              </w:rPr>
              <w:t xml:space="preserve">12 (70.6%) </w:t>
            </w:r>
          </w:p>
        </w:tc>
        <w:tc>
          <w:tcPr>
            <w:tcW w:w="2619" w:type="dxa"/>
            <w:tcBorders>
              <w:bottom w:val="single" w:sz="4" w:space="0" w:color="auto"/>
            </w:tcBorders>
            <w:shd w:val="clear" w:color="auto" w:fill="auto"/>
            <w:vAlign w:val="center"/>
          </w:tcPr>
          <w:p w14:paraId="047B3F4C" w14:textId="77777777" w:rsidR="002F1406" w:rsidRPr="0054577C" w:rsidRDefault="002F1406" w:rsidP="002F1406">
            <w:pPr>
              <w:pStyle w:val="MDPI42tablebody"/>
              <w:spacing w:line="240" w:lineRule="auto"/>
              <w:rPr>
                <w:bCs/>
                <w:snapToGrid/>
              </w:rPr>
            </w:pPr>
            <w:r w:rsidRPr="0054577C">
              <w:rPr>
                <w:bCs/>
                <w:snapToGrid/>
              </w:rPr>
              <w:t>10 (83.3%)</w:t>
            </w:r>
          </w:p>
        </w:tc>
      </w:tr>
      <w:tr w:rsidR="002F1406" w:rsidRPr="0054577C" w14:paraId="0A482B4B" w14:textId="77777777" w:rsidTr="002F1406">
        <w:tc>
          <w:tcPr>
            <w:tcW w:w="2619" w:type="dxa"/>
            <w:tcBorders>
              <w:bottom w:val="single" w:sz="4" w:space="0" w:color="auto"/>
            </w:tcBorders>
            <w:shd w:val="clear" w:color="auto" w:fill="auto"/>
            <w:vAlign w:val="center"/>
          </w:tcPr>
          <w:p w14:paraId="076587FB" w14:textId="57DF7FA8" w:rsidR="002F1406" w:rsidRPr="0054577C" w:rsidRDefault="002F1406" w:rsidP="002F1406">
            <w:pPr>
              <w:pStyle w:val="MDPI42tablebody"/>
              <w:spacing w:line="240" w:lineRule="auto"/>
              <w:rPr>
                <w:bCs/>
                <w:snapToGrid/>
              </w:rPr>
            </w:pPr>
            <w:r w:rsidRPr="0054577C">
              <w:rPr>
                <w:bCs/>
                <w:snapToGrid/>
              </w:rPr>
              <w:t xml:space="preserve">Runs or supports </w:t>
            </w:r>
            <w:r w:rsidR="007A402E">
              <w:rPr>
                <w:bCs/>
                <w:snapToGrid/>
              </w:rPr>
              <w:t>visual impairment</w:t>
            </w:r>
            <w:r w:rsidRPr="0054577C">
              <w:rPr>
                <w:bCs/>
                <w:snapToGrid/>
              </w:rPr>
              <w:t xml:space="preserve"> specific physical activity groups or services</w:t>
            </w:r>
          </w:p>
        </w:tc>
        <w:tc>
          <w:tcPr>
            <w:tcW w:w="2619" w:type="dxa"/>
            <w:tcBorders>
              <w:bottom w:val="single" w:sz="4" w:space="0" w:color="auto"/>
            </w:tcBorders>
            <w:shd w:val="clear" w:color="auto" w:fill="auto"/>
            <w:vAlign w:val="center"/>
          </w:tcPr>
          <w:p w14:paraId="5D1E62B3" w14:textId="77777777" w:rsidR="002F1406" w:rsidRPr="0054577C" w:rsidRDefault="002F1406" w:rsidP="002F1406">
            <w:pPr>
              <w:pStyle w:val="MDPI42tablebody"/>
              <w:spacing w:line="240" w:lineRule="auto"/>
              <w:rPr>
                <w:bCs/>
                <w:snapToGrid/>
              </w:rPr>
            </w:pPr>
            <w:r w:rsidRPr="0054577C">
              <w:rPr>
                <w:bCs/>
                <w:snapToGrid/>
              </w:rPr>
              <w:t xml:space="preserve">7 (41.2%) </w:t>
            </w:r>
          </w:p>
        </w:tc>
        <w:tc>
          <w:tcPr>
            <w:tcW w:w="2619" w:type="dxa"/>
            <w:tcBorders>
              <w:bottom w:val="single" w:sz="4" w:space="0" w:color="auto"/>
            </w:tcBorders>
            <w:shd w:val="clear" w:color="auto" w:fill="auto"/>
            <w:vAlign w:val="center"/>
          </w:tcPr>
          <w:p w14:paraId="71BD67E8" w14:textId="77777777" w:rsidR="002F1406" w:rsidRPr="0054577C" w:rsidRDefault="002F1406" w:rsidP="002F1406">
            <w:pPr>
              <w:pStyle w:val="MDPI42tablebody"/>
              <w:spacing w:line="240" w:lineRule="auto"/>
              <w:rPr>
                <w:bCs/>
                <w:snapToGrid/>
              </w:rPr>
            </w:pPr>
            <w:r w:rsidRPr="0054577C">
              <w:rPr>
                <w:bCs/>
                <w:snapToGrid/>
              </w:rPr>
              <w:t>5 (41.6%)</w:t>
            </w:r>
          </w:p>
        </w:tc>
      </w:tr>
      <w:tr w:rsidR="002F1406" w:rsidRPr="0054577C" w14:paraId="6DFB2A8B" w14:textId="77777777" w:rsidTr="002F1406">
        <w:tc>
          <w:tcPr>
            <w:tcW w:w="2619" w:type="dxa"/>
            <w:tcBorders>
              <w:bottom w:val="single" w:sz="4" w:space="0" w:color="auto"/>
            </w:tcBorders>
            <w:shd w:val="clear" w:color="auto" w:fill="auto"/>
            <w:vAlign w:val="center"/>
          </w:tcPr>
          <w:p w14:paraId="0DB1810A" w14:textId="3431290C" w:rsidR="002F1406" w:rsidRPr="0054577C" w:rsidRDefault="002F1406" w:rsidP="002F1406">
            <w:pPr>
              <w:pStyle w:val="MDPI42tablebody"/>
              <w:spacing w:line="240" w:lineRule="auto"/>
              <w:rPr>
                <w:bCs/>
                <w:snapToGrid/>
              </w:rPr>
            </w:pPr>
            <w:r w:rsidRPr="0054577C">
              <w:rPr>
                <w:bCs/>
                <w:snapToGrid/>
              </w:rPr>
              <w:t xml:space="preserve">Provides or facilitates training for people who work in </w:t>
            </w:r>
            <w:r w:rsidR="007A402E">
              <w:rPr>
                <w:bCs/>
                <w:snapToGrid/>
              </w:rPr>
              <w:t>visual impairment</w:t>
            </w:r>
            <w:r w:rsidRPr="0054577C">
              <w:rPr>
                <w:bCs/>
                <w:snapToGrid/>
              </w:rPr>
              <w:t xml:space="preserve"> services</w:t>
            </w:r>
          </w:p>
        </w:tc>
        <w:tc>
          <w:tcPr>
            <w:tcW w:w="2619" w:type="dxa"/>
            <w:tcBorders>
              <w:bottom w:val="single" w:sz="4" w:space="0" w:color="auto"/>
            </w:tcBorders>
            <w:shd w:val="clear" w:color="auto" w:fill="auto"/>
            <w:vAlign w:val="center"/>
          </w:tcPr>
          <w:p w14:paraId="6DB01739" w14:textId="77777777" w:rsidR="002F1406" w:rsidRPr="0054577C" w:rsidRDefault="002F1406" w:rsidP="002F1406">
            <w:pPr>
              <w:pStyle w:val="MDPI42tablebody"/>
              <w:spacing w:line="240" w:lineRule="auto"/>
              <w:rPr>
                <w:bCs/>
                <w:snapToGrid/>
              </w:rPr>
            </w:pPr>
            <w:r w:rsidRPr="0054577C">
              <w:rPr>
                <w:bCs/>
                <w:snapToGrid/>
              </w:rPr>
              <w:t xml:space="preserve">7 (41.2%) </w:t>
            </w:r>
          </w:p>
        </w:tc>
        <w:tc>
          <w:tcPr>
            <w:tcW w:w="2619" w:type="dxa"/>
            <w:tcBorders>
              <w:bottom w:val="single" w:sz="4" w:space="0" w:color="auto"/>
            </w:tcBorders>
            <w:shd w:val="clear" w:color="auto" w:fill="auto"/>
            <w:vAlign w:val="center"/>
          </w:tcPr>
          <w:p w14:paraId="1777E790" w14:textId="77777777" w:rsidR="002F1406" w:rsidRPr="0054577C" w:rsidRDefault="002F1406" w:rsidP="002F1406">
            <w:pPr>
              <w:pStyle w:val="MDPI42tablebody"/>
              <w:spacing w:line="240" w:lineRule="auto"/>
              <w:rPr>
                <w:bCs/>
                <w:snapToGrid/>
              </w:rPr>
            </w:pPr>
            <w:r w:rsidRPr="0054577C">
              <w:rPr>
                <w:bCs/>
                <w:snapToGrid/>
              </w:rPr>
              <w:t>5 (41.6%)</w:t>
            </w:r>
          </w:p>
        </w:tc>
      </w:tr>
      <w:tr w:rsidR="002F1406" w:rsidRPr="0054577C" w14:paraId="50FB8106" w14:textId="77777777" w:rsidTr="002F1406">
        <w:tc>
          <w:tcPr>
            <w:tcW w:w="2619" w:type="dxa"/>
            <w:tcBorders>
              <w:bottom w:val="single" w:sz="4" w:space="0" w:color="auto"/>
            </w:tcBorders>
            <w:shd w:val="clear" w:color="auto" w:fill="auto"/>
            <w:vAlign w:val="center"/>
          </w:tcPr>
          <w:p w14:paraId="579C0F48" w14:textId="77777777" w:rsidR="002F1406" w:rsidRPr="0054577C" w:rsidRDefault="002F1406" w:rsidP="002F1406">
            <w:pPr>
              <w:pStyle w:val="MDPI42tablebody"/>
              <w:spacing w:line="240" w:lineRule="auto"/>
              <w:rPr>
                <w:bCs/>
                <w:snapToGrid/>
              </w:rPr>
            </w:pPr>
            <w:r w:rsidRPr="0054577C">
              <w:rPr>
                <w:bCs/>
                <w:snapToGrid/>
              </w:rPr>
              <w:t xml:space="preserve">Provides emotional or practical support for people who are deafblind and have multiple disabilities </w:t>
            </w:r>
          </w:p>
        </w:tc>
        <w:tc>
          <w:tcPr>
            <w:tcW w:w="2619" w:type="dxa"/>
            <w:tcBorders>
              <w:bottom w:val="single" w:sz="4" w:space="0" w:color="auto"/>
            </w:tcBorders>
            <w:shd w:val="clear" w:color="auto" w:fill="auto"/>
            <w:vAlign w:val="center"/>
          </w:tcPr>
          <w:p w14:paraId="19030F81" w14:textId="77777777" w:rsidR="002F1406" w:rsidRPr="0054577C" w:rsidRDefault="002F1406" w:rsidP="002F1406">
            <w:pPr>
              <w:pStyle w:val="MDPI42tablebody"/>
              <w:spacing w:line="240" w:lineRule="auto"/>
              <w:rPr>
                <w:bCs/>
                <w:snapToGrid/>
              </w:rPr>
            </w:pPr>
            <w:r w:rsidRPr="0054577C">
              <w:rPr>
                <w:bCs/>
                <w:snapToGrid/>
              </w:rPr>
              <w:t xml:space="preserve">1 (5.8%) </w:t>
            </w:r>
          </w:p>
        </w:tc>
        <w:tc>
          <w:tcPr>
            <w:tcW w:w="2619" w:type="dxa"/>
            <w:tcBorders>
              <w:bottom w:val="single" w:sz="4" w:space="0" w:color="auto"/>
            </w:tcBorders>
            <w:shd w:val="clear" w:color="auto" w:fill="auto"/>
            <w:vAlign w:val="center"/>
          </w:tcPr>
          <w:p w14:paraId="2576933E" w14:textId="77777777" w:rsidR="002F1406" w:rsidRPr="0054577C" w:rsidRDefault="002F1406" w:rsidP="002F1406">
            <w:pPr>
              <w:pStyle w:val="MDPI42tablebody"/>
              <w:spacing w:line="240" w:lineRule="auto"/>
              <w:rPr>
                <w:bCs/>
                <w:snapToGrid/>
              </w:rPr>
            </w:pPr>
            <w:r w:rsidRPr="0054577C">
              <w:rPr>
                <w:bCs/>
                <w:snapToGrid/>
              </w:rPr>
              <w:t>1 (8.3%)</w:t>
            </w:r>
          </w:p>
        </w:tc>
      </w:tr>
      <w:tr w:rsidR="002F1406" w:rsidRPr="0054577C" w14:paraId="322F67DA" w14:textId="77777777" w:rsidTr="002F1406">
        <w:tc>
          <w:tcPr>
            <w:tcW w:w="2619" w:type="dxa"/>
            <w:tcBorders>
              <w:bottom w:val="single" w:sz="4" w:space="0" w:color="auto"/>
            </w:tcBorders>
            <w:shd w:val="clear" w:color="auto" w:fill="auto"/>
            <w:vAlign w:val="center"/>
          </w:tcPr>
          <w:p w14:paraId="5B91924D" w14:textId="5D00831B" w:rsidR="002F1406" w:rsidRPr="0054577C" w:rsidRDefault="000A51D9" w:rsidP="002F1406">
            <w:pPr>
              <w:pStyle w:val="MDPI42tablebody"/>
              <w:spacing w:line="240" w:lineRule="auto"/>
              <w:rPr>
                <w:bCs/>
                <w:snapToGrid/>
              </w:rPr>
            </w:pPr>
            <w:r>
              <w:rPr>
                <w:bCs/>
                <w:snapToGrid/>
              </w:rPr>
              <w:t>Visually</w:t>
            </w:r>
            <w:r w:rsidRPr="0054577C">
              <w:rPr>
                <w:bCs/>
                <w:snapToGrid/>
              </w:rPr>
              <w:t xml:space="preserve"> </w:t>
            </w:r>
            <w:r w:rsidR="002F1406" w:rsidRPr="0054577C">
              <w:rPr>
                <w:bCs/>
                <w:snapToGrid/>
              </w:rPr>
              <w:t>impaired themselves (diagnosed as severely sight impaired)</w:t>
            </w:r>
          </w:p>
        </w:tc>
        <w:tc>
          <w:tcPr>
            <w:tcW w:w="2619" w:type="dxa"/>
            <w:tcBorders>
              <w:bottom w:val="single" w:sz="4" w:space="0" w:color="auto"/>
            </w:tcBorders>
            <w:shd w:val="clear" w:color="auto" w:fill="auto"/>
            <w:vAlign w:val="center"/>
          </w:tcPr>
          <w:p w14:paraId="7AA68CFB" w14:textId="77777777" w:rsidR="002F1406" w:rsidRPr="0054577C" w:rsidRDefault="002F1406" w:rsidP="002F1406">
            <w:pPr>
              <w:pStyle w:val="MDPI42tablebody"/>
              <w:spacing w:line="240" w:lineRule="auto"/>
              <w:rPr>
                <w:bCs/>
                <w:snapToGrid/>
              </w:rPr>
            </w:pPr>
            <w:r w:rsidRPr="0054577C">
              <w:rPr>
                <w:bCs/>
                <w:snapToGrid/>
              </w:rPr>
              <w:t xml:space="preserve">4 (23.5%) </w:t>
            </w:r>
          </w:p>
        </w:tc>
        <w:tc>
          <w:tcPr>
            <w:tcW w:w="2619" w:type="dxa"/>
            <w:tcBorders>
              <w:bottom w:val="single" w:sz="4" w:space="0" w:color="auto"/>
            </w:tcBorders>
            <w:shd w:val="clear" w:color="auto" w:fill="auto"/>
            <w:vAlign w:val="center"/>
          </w:tcPr>
          <w:p w14:paraId="627B606F" w14:textId="77777777" w:rsidR="002F1406" w:rsidRPr="0054577C" w:rsidRDefault="002F1406" w:rsidP="002F1406">
            <w:pPr>
              <w:pStyle w:val="MDPI42tablebody"/>
              <w:spacing w:line="240" w:lineRule="auto"/>
              <w:rPr>
                <w:bCs/>
                <w:snapToGrid/>
              </w:rPr>
            </w:pPr>
            <w:r w:rsidRPr="0054577C">
              <w:rPr>
                <w:bCs/>
                <w:snapToGrid/>
              </w:rPr>
              <w:t>3 (25%)</w:t>
            </w:r>
          </w:p>
        </w:tc>
      </w:tr>
      <w:tr w:rsidR="002F1406" w:rsidRPr="0054577C" w14:paraId="3B56B08D" w14:textId="77777777" w:rsidTr="002F1406">
        <w:tc>
          <w:tcPr>
            <w:tcW w:w="2619" w:type="dxa"/>
            <w:tcBorders>
              <w:bottom w:val="single" w:sz="4" w:space="0" w:color="auto"/>
            </w:tcBorders>
            <w:shd w:val="clear" w:color="auto" w:fill="auto"/>
            <w:vAlign w:val="center"/>
          </w:tcPr>
          <w:p w14:paraId="5FAFF4C1" w14:textId="165ED2BA" w:rsidR="002F1406" w:rsidRPr="0054577C" w:rsidRDefault="000A51D9" w:rsidP="002F1406">
            <w:pPr>
              <w:pStyle w:val="MDPI42tablebody"/>
              <w:spacing w:line="240" w:lineRule="auto"/>
              <w:rPr>
                <w:bCs/>
                <w:snapToGrid/>
              </w:rPr>
            </w:pPr>
            <w:r>
              <w:rPr>
                <w:bCs/>
                <w:snapToGrid/>
              </w:rPr>
              <w:t>Visually impaired</w:t>
            </w:r>
            <w:r w:rsidR="002F1406" w:rsidRPr="0054577C">
              <w:rPr>
                <w:bCs/>
                <w:snapToGrid/>
              </w:rPr>
              <w:t xml:space="preserve"> themselves (diagnosed as sight impaired)</w:t>
            </w:r>
          </w:p>
        </w:tc>
        <w:tc>
          <w:tcPr>
            <w:tcW w:w="2619" w:type="dxa"/>
            <w:tcBorders>
              <w:bottom w:val="single" w:sz="4" w:space="0" w:color="auto"/>
            </w:tcBorders>
            <w:shd w:val="clear" w:color="auto" w:fill="auto"/>
            <w:vAlign w:val="center"/>
          </w:tcPr>
          <w:p w14:paraId="7C4D72CA" w14:textId="77777777" w:rsidR="002F1406" w:rsidRPr="0054577C" w:rsidRDefault="002F1406" w:rsidP="002F1406">
            <w:pPr>
              <w:pStyle w:val="MDPI42tablebody"/>
              <w:spacing w:line="240" w:lineRule="auto"/>
              <w:rPr>
                <w:bCs/>
                <w:snapToGrid/>
              </w:rPr>
            </w:pPr>
            <w:r w:rsidRPr="0054577C">
              <w:rPr>
                <w:bCs/>
                <w:snapToGrid/>
              </w:rPr>
              <w:t>3 (17.6%)</w:t>
            </w:r>
          </w:p>
        </w:tc>
        <w:tc>
          <w:tcPr>
            <w:tcW w:w="2619" w:type="dxa"/>
            <w:tcBorders>
              <w:bottom w:val="single" w:sz="4" w:space="0" w:color="auto"/>
            </w:tcBorders>
            <w:shd w:val="clear" w:color="auto" w:fill="auto"/>
            <w:vAlign w:val="center"/>
          </w:tcPr>
          <w:p w14:paraId="4239B80D" w14:textId="77777777" w:rsidR="002F1406" w:rsidRPr="0054577C" w:rsidRDefault="002F1406" w:rsidP="002F1406">
            <w:pPr>
              <w:pStyle w:val="MDPI42tablebody"/>
              <w:spacing w:line="240" w:lineRule="auto"/>
              <w:rPr>
                <w:bCs/>
                <w:snapToGrid/>
              </w:rPr>
            </w:pPr>
            <w:r w:rsidRPr="0054577C">
              <w:rPr>
                <w:bCs/>
                <w:snapToGrid/>
              </w:rPr>
              <w:t>2 (16.6%)</w:t>
            </w:r>
          </w:p>
        </w:tc>
      </w:tr>
      <w:bookmarkEnd w:id="5"/>
    </w:tbl>
    <w:p w14:paraId="477CE1BD" w14:textId="6DE0F9FB" w:rsidR="001D3E41" w:rsidRPr="0054577C" w:rsidRDefault="001D3E41" w:rsidP="001D3E41">
      <w:pPr>
        <w:pStyle w:val="MDPI21heading1"/>
        <w:ind w:left="0"/>
        <w:rPr>
          <w:bCs/>
          <w:lang w:val="en-GB"/>
        </w:rPr>
      </w:pPr>
    </w:p>
    <w:p w14:paraId="15A65C3B" w14:textId="0075EFCB" w:rsidR="002F1406" w:rsidRPr="0054577C" w:rsidRDefault="002F1406" w:rsidP="001D3E41">
      <w:pPr>
        <w:pStyle w:val="MDPI21heading1"/>
        <w:ind w:left="0"/>
        <w:jc w:val="center"/>
        <w:rPr>
          <w:b w:val="0"/>
          <w:lang w:val="en-GB"/>
        </w:rPr>
      </w:pPr>
      <w:r w:rsidRPr="0054577C">
        <w:rPr>
          <w:bCs/>
          <w:lang w:val="en-GB"/>
        </w:rPr>
        <w:t xml:space="preserve">Table </w:t>
      </w:r>
      <w:r w:rsidR="00557FF3" w:rsidRPr="0054577C">
        <w:rPr>
          <w:bCs/>
          <w:lang w:val="en-GB"/>
        </w:rPr>
        <w:t>2</w:t>
      </w:r>
      <w:r w:rsidRPr="0054577C">
        <w:rPr>
          <w:bCs/>
          <w:lang w:val="en-GB"/>
        </w:rPr>
        <w:t xml:space="preserve">. </w:t>
      </w:r>
      <w:r w:rsidRPr="0054577C">
        <w:rPr>
          <w:b w:val="0"/>
          <w:lang w:val="en-GB"/>
        </w:rPr>
        <w:t>Components which reached consensus in round one</w:t>
      </w:r>
    </w:p>
    <w:tbl>
      <w:tblPr>
        <w:tblW w:w="7856" w:type="dxa"/>
        <w:tblInd w:w="2608" w:type="dxa"/>
        <w:tblBorders>
          <w:top w:val="single" w:sz="8" w:space="0" w:color="auto"/>
          <w:bottom w:val="single" w:sz="8" w:space="0" w:color="auto"/>
        </w:tblBorders>
        <w:tblLayout w:type="fixed"/>
        <w:tblCellMar>
          <w:left w:w="0" w:type="dxa"/>
          <w:right w:w="0" w:type="dxa"/>
        </w:tblCellMar>
        <w:tblLook w:val="04A0" w:firstRow="1" w:lastRow="0" w:firstColumn="1" w:lastColumn="0" w:noHBand="0" w:noVBand="1"/>
      </w:tblPr>
      <w:tblGrid>
        <w:gridCol w:w="3928"/>
        <w:gridCol w:w="3928"/>
      </w:tblGrid>
      <w:tr w:rsidR="002F1406" w:rsidRPr="0054577C" w14:paraId="6B78395E" w14:textId="77777777" w:rsidTr="002F1406">
        <w:trPr>
          <w:trHeight w:val="274"/>
        </w:trPr>
        <w:tc>
          <w:tcPr>
            <w:tcW w:w="3928" w:type="dxa"/>
            <w:tcBorders>
              <w:top w:val="single" w:sz="8" w:space="0" w:color="auto"/>
              <w:bottom w:val="single" w:sz="4" w:space="0" w:color="auto"/>
            </w:tcBorders>
            <w:shd w:val="clear" w:color="auto" w:fill="auto"/>
            <w:vAlign w:val="center"/>
          </w:tcPr>
          <w:p w14:paraId="756088EC" w14:textId="77777777" w:rsidR="002F1406" w:rsidRPr="0054577C" w:rsidRDefault="002F1406" w:rsidP="002F1406">
            <w:pPr>
              <w:pStyle w:val="MDPI42tablebody"/>
              <w:spacing w:line="240" w:lineRule="auto"/>
              <w:rPr>
                <w:b/>
                <w:snapToGrid/>
              </w:rPr>
            </w:pPr>
            <w:r w:rsidRPr="0054577C">
              <w:rPr>
                <w:b/>
                <w:snapToGrid/>
              </w:rPr>
              <w:t xml:space="preserve">Category </w:t>
            </w:r>
          </w:p>
          <w:p w14:paraId="1371C93D" w14:textId="77777777" w:rsidR="002F1406" w:rsidRPr="0054577C" w:rsidRDefault="002F1406" w:rsidP="002F1406">
            <w:pPr>
              <w:pStyle w:val="MDPI42tablebody"/>
              <w:spacing w:line="240" w:lineRule="auto"/>
              <w:rPr>
                <w:b/>
                <w:snapToGrid/>
              </w:rPr>
            </w:pPr>
          </w:p>
        </w:tc>
        <w:tc>
          <w:tcPr>
            <w:tcW w:w="3928" w:type="dxa"/>
            <w:tcBorders>
              <w:top w:val="single" w:sz="8" w:space="0" w:color="auto"/>
              <w:bottom w:val="single" w:sz="4" w:space="0" w:color="auto"/>
            </w:tcBorders>
            <w:shd w:val="clear" w:color="auto" w:fill="auto"/>
            <w:vAlign w:val="center"/>
          </w:tcPr>
          <w:p w14:paraId="0F41D43F" w14:textId="77777777" w:rsidR="002F1406" w:rsidRPr="0054577C" w:rsidRDefault="002F1406" w:rsidP="002F1406">
            <w:pPr>
              <w:pStyle w:val="MDPI42tablebody"/>
              <w:spacing w:line="240" w:lineRule="auto"/>
              <w:rPr>
                <w:b/>
                <w:snapToGrid/>
              </w:rPr>
            </w:pPr>
            <w:r w:rsidRPr="0054577C">
              <w:rPr>
                <w:b/>
                <w:snapToGrid/>
              </w:rPr>
              <w:t>Components which reached consensus (% of sample who agreed that the component/design feature should be included)</w:t>
            </w:r>
          </w:p>
        </w:tc>
      </w:tr>
      <w:tr w:rsidR="002F1406" w:rsidRPr="0054577C" w14:paraId="76B2F025" w14:textId="77777777" w:rsidTr="002F1406">
        <w:trPr>
          <w:trHeight w:val="274"/>
        </w:trPr>
        <w:tc>
          <w:tcPr>
            <w:tcW w:w="3928" w:type="dxa"/>
            <w:tcBorders>
              <w:bottom w:val="single" w:sz="4" w:space="0" w:color="auto"/>
            </w:tcBorders>
            <w:shd w:val="clear" w:color="auto" w:fill="auto"/>
            <w:vAlign w:val="center"/>
          </w:tcPr>
          <w:p w14:paraId="7E3DCC19" w14:textId="77777777" w:rsidR="002F1406" w:rsidRPr="0054577C" w:rsidRDefault="002F1406" w:rsidP="002F1406">
            <w:pPr>
              <w:pStyle w:val="MDPI42tablebody"/>
              <w:spacing w:line="240" w:lineRule="auto"/>
              <w:rPr>
                <w:bCs/>
                <w:snapToGrid/>
              </w:rPr>
            </w:pPr>
            <w:r w:rsidRPr="0054577C">
              <w:rPr>
                <w:bCs/>
                <w:snapToGrid/>
              </w:rPr>
              <w:t>How to deliver training</w:t>
            </w:r>
          </w:p>
        </w:tc>
        <w:tc>
          <w:tcPr>
            <w:tcW w:w="3928" w:type="dxa"/>
            <w:tcBorders>
              <w:bottom w:val="single" w:sz="4" w:space="0" w:color="auto"/>
            </w:tcBorders>
            <w:shd w:val="clear" w:color="auto" w:fill="auto"/>
            <w:vAlign w:val="center"/>
          </w:tcPr>
          <w:p w14:paraId="23CBCC27" w14:textId="77777777" w:rsidR="002F1406" w:rsidRPr="0054577C" w:rsidRDefault="002F1406" w:rsidP="002F1406">
            <w:pPr>
              <w:pStyle w:val="MDPI42tablebody"/>
              <w:spacing w:line="240" w:lineRule="auto"/>
              <w:rPr>
                <w:bCs/>
                <w:snapToGrid/>
              </w:rPr>
            </w:pPr>
            <w:r w:rsidRPr="0054577C">
              <w:rPr>
                <w:bCs/>
                <w:snapToGrid/>
              </w:rPr>
              <w:t>Training should be delivered both online and in person. (82.4%)</w:t>
            </w:r>
          </w:p>
          <w:p w14:paraId="5C63AB64" w14:textId="77777777" w:rsidR="002F1406" w:rsidRPr="0054577C" w:rsidRDefault="002F1406" w:rsidP="002F1406">
            <w:pPr>
              <w:pStyle w:val="MDPI42tablebody"/>
              <w:spacing w:line="240" w:lineRule="auto"/>
              <w:rPr>
                <w:bCs/>
                <w:snapToGrid/>
              </w:rPr>
            </w:pPr>
          </w:p>
        </w:tc>
      </w:tr>
      <w:tr w:rsidR="002F1406" w:rsidRPr="0054577C" w14:paraId="1E097678" w14:textId="77777777" w:rsidTr="002F1406">
        <w:trPr>
          <w:trHeight w:val="274"/>
        </w:trPr>
        <w:tc>
          <w:tcPr>
            <w:tcW w:w="3928" w:type="dxa"/>
            <w:tcBorders>
              <w:bottom w:val="single" w:sz="4" w:space="0" w:color="auto"/>
            </w:tcBorders>
            <w:shd w:val="clear" w:color="auto" w:fill="auto"/>
            <w:vAlign w:val="center"/>
          </w:tcPr>
          <w:p w14:paraId="49B3ACF5" w14:textId="2F611210" w:rsidR="002F1406" w:rsidRPr="0054577C" w:rsidRDefault="002F1406" w:rsidP="002F1406">
            <w:pPr>
              <w:pStyle w:val="MDPI42tablebody"/>
              <w:spacing w:line="240" w:lineRule="auto"/>
              <w:rPr>
                <w:bCs/>
                <w:snapToGrid/>
              </w:rPr>
            </w:pPr>
            <w:r w:rsidRPr="0054577C">
              <w:rPr>
                <w:bCs/>
                <w:snapToGrid/>
              </w:rPr>
              <w:t>Training program contents</w:t>
            </w:r>
          </w:p>
        </w:tc>
        <w:tc>
          <w:tcPr>
            <w:tcW w:w="3928" w:type="dxa"/>
            <w:tcBorders>
              <w:bottom w:val="single" w:sz="4" w:space="0" w:color="auto"/>
            </w:tcBorders>
            <w:shd w:val="clear" w:color="auto" w:fill="auto"/>
            <w:vAlign w:val="center"/>
          </w:tcPr>
          <w:p w14:paraId="0CFF140A" w14:textId="3E044FBF" w:rsidR="002F1406" w:rsidRPr="0054577C" w:rsidRDefault="002F1406" w:rsidP="002F1406">
            <w:pPr>
              <w:pStyle w:val="MDPI42tablebody"/>
              <w:spacing w:line="240" w:lineRule="auto"/>
              <w:rPr>
                <w:bCs/>
                <w:snapToGrid/>
              </w:rPr>
            </w:pPr>
            <w:r w:rsidRPr="0054577C">
              <w:rPr>
                <w:bCs/>
                <w:snapToGrid/>
              </w:rPr>
              <w:t xml:space="preserve">A section explaining the benefits of physical activity for people with </w:t>
            </w:r>
            <w:r w:rsidR="007A402E">
              <w:rPr>
                <w:bCs/>
                <w:snapToGrid/>
              </w:rPr>
              <w:t>visual impairment</w:t>
            </w:r>
            <w:r w:rsidRPr="0054577C">
              <w:rPr>
                <w:bCs/>
                <w:snapToGrid/>
              </w:rPr>
              <w:t xml:space="preserve">. (70.6%) </w:t>
            </w:r>
          </w:p>
          <w:p w14:paraId="10D8C43E" w14:textId="77777777" w:rsidR="002F1406" w:rsidRPr="0054577C" w:rsidRDefault="002F1406" w:rsidP="002F1406">
            <w:pPr>
              <w:pStyle w:val="MDPI42tablebody"/>
              <w:spacing w:line="240" w:lineRule="auto"/>
              <w:rPr>
                <w:bCs/>
                <w:snapToGrid/>
              </w:rPr>
            </w:pPr>
          </w:p>
          <w:p w14:paraId="30B07FBA" w14:textId="0281ED4B" w:rsidR="002F1406" w:rsidRPr="0054577C" w:rsidRDefault="002F1406" w:rsidP="002F1406">
            <w:pPr>
              <w:pStyle w:val="MDPI42tablebody"/>
              <w:spacing w:line="240" w:lineRule="auto"/>
              <w:rPr>
                <w:bCs/>
                <w:snapToGrid/>
              </w:rPr>
            </w:pPr>
            <w:r w:rsidRPr="0054577C">
              <w:rPr>
                <w:bCs/>
                <w:snapToGrid/>
              </w:rPr>
              <w:t>A myth busting section which addresses common myths associated with physical activity</w:t>
            </w:r>
            <w:r w:rsidR="000511FA" w:rsidRPr="0054577C">
              <w:rPr>
                <w:bCs/>
                <w:snapToGrid/>
              </w:rPr>
              <w:t xml:space="preserve"> (e.g physical activity is not safe for older adults, </w:t>
            </w:r>
            <w:r w:rsidR="003E176C" w:rsidRPr="0054577C">
              <w:rPr>
                <w:bCs/>
                <w:snapToGrid/>
              </w:rPr>
              <w:t>exercise is not safe for people with chronic conditions, exercise is not safe for people with a visual impairment)</w:t>
            </w:r>
            <w:r w:rsidRPr="0054577C">
              <w:rPr>
                <w:bCs/>
                <w:snapToGrid/>
              </w:rPr>
              <w:t>. (76.5%)</w:t>
            </w:r>
          </w:p>
          <w:p w14:paraId="044CA1DF" w14:textId="77777777" w:rsidR="002F1406" w:rsidRPr="0054577C" w:rsidRDefault="002F1406" w:rsidP="002F1406">
            <w:pPr>
              <w:pStyle w:val="MDPI42tablebody"/>
              <w:spacing w:line="240" w:lineRule="auto"/>
              <w:rPr>
                <w:bCs/>
                <w:snapToGrid/>
              </w:rPr>
            </w:pPr>
          </w:p>
          <w:p w14:paraId="7E20CFF8" w14:textId="77777777" w:rsidR="002F1406" w:rsidRPr="0054577C" w:rsidRDefault="002F1406" w:rsidP="002F1406">
            <w:pPr>
              <w:pStyle w:val="MDPI42tablebody"/>
              <w:spacing w:line="240" w:lineRule="auto"/>
              <w:rPr>
                <w:bCs/>
                <w:snapToGrid/>
              </w:rPr>
            </w:pPr>
            <w:r w:rsidRPr="0054577C">
              <w:rPr>
                <w:bCs/>
                <w:snapToGrid/>
              </w:rPr>
              <w:t xml:space="preserve">Show people how to find local physical activity opportunities on the activity finder provided by British Blind Sport. (70.6%) </w:t>
            </w:r>
          </w:p>
          <w:p w14:paraId="6BAEE2C7" w14:textId="77777777" w:rsidR="002F1406" w:rsidRPr="0054577C" w:rsidRDefault="002F1406" w:rsidP="002F1406">
            <w:pPr>
              <w:pStyle w:val="MDPI42tablebody"/>
              <w:spacing w:line="240" w:lineRule="auto"/>
              <w:rPr>
                <w:bCs/>
                <w:snapToGrid/>
              </w:rPr>
            </w:pPr>
          </w:p>
          <w:p w14:paraId="7288C379" w14:textId="60385201" w:rsidR="002F1406" w:rsidRPr="0054577C" w:rsidRDefault="002F1406" w:rsidP="002F1406">
            <w:pPr>
              <w:pStyle w:val="MDPI42tablebody"/>
              <w:spacing w:line="240" w:lineRule="auto"/>
              <w:rPr>
                <w:bCs/>
                <w:snapToGrid/>
              </w:rPr>
            </w:pPr>
            <w:r w:rsidRPr="0054577C">
              <w:rPr>
                <w:bCs/>
                <w:snapToGrid/>
              </w:rPr>
              <w:lastRenderedPageBreak/>
              <w:t>A section addressing the health and safety concerns that people may have about physical activity. (82.4%)</w:t>
            </w:r>
          </w:p>
          <w:p w14:paraId="4BD74F49" w14:textId="63BA0618" w:rsidR="002F1406" w:rsidRPr="0054577C" w:rsidRDefault="002F1406" w:rsidP="002F1406">
            <w:pPr>
              <w:pStyle w:val="MDPI42tablebody"/>
              <w:spacing w:line="240" w:lineRule="auto"/>
              <w:rPr>
                <w:bCs/>
                <w:snapToGrid/>
              </w:rPr>
            </w:pPr>
          </w:p>
        </w:tc>
      </w:tr>
      <w:tr w:rsidR="002F1406" w:rsidRPr="0054577C" w14:paraId="0F3924BC" w14:textId="77777777" w:rsidTr="002F1406">
        <w:trPr>
          <w:trHeight w:val="274"/>
        </w:trPr>
        <w:tc>
          <w:tcPr>
            <w:tcW w:w="3928" w:type="dxa"/>
            <w:tcBorders>
              <w:bottom w:val="single" w:sz="4" w:space="0" w:color="auto"/>
            </w:tcBorders>
            <w:shd w:val="clear" w:color="auto" w:fill="auto"/>
            <w:vAlign w:val="center"/>
          </w:tcPr>
          <w:p w14:paraId="6C128FFD" w14:textId="77777777" w:rsidR="002F1406" w:rsidRPr="0054577C" w:rsidRDefault="002F1406" w:rsidP="002F1406">
            <w:pPr>
              <w:pStyle w:val="MDPI42tablebody"/>
              <w:spacing w:line="240" w:lineRule="auto"/>
              <w:rPr>
                <w:bCs/>
                <w:snapToGrid/>
              </w:rPr>
            </w:pPr>
            <w:r w:rsidRPr="0054577C">
              <w:rPr>
                <w:bCs/>
                <w:snapToGrid/>
              </w:rPr>
              <w:lastRenderedPageBreak/>
              <w:t xml:space="preserve">Post-training components </w:t>
            </w:r>
          </w:p>
        </w:tc>
        <w:tc>
          <w:tcPr>
            <w:tcW w:w="3928" w:type="dxa"/>
            <w:tcBorders>
              <w:bottom w:val="single" w:sz="4" w:space="0" w:color="auto"/>
            </w:tcBorders>
            <w:shd w:val="clear" w:color="auto" w:fill="auto"/>
            <w:vAlign w:val="center"/>
          </w:tcPr>
          <w:p w14:paraId="1F2AD82B" w14:textId="77777777" w:rsidR="002F1406" w:rsidRPr="0054577C" w:rsidRDefault="002F1406" w:rsidP="002F1406">
            <w:pPr>
              <w:pStyle w:val="MDPI42tablebody"/>
              <w:spacing w:line="240" w:lineRule="auto"/>
              <w:rPr>
                <w:bCs/>
                <w:snapToGrid/>
              </w:rPr>
            </w:pPr>
            <w:r w:rsidRPr="0054577C">
              <w:rPr>
                <w:bCs/>
                <w:snapToGrid/>
              </w:rPr>
              <w:t>To encourage people to continue to promote physical activity as part of their practice once the training has ended individuals and organisations should share examples of good practice which can be used to share on social media and newsletters. (76.5%)</w:t>
            </w:r>
          </w:p>
          <w:p w14:paraId="49B3BBD1" w14:textId="77777777" w:rsidR="002F1406" w:rsidRPr="0054577C" w:rsidRDefault="002F1406" w:rsidP="002F1406">
            <w:pPr>
              <w:pStyle w:val="MDPI42tablebody"/>
              <w:spacing w:line="240" w:lineRule="auto"/>
              <w:rPr>
                <w:bCs/>
                <w:snapToGrid/>
              </w:rPr>
            </w:pPr>
          </w:p>
        </w:tc>
      </w:tr>
    </w:tbl>
    <w:p w14:paraId="5782325E" w14:textId="77777777" w:rsidR="007904A0" w:rsidRDefault="00C10B5A">
      <w:pPr>
        <w:pStyle w:val="MDPI21heading1"/>
        <w:ind w:firstLine="452"/>
        <w:rPr>
          <w:b w:val="0"/>
          <w:lang w:val="en-GB"/>
        </w:rPr>
      </w:pPr>
      <w:r w:rsidRPr="00C10B5A">
        <w:rPr>
          <w:b w:val="0"/>
          <w:lang w:val="en-GB"/>
        </w:rPr>
        <w:t>It is also important to highlight several training program components did not meet consensus in round one, however the majority of participants agreed these components should be included in a training program. For example, most participants agreed there should be a section which teaches professionals chair-based exercises they can then in turn teach to people who use their services (64.7%), and a peer support section where people can share their experiences and concerns about advising and supporting people with PA (64.7%). In summary, the components which reached consensus could be considered as core components of a training program, however other components should not be discounted and could be part of further training and professional development</w:t>
      </w:r>
      <w:r w:rsidR="00535C29">
        <w:rPr>
          <w:b w:val="0"/>
          <w:lang w:val="en-GB"/>
        </w:rPr>
        <w:t>.</w:t>
      </w:r>
    </w:p>
    <w:p w14:paraId="148A4881" w14:textId="62ABEC16" w:rsidR="00912893" w:rsidRPr="00AF6F19" w:rsidRDefault="00535C29" w:rsidP="002517CC">
      <w:pPr>
        <w:pStyle w:val="MDPI21heading1"/>
        <w:ind w:firstLine="452"/>
        <w:rPr>
          <w:b w:val="0"/>
          <w:lang w:val="en-GB"/>
        </w:rPr>
      </w:pPr>
      <w:r>
        <w:rPr>
          <w:b w:val="0"/>
          <w:lang w:val="en-GB"/>
        </w:rPr>
        <w:t xml:space="preserve"> </w:t>
      </w:r>
      <w:r w:rsidR="00865B35" w:rsidRPr="00AF6F19">
        <w:rPr>
          <w:b w:val="0"/>
          <w:lang w:val="en-GB"/>
        </w:rPr>
        <w:t>In round two, a</w:t>
      </w:r>
      <w:r w:rsidR="00411B97" w:rsidRPr="00AF6F19">
        <w:rPr>
          <w:b w:val="0"/>
          <w:lang w:val="en-GB"/>
        </w:rPr>
        <w:t xml:space="preserve">lthough </w:t>
      </w:r>
      <w:r w:rsidR="009C6650">
        <w:rPr>
          <w:b w:val="0"/>
          <w:lang w:val="en-GB"/>
        </w:rPr>
        <w:t>‘</w:t>
      </w:r>
      <w:r w:rsidR="00411B97" w:rsidRPr="00AF6F19">
        <w:rPr>
          <w:b w:val="0"/>
          <w:lang w:val="en-GB"/>
        </w:rPr>
        <w:t>injury prevention training</w:t>
      </w:r>
      <w:r w:rsidR="009C6650">
        <w:rPr>
          <w:b w:val="0"/>
          <w:lang w:val="en-GB"/>
        </w:rPr>
        <w:t>’</w:t>
      </w:r>
      <w:r w:rsidR="00411B97" w:rsidRPr="00AF6F19">
        <w:rPr>
          <w:b w:val="0"/>
          <w:lang w:val="en-GB"/>
        </w:rPr>
        <w:t xml:space="preserve"> and </w:t>
      </w:r>
      <w:r w:rsidR="00B2596E" w:rsidRPr="00AF6F19">
        <w:rPr>
          <w:b w:val="0"/>
          <w:lang w:val="en-GB"/>
        </w:rPr>
        <w:t>a ‘wellbeing section’ were the only additional components which over 70% of the participants agreed should be in the training program</w:t>
      </w:r>
      <w:r w:rsidR="00BC6D6F" w:rsidRPr="00AF6F19">
        <w:rPr>
          <w:b w:val="0"/>
          <w:lang w:val="en-GB"/>
        </w:rPr>
        <w:t xml:space="preserve">, </w:t>
      </w:r>
      <w:r w:rsidR="00146FD3" w:rsidRPr="00AF6F19">
        <w:rPr>
          <w:b w:val="0"/>
          <w:lang w:val="en-GB"/>
        </w:rPr>
        <w:t>most</w:t>
      </w:r>
      <w:r w:rsidR="00A20212" w:rsidRPr="00AF6F19">
        <w:rPr>
          <w:b w:val="0"/>
          <w:lang w:val="en-GB"/>
        </w:rPr>
        <w:t xml:space="preserve"> participants reported ‘how and when to refer to a physiotherapist’ (58.3%)</w:t>
      </w:r>
      <w:r w:rsidR="00146FD3" w:rsidRPr="00AF6F19">
        <w:rPr>
          <w:b w:val="0"/>
          <w:lang w:val="en-GB"/>
        </w:rPr>
        <w:t xml:space="preserve"> and</w:t>
      </w:r>
      <w:r w:rsidR="00A20212" w:rsidRPr="00AF6F19">
        <w:rPr>
          <w:b w:val="0"/>
          <w:lang w:val="en-GB"/>
        </w:rPr>
        <w:t xml:space="preserve"> </w:t>
      </w:r>
      <w:r w:rsidR="00687CDD" w:rsidRPr="00AF6F19">
        <w:rPr>
          <w:b w:val="0"/>
          <w:lang w:val="en-GB"/>
        </w:rPr>
        <w:t>‘</w:t>
      </w:r>
      <w:r w:rsidR="00146FD3" w:rsidRPr="00AF6F19">
        <w:rPr>
          <w:b w:val="0"/>
          <w:lang w:val="en-GB"/>
        </w:rPr>
        <w:t>information about recovery strategies</w:t>
      </w:r>
      <w:r w:rsidR="00687CDD" w:rsidRPr="00AF6F19">
        <w:rPr>
          <w:b w:val="0"/>
          <w:lang w:val="en-GB"/>
        </w:rPr>
        <w:t>’</w:t>
      </w:r>
      <w:r w:rsidR="00146FD3" w:rsidRPr="00AF6F19">
        <w:rPr>
          <w:b w:val="0"/>
          <w:lang w:val="en-GB"/>
        </w:rPr>
        <w:t xml:space="preserve"> (66.7%) should also be included in the training program. Th</w:t>
      </w:r>
      <w:r w:rsidR="00A96081" w:rsidRPr="00AF6F19">
        <w:rPr>
          <w:b w:val="0"/>
          <w:lang w:val="en-GB"/>
        </w:rPr>
        <w:t>ese findings indicate that a key focus of</w:t>
      </w:r>
      <w:r w:rsidR="00821150" w:rsidRPr="00AF6F19">
        <w:rPr>
          <w:b w:val="0"/>
          <w:lang w:val="en-GB"/>
        </w:rPr>
        <w:t xml:space="preserve"> the</w:t>
      </w:r>
      <w:r w:rsidR="00A96081" w:rsidRPr="00AF6F19">
        <w:rPr>
          <w:b w:val="0"/>
          <w:lang w:val="en-GB"/>
        </w:rPr>
        <w:t xml:space="preserve"> training</w:t>
      </w:r>
      <w:r w:rsidR="00687CDD" w:rsidRPr="00AF6F19">
        <w:rPr>
          <w:b w:val="0"/>
          <w:lang w:val="en-GB"/>
        </w:rPr>
        <w:t xml:space="preserve"> </w:t>
      </w:r>
      <w:r w:rsidR="00821150" w:rsidRPr="00AF6F19">
        <w:rPr>
          <w:b w:val="0"/>
          <w:lang w:val="en-GB"/>
        </w:rPr>
        <w:t xml:space="preserve">program </w:t>
      </w:r>
      <w:r w:rsidR="00687CDD" w:rsidRPr="00AF6F19">
        <w:rPr>
          <w:b w:val="0"/>
          <w:lang w:val="en-GB"/>
        </w:rPr>
        <w:t xml:space="preserve">should </w:t>
      </w:r>
      <w:r w:rsidR="0071461E" w:rsidRPr="00AF6F19">
        <w:rPr>
          <w:b w:val="0"/>
          <w:lang w:val="en-GB"/>
        </w:rPr>
        <w:t xml:space="preserve">be </w:t>
      </w:r>
      <w:r w:rsidR="00821150" w:rsidRPr="00AF6F19">
        <w:rPr>
          <w:b w:val="0"/>
          <w:lang w:val="en-GB"/>
        </w:rPr>
        <w:t xml:space="preserve">on </w:t>
      </w:r>
      <w:r w:rsidR="0013585C" w:rsidRPr="00AF6F19">
        <w:rPr>
          <w:b w:val="0"/>
          <w:lang w:val="en-GB"/>
        </w:rPr>
        <w:t>support</w:t>
      </w:r>
      <w:r w:rsidR="00821150" w:rsidRPr="00AF6F19">
        <w:rPr>
          <w:b w:val="0"/>
          <w:lang w:val="en-GB"/>
        </w:rPr>
        <w:t>ing</w:t>
      </w:r>
      <w:r w:rsidR="0013585C" w:rsidRPr="00AF6F19">
        <w:rPr>
          <w:b w:val="0"/>
          <w:lang w:val="en-GB"/>
        </w:rPr>
        <w:t xml:space="preserve"> professionals to</w:t>
      </w:r>
      <w:r w:rsidR="0071461E" w:rsidRPr="00AF6F19">
        <w:rPr>
          <w:b w:val="0"/>
          <w:lang w:val="en-GB"/>
        </w:rPr>
        <w:t xml:space="preserve"> minimise any risks associated with </w:t>
      </w:r>
      <w:r w:rsidR="007B3378">
        <w:rPr>
          <w:b w:val="0"/>
          <w:lang w:val="en-GB"/>
        </w:rPr>
        <w:t>PA</w:t>
      </w:r>
      <w:r w:rsidR="0013585C" w:rsidRPr="00AF6F19">
        <w:rPr>
          <w:b w:val="0"/>
          <w:lang w:val="en-GB"/>
        </w:rPr>
        <w:t xml:space="preserve"> for their service users</w:t>
      </w:r>
      <w:r w:rsidR="009B7314">
        <w:rPr>
          <w:b w:val="0"/>
          <w:lang w:val="en-GB"/>
        </w:rPr>
        <w:t xml:space="preserve">, and different professional may require </w:t>
      </w:r>
      <w:r w:rsidR="00557C52">
        <w:rPr>
          <w:b w:val="0"/>
          <w:lang w:val="en-GB"/>
        </w:rPr>
        <w:t xml:space="preserve">different </w:t>
      </w:r>
      <w:r w:rsidR="009B7314">
        <w:rPr>
          <w:b w:val="0"/>
          <w:lang w:val="en-GB"/>
        </w:rPr>
        <w:t xml:space="preserve">support with </w:t>
      </w:r>
      <w:r w:rsidR="00557C52">
        <w:rPr>
          <w:b w:val="0"/>
          <w:lang w:val="en-GB"/>
        </w:rPr>
        <w:t xml:space="preserve">varying </w:t>
      </w:r>
      <w:r w:rsidR="009B7314">
        <w:rPr>
          <w:b w:val="0"/>
          <w:lang w:val="en-GB"/>
        </w:rPr>
        <w:t>aspects of health and safety</w:t>
      </w:r>
      <w:r w:rsidR="0013585C" w:rsidRPr="00AF6F19">
        <w:rPr>
          <w:b w:val="0"/>
          <w:lang w:val="en-GB"/>
        </w:rPr>
        <w:t xml:space="preserve">. </w:t>
      </w:r>
      <w:r w:rsidR="003B2F08" w:rsidRPr="00AF6F19">
        <w:rPr>
          <w:b w:val="0"/>
          <w:lang w:val="en-GB"/>
        </w:rPr>
        <w:t>In</w:t>
      </w:r>
      <w:r w:rsidR="00617A74" w:rsidRPr="00AF6F19">
        <w:rPr>
          <w:b w:val="0"/>
          <w:lang w:val="en-GB"/>
        </w:rPr>
        <w:t xml:space="preserve"> </w:t>
      </w:r>
      <w:r w:rsidR="00865B35" w:rsidRPr="00AF6F19">
        <w:rPr>
          <w:b w:val="0"/>
          <w:lang w:val="en-GB"/>
        </w:rPr>
        <w:t>terms of incentives</w:t>
      </w:r>
      <w:r w:rsidR="001856B2" w:rsidRPr="00AF6F19">
        <w:rPr>
          <w:b w:val="0"/>
          <w:lang w:val="en-GB"/>
        </w:rPr>
        <w:t xml:space="preserve">, over 70% of participants reported ‘connections with </w:t>
      </w:r>
      <w:r w:rsidR="00475DF5" w:rsidRPr="00AF6F19">
        <w:rPr>
          <w:b w:val="0"/>
          <w:lang w:val="en-GB"/>
        </w:rPr>
        <w:t xml:space="preserve">sports organisations’ could incentivise professionals to participate in the training. </w:t>
      </w:r>
      <w:r w:rsidR="003E2D17" w:rsidRPr="00AF6F19">
        <w:rPr>
          <w:b w:val="0"/>
          <w:lang w:val="en-GB"/>
        </w:rPr>
        <w:t>However, n</w:t>
      </w:r>
      <w:r w:rsidR="00550936" w:rsidRPr="00AF6F19">
        <w:rPr>
          <w:b w:val="0"/>
          <w:lang w:val="en-GB"/>
        </w:rPr>
        <w:t>one of the</w:t>
      </w:r>
      <w:r w:rsidR="00B107CE" w:rsidRPr="00AF6F19">
        <w:rPr>
          <w:b w:val="0"/>
          <w:lang w:val="en-GB"/>
        </w:rPr>
        <w:t xml:space="preserve"> participants agreed that funding </w:t>
      </w:r>
      <w:r w:rsidR="0097680F" w:rsidRPr="00AF6F19">
        <w:rPr>
          <w:b w:val="0"/>
          <w:lang w:val="en-GB"/>
        </w:rPr>
        <w:t>for</w:t>
      </w:r>
      <w:r w:rsidR="00096CB0" w:rsidRPr="00AF6F19">
        <w:rPr>
          <w:b w:val="0"/>
          <w:lang w:val="en-GB"/>
        </w:rPr>
        <w:t xml:space="preserve"> those who complete the training </w:t>
      </w:r>
      <w:r w:rsidR="0097680F" w:rsidRPr="00AF6F19">
        <w:rPr>
          <w:b w:val="0"/>
          <w:lang w:val="en-GB"/>
        </w:rPr>
        <w:t>should be offered as an incentive</w:t>
      </w:r>
      <w:r w:rsidR="00096CB0" w:rsidRPr="00AF6F19">
        <w:rPr>
          <w:b w:val="0"/>
          <w:lang w:val="en-GB"/>
        </w:rPr>
        <w:t xml:space="preserve">. </w:t>
      </w:r>
      <w:r w:rsidR="00AF3444" w:rsidRPr="00AF6F19">
        <w:rPr>
          <w:b w:val="0"/>
          <w:lang w:val="en-GB"/>
        </w:rPr>
        <w:t xml:space="preserve">This could reflect </w:t>
      </w:r>
      <w:r w:rsidR="003E3D02" w:rsidRPr="00AF6F19">
        <w:rPr>
          <w:b w:val="0"/>
          <w:lang w:val="en-GB"/>
        </w:rPr>
        <w:t xml:space="preserve">that participants felt professionals </w:t>
      </w:r>
      <w:r w:rsidR="003E2D17" w:rsidRPr="00AF6F19">
        <w:rPr>
          <w:b w:val="0"/>
          <w:lang w:val="en-GB"/>
        </w:rPr>
        <w:t>should be intrinsically motivated to engage in the training program</w:t>
      </w:r>
      <w:r w:rsidR="00425DFB" w:rsidRPr="00AF6F19">
        <w:rPr>
          <w:b w:val="0"/>
          <w:lang w:val="en-GB"/>
        </w:rPr>
        <w:t>. F</w:t>
      </w:r>
      <w:r w:rsidR="003E2D17" w:rsidRPr="00AF6F19">
        <w:rPr>
          <w:b w:val="0"/>
          <w:lang w:val="en-GB"/>
        </w:rPr>
        <w:t>or example</w:t>
      </w:r>
      <w:r w:rsidR="007B3378">
        <w:rPr>
          <w:b w:val="0"/>
          <w:lang w:val="en-GB"/>
        </w:rPr>
        <w:t>,</w:t>
      </w:r>
      <w:r w:rsidR="003E2D17" w:rsidRPr="00AF6F19">
        <w:rPr>
          <w:b w:val="0"/>
          <w:lang w:val="en-GB"/>
        </w:rPr>
        <w:t xml:space="preserve"> in round one, one participant stated,</w:t>
      </w:r>
      <w:r w:rsidR="003E3D02" w:rsidRPr="00AF6F19">
        <w:rPr>
          <w:b w:val="0"/>
          <w:lang w:val="en-GB"/>
        </w:rPr>
        <w:t xml:space="preserve"> “I would hope that the benefits of completing the training 'sells </w:t>
      </w:r>
      <w:r w:rsidR="00D708F2" w:rsidRPr="00AF6F19">
        <w:rPr>
          <w:b w:val="0"/>
          <w:lang w:val="en-GB"/>
        </w:rPr>
        <w:t>itself</w:t>
      </w:r>
      <w:r w:rsidR="003E3D02" w:rsidRPr="00AF6F19">
        <w:rPr>
          <w:b w:val="0"/>
          <w:lang w:val="en-GB"/>
        </w:rPr>
        <w:t xml:space="preserve">' and therefore individuals and organisations take part for the right reasons (and not because of rewards/incentives)”. </w:t>
      </w:r>
      <w:r w:rsidR="00507F09" w:rsidRPr="00AF6F19">
        <w:rPr>
          <w:b w:val="0"/>
          <w:lang w:val="en-GB"/>
        </w:rPr>
        <w:t>Similarly</w:t>
      </w:r>
      <w:r w:rsidR="006249E4" w:rsidRPr="00AF6F19">
        <w:rPr>
          <w:b w:val="0"/>
          <w:lang w:val="en-GB"/>
        </w:rPr>
        <w:t>,</w:t>
      </w:r>
      <w:r w:rsidR="00507F09" w:rsidRPr="00AF6F19">
        <w:rPr>
          <w:b w:val="0"/>
          <w:lang w:val="en-GB"/>
        </w:rPr>
        <w:t xml:space="preserve"> another participant stated that to incentivise professionals to participate in training it is important to </w:t>
      </w:r>
      <w:r w:rsidR="00507F09" w:rsidRPr="002517CC">
        <w:rPr>
          <w:b w:val="0"/>
          <w:color w:val="000000" w:themeColor="text1"/>
          <w:lang w:val="en-GB"/>
        </w:rPr>
        <w:t>“</w:t>
      </w:r>
      <w:r w:rsidR="00A3013F" w:rsidRPr="002517CC">
        <w:rPr>
          <w:b w:val="0"/>
          <w:color w:val="000000" w:themeColor="text1"/>
          <w:szCs w:val="20"/>
          <w:shd w:val="clear" w:color="auto" w:fill="FFFFFF"/>
        </w:rPr>
        <w:t>make it easy, fun and engaging</w:t>
      </w:r>
      <w:r w:rsidR="00507F09" w:rsidRPr="00AF6F19">
        <w:rPr>
          <w:b w:val="0"/>
          <w:color w:val="404040"/>
          <w:szCs w:val="20"/>
          <w:shd w:val="clear" w:color="auto" w:fill="FFFFFF"/>
        </w:rPr>
        <w:t>”.</w:t>
      </w:r>
      <w:r w:rsidR="00A3013F" w:rsidRPr="00AF6F19">
        <w:rPr>
          <w:b w:val="0"/>
          <w:color w:val="404040"/>
          <w:szCs w:val="20"/>
          <w:shd w:val="clear" w:color="auto" w:fill="FFFFFF"/>
        </w:rPr>
        <w:t xml:space="preserve"> </w:t>
      </w:r>
      <w:r w:rsidR="00096CB0" w:rsidRPr="00AF6F19">
        <w:rPr>
          <w:b w:val="0"/>
          <w:lang w:val="en-GB"/>
        </w:rPr>
        <w:t xml:space="preserve">On the other hand, all participants </w:t>
      </w:r>
      <w:r w:rsidR="00550936" w:rsidRPr="00AF6F19">
        <w:rPr>
          <w:b w:val="0"/>
          <w:lang w:val="en-GB"/>
        </w:rPr>
        <w:t xml:space="preserve">agreed </w:t>
      </w:r>
      <w:r w:rsidR="007904A0">
        <w:rPr>
          <w:b w:val="0"/>
          <w:lang w:val="en-GB"/>
        </w:rPr>
        <w:t xml:space="preserve">that </w:t>
      </w:r>
      <w:r w:rsidR="00550936" w:rsidRPr="00AF6F19">
        <w:rPr>
          <w:b w:val="0"/>
          <w:lang w:val="en-GB"/>
        </w:rPr>
        <w:t>at least one type of incentive should be offered</w:t>
      </w:r>
      <w:r w:rsidR="00A46AB7" w:rsidRPr="00AF6F19">
        <w:rPr>
          <w:b w:val="0"/>
          <w:lang w:val="en-GB"/>
        </w:rPr>
        <w:t xml:space="preserve"> to encourage </w:t>
      </w:r>
      <w:r w:rsidR="007904A0">
        <w:rPr>
          <w:b w:val="0"/>
          <w:lang w:val="en-GB"/>
        </w:rPr>
        <w:t xml:space="preserve">professionals in visual impairment services and PA providers </w:t>
      </w:r>
      <w:r w:rsidR="00A46AB7" w:rsidRPr="00AF6F19">
        <w:rPr>
          <w:b w:val="0"/>
          <w:lang w:val="en-GB"/>
        </w:rPr>
        <w:t>to engage in the training program.</w:t>
      </w:r>
      <w:r w:rsidR="009D2D76" w:rsidRPr="00AF6F19">
        <w:rPr>
          <w:b w:val="0"/>
          <w:lang w:val="en-GB"/>
        </w:rPr>
        <w:t xml:space="preserve"> </w:t>
      </w:r>
      <w:r w:rsidR="00D708F2" w:rsidRPr="00AF6F19">
        <w:rPr>
          <w:b w:val="0"/>
          <w:lang w:val="en-GB"/>
        </w:rPr>
        <w:t xml:space="preserve">In summary, offering incentives may be important for initially engaging professionals in the training, however </w:t>
      </w:r>
      <w:r w:rsidR="00E049E0" w:rsidRPr="00AF6F19">
        <w:rPr>
          <w:b w:val="0"/>
          <w:lang w:val="en-GB"/>
        </w:rPr>
        <w:t xml:space="preserve">the results suggest </w:t>
      </w:r>
      <w:r w:rsidR="00C83723" w:rsidRPr="00AF6F19">
        <w:rPr>
          <w:b w:val="0"/>
          <w:lang w:val="en-GB"/>
        </w:rPr>
        <w:t xml:space="preserve">offering incentives which </w:t>
      </w:r>
      <w:r w:rsidR="007241EE" w:rsidRPr="00AF6F19">
        <w:rPr>
          <w:b w:val="0"/>
          <w:lang w:val="en-GB"/>
        </w:rPr>
        <w:t>utilise intrinsic motivation</w:t>
      </w:r>
      <w:r w:rsidR="00AF6F19">
        <w:rPr>
          <w:b w:val="0"/>
          <w:lang w:val="en-GB"/>
        </w:rPr>
        <w:t xml:space="preserve"> </w:t>
      </w:r>
      <w:r w:rsidR="007241EE" w:rsidRPr="00AF6F19">
        <w:rPr>
          <w:b w:val="0"/>
          <w:lang w:val="en-GB"/>
        </w:rPr>
        <w:t xml:space="preserve">may be more important than offering </w:t>
      </w:r>
      <w:r w:rsidR="00932041" w:rsidRPr="00AF6F19">
        <w:rPr>
          <w:b w:val="0"/>
          <w:lang w:val="en-GB"/>
        </w:rPr>
        <w:t xml:space="preserve">extrinsic motivators such as funding. </w:t>
      </w:r>
    </w:p>
    <w:p w14:paraId="1D56FBE1" w14:textId="0766F9D0" w:rsidR="002F1406" w:rsidRPr="0054577C" w:rsidRDefault="002F1406" w:rsidP="002F1406">
      <w:pPr>
        <w:pStyle w:val="MDPI21heading1"/>
        <w:rPr>
          <w:bCs/>
          <w:lang w:val="en-GB"/>
        </w:rPr>
      </w:pPr>
      <w:r w:rsidRPr="0054577C">
        <w:rPr>
          <w:bCs/>
          <w:lang w:val="en-GB"/>
        </w:rPr>
        <w:t xml:space="preserve">Table </w:t>
      </w:r>
      <w:r w:rsidR="00557FF3" w:rsidRPr="0054577C">
        <w:rPr>
          <w:bCs/>
          <w:lang w:val="en-GB"/>
        </w:rPr>
        <w:t>3</w:t>
      </w:r>
      <w:r w:rsidRPr="0054577C">
        <w:rPr>
          <w:bCs/>
          <w:lang w:val="en-GB"/>
        </w:rPr>
        <w:t xml:space="preserve">. </w:t>
      </w:r>
      <w:r w:rsidRPr="0054577C">
        <w:rPr>
          <w:b w:val="0"/>
          <w:lang w:val="en-GB"/>
        </w:rPr>
        <w:t>Components which reached consensus in round two</w:t>
      </w:r>
    </w:p>
    <w:tbl>
      <w:tblPr>
        <w:tblW w:w="7997" w:type="dxa"/>
        <w:tblInd w:w="2635" w:type="dxa"/>
        <w:tblBorders>
          <w:top w:val="single" w:sz="8" w:space="0" w:color="auto"/>
          <w:bottom w:val="single" w:sz="8" w:space="0" w:color="auto"/>
        </w:tblBorders>
        <w:tblLayout w:type="fixed"/>
        <w:tblCellMar>
          <w:left w:w="0" w:type="dxa"/>
          <w:right w:w="0" w:type="dxa"/>
        </w:tblCellMar>
        <w:tblLook w:val="04A0" w:firstRow="1" w:lastRow="0" w:firstColumn="1" w:lastColumn="0" w:noHBand="0" w:noVBand="1"/>
      </w:tblPr>
      <w:tblGrid>
        <w:gridCol w:w="3886"/>
        <w:gridCol w:w="4111"/>
      </w:tblGrid>
      <w:tr w:rsidR="00172C53" w:rsidRPr="0054577C" w14:paraId="317B79E5" w14:textId="77777777" w:rsidTr="00172C53">
        <w:trPr>
          <w:trHeight w:val="332"/>
        </w:trPr>
        <w:tc>
          <w:tcPr>
            <w:tcW w:w="3886" w:type="dxa"/>
            <w:tcBorders>
              <w:bottom w:val="single" w:sz="4" w:space="0" w:color="auto"/>
            </w:tcBorders>
          </w:tcPr>
          <w:p w14:paraId="083E85FE" w14:textId="3AD7FDDD" w:rsidR="00172C53" w:rsidRPr="0054577C" w:rsidRDefault="00172C53" w:rsidP="00172C53">
            <w:pPr>
              <w:pStyle w:val="MDPI42tablebody"/>
              <w:spacing w:line="240" w:lineRule="auto"/>
              <w:rPr>
                <w:b/>
                <w:snapToGrid/>
              </w:rPr>
            </w:pPr>
            <w:r w:rsidRPr="0054577C">
              <w:rPr>
                <w:b/>
                <w:bCs/>
              </w:rPr>
              <w:t xml:space="preserve">Category </w:t>
            </w:r>
          </w:p>
        </w:tc>
        <w:tc>
          <w:tcPr>
            <w:tcW w:w="4111" w:type="dxa"/>
            <w:tcBorders>
              <w:bottom w:val="single" w:sz="4" w:space="0" w:color="auto"/>
            </w:tcBorders>
          </w:tcPr>
          <w:p w14:paraId="61A7295A" w14:textId="0B32CC4C" w:rsidR="00172C53" w:rsidRPr="0054577C" w:rsidRDefault="00172C53" w:rsidP="00172C53">
            <w:pPr>
              <w:pStyle w:val="MDPI42tablebody"/>
              <w:spacing w:line="240" w:lineRule="auto"/>
              <w:rPr>
                <w:b/>
                <w:snapToGrid/>
              </w:rPr>
            </w:pPr>
            <w:r w:rsidRPr="0054577C">
              <w:rPr>
                <w:b/>
                <w:bCs/>
              </w:rPr>
              <w:t>Components which reached consensus (% of sample who agreed that the component/design feature should be included)</w:t>
            </w:r>
          </w:p>
        </w:tc>
      </w:tr>
      <w:tr w:rsidR="00172C53" w:rsidRPr="0054577C" w14:paraId="691F6E5F" w14:textId="77777777" w:rsidTr="00172C53">
        <w:trPr>
          <w:trHeight w:val="332"/>
        </w:trPr>
        <w:tc>
          <w:tcPr>
            <w:tcW w:w="3886" w:type="dxa"/>
          </w:tcPr>
          <w:p w14:paraId="0D39578F" w14:textId="788D0220" w:rsidR="00172C53" w:rsidRPr="0054577C" w:rsidRDefault="00172C53" w:rsidP="00172C53">
            <w:pPr>
              <w:pStyle w:val="MDPI42tablebody"/>
              <w:spacing w:line="240" w:lineRule="auto"/>
            </w:pPr>
            <w:r w:rsidRPr="0054577C">
              <w:t xml:space="preserve">Who the training should target in addition to </w:t>
            </w:r>
            <w:r w:rsidR="007A402E">
              <w:t>visual impairment</w:t>
            </w:r>
            <w:r w:rsidRPr="0054577C">
              <w:t xml:space="preserve"> service professionals</w:t>
            </w:r>
          </w:p>
        </w:tc>
        <w:tc>
          <w:tcPr>
            <w:tcW w:w="4111" w:type="dxa"/>
          </w:tcPr>
          <w:p w14:paraId="1BD03BE2" w14:textId="77777777" w:rsidR="00172C53" w:rsidRPr="0054577C" w:rsidRDefault="00172C53" w:rsidP="00172C53">
            <w:pPr>
              <w:spacing w:after="160" w:line="276" w:lineRule="auto"/>
              <w:jc w:val="center"/>
            </w:pPr>
            <w:r w:rsidRPr="0054577C">
              <w:t>Local physical activity providers (100%)</w:t>
            </w:r>
          </w:p>
          <w:p w14:paraId="468D88DB" w14:textId="54976DC6" w:rsidR="00172C53" w:rsidRPr="0054577C" w:rsidRDefault="007A402E" w:rsidP="00172C53">
            <w:pPr>
              <w:spacing w:after="160" w:line="276" w:lineRule="auto"/>
              <w:jc w:val="center"/>
            </w:pPr>
            <w:r>
              <w:lastRenderedPageBreak/>
              <w:t>Visual impairment</w:t>
            </w:r>
            <w:r w:rsidR="00172C53" w:rsidRPr="0054577C">
              <w:t xml:space="preserve"> service’s volunteers (75%)</w:t>
            </w:r>
          </w:p>
          <w:p w14:paraId="6BE0CB1C" w14:textId="77777777" w:rsidR="00172C53" w:rsidRPr="0054577C" w:rsidRDefault="00172C53" w:rsidP="00172C53">
            <w:pPr>
              <w:pStyle w:val="MDPI42tablebody"/>
              <w:spacing w:line="240" w:lineRule="auto"/>
            </w:pPr>
          </w:p>
        </w:tc>
      </w:tr>
      <w:tr w:rsidR="00172C53" w:rsidRPr="0054577C" w14:paraId="79691148" w14:textId="77777777" w:rsidTr="00172C53">
        <w:trPr>
          <w:trHeight w:val="332"/>
        </w:trPr>
        <w:tc>
          <w:tcPr>
            <w:tcW w:w="3886" w:type="dxa"/>
          </w:tcPr>
          <w:p w14:paraId="18A10A2E" w14:textId="3EC8193E" w:rsidR="00172C53" w:rsidRPr="0054577C" w:rsidRDefault="00172C53" w:rsidP="00172C53">
            <w:pPr>
              <w:pStyle w:val="MDPI42tablebody"/>
              <w:spacing w:line="240" w:lineRule="auto"/>
            </w:pPr>
            <w:r w:rsidRPr="0054577C">
              <w:lastRenderedPageBreak/>
              <w:t xml:space="preserve">Networking </w:t>
            </w:r>
          </w:p>
        </w:tc>
        <w:tc>
          <w:tcPr>
            <w:tcW w:w="4111" w:type="dxa"/>
          </w:tcPr>
          <w:p w14:paraId="76222540" w14:textId="505B315A" w:rsidR="00172C53" w:rsidRPr="0054577C" w:rsidRDefault="00172C53" w:rsidP="00172C53">
            <w:pPr>
              <w:pStyle w:val="MDPI42tablebody"/>
              <w:spacing w:line="240" w:lineRule="auto"/>
            </w:pPr>
            <w:r w:rsidRPr="0054577C">
              <w:t xml:space="preserve">Agreed that a networking session which allowed physical activity providers and </w:t>
            </w:r>
            <w:r w:rsidR="007A402E">
              <w:t xml:space="preserve">visual impairment </w:t>
            </w:r>
            <w:r w:rsidRPr="0054577C">
              <w:t>services to meet should be included (100%)</w:t>
            </w:r>
          </w:p>
          <w:p w14:paraId="75103936" w14:textId="67CE7317" w:rsidR="00172C53" w:rsidRPr="0054577C" w:rsidRDefault="00172C53" w:rsidP="00172C53">
            <w:pPr>
              <w:pStyle w:val="MDPI42tablebody"/>
              <w:spacing w:line="240" w:lineRule="auto"/>
            </w:pPr>
          </w:p>
        </w:tc>
      </w:tr>
      <w:tr w:rsidR="00172C53" w:rsidRPr="0054577C" w14:paraId="67523026" w14:textId="77777777" w:rsidTr="00172C53">
        <w:trPr>
          <w:trHeight w:val="332"/>
        </w:trPr>
        <w:tc>
          <w:tcPr>
            <w:tcW w:w="3886" w:type="dxa"/>
          </w:tcPr>
          <w:p w14:paraId="39705941" w14:textId="570E19D7" w:rsidR="00172C53" w:rsidRPr="0054577C" w:rsidRDefault="00172C53" w:rsidP="00172C53">
            <w:pPr>
              <w:pStyle w:val="MDPI42tablebody"/>
              <w:spacing w:line="240" w:lineRule="auto"/>
            </w:pPr>
            <w:r w:rsidRPr="0054577C">
              <w:t xml:space="preserve">Mode of delivery </w:t>
            </w:r>
          </w:p>
        </w:tc>
        <w:tc>
          <w:tcPr>
            <w:tcW w:w="4111" w:type="dxa"/>
          </w:tcPr>
          <w:p w14:paraId="261CEEC7" w14:textId="4DD6C997" w:rsidR="00172C53" w:rsidRPr="0054577C" w:rsidRDefault="00172C53" w:rsidP="00172C53">
            <w:pPr>
              <w:pStyle w:val="MDPI42tablebody"/>
              <w:spacing w:line="240" w:lineRule="auto"/>
            </w:pPr>
            <w:r w:rsidRPr="0054577C">
              <w:t>Agreed that a networking session should be held both online and in-person (100%)</w:t>
            </w:r>
          </w:p>
        </w:tc>
      </w:tr>
      <w:tr w:rsidR="00172C53" w:rsidRPr="0054577C" w14:paraId="27BD5D7A" w14:textId="77777777" w:rsidTr="00172C53">
        <w:trPr>
          <w:trHeight w:val="332"/>
        </w:trPr>
        <w:tc>
          <w:tcPr>
            <w:tcW w:w="3886" w:type="dxa"/>
          </w:tcPr>
          <w:p w14:paraId="457A7383" w14:textId="77777777" w:rsidR="00172C53" w:rsidRPr="0054577C" w:rsidRDefault="00172C53" w:rsidP="00172C53">
            <w:pPr>
              <w:pStyle w:val="MDPI42tablebody"/>
              <w:spacing w:line="240" w:lineRule="auto"/>
            </w:pPr>
          </w:p>
          <w:p w14:paraId="1531F2D9" w14:textId="77777777" w:rsidR="008C0217" w:rsidRPr="0054577C" w:rsidRDefault="008C0217" w:rsidP="00172C53">
            <w:pPr>
              <w:pStyle w:val="MDPI42tablebody"/>
              <w:spacing w:line="240" w:lineRule="auto"/>
            </w:pPr>
          </w:p>
          <w:p w14:paraId="2A83F19D" w14:textId="77777777" w:rsidR="008C0217" w:rsidRPr="0054577C" w:rsidRDefault="008C0217" w:rsidP="00172C53">
            <w:pPr>
              <w:pStyle w:val="MDPI42tablebody"/>
              <w:spacing w:line="240" w:lineRule="auto"/>
            </w:pPr>
          </w:p>
          <w:p w14:paraId="030A299C" w14:textId="1FB98083" w:rsidR="00172C53" w:rsidRPr="0054577C" w:rsidRDefault="00172C53" w:rsidP="00172C53">
            <w:pPr>
              <w:pStyle w:val="MDPI42tablebody"/>
              <w:spacing w:line="240" w:lineRule="auto"/>
            </w:pPr>
            <w:r w:rsidRPr="0054577C">
              <w:t xml:space="preserve">Additional components which should be included to help people manage physical activity and recover from physical activity  </w:t>
            </w:r>
          </w:p>
        </w:tc>
        <w:tc>
          <w:tcPr>
            <w:tcW w:w="4111" w:type="dxa"/>
          </w:tcPr>
          <w:p w14:paraId="6C26071A" w14:textId="77777777" w:rsidR="00172C53" w:rsidRPr="0054577C" w:rsidRDefault="00172C53" w:rsidP="00172C53">
            <w:pPr>
              <w:spacing w:after="160" w:line="276" w:lineRule="auto"/>
              <w:jc w:val="center"/>
            </w:pPr>
          </w:p>
          <w:p w14:paraId="748106B5" w14:textId="440079ED" w:rsidR="00172C53" w:rsidRPr="0054577C" w:rsidRDefault="00172C53" w:rsidP="00172C53">
            <w:pPr>
              <w:spacing w:after="160" w:line="276" w:lineRule="auto"/>
              <w:jc w:val="center"/>
            </w:pPr>
            <w:r w:rsidRPr="0054577C">
              <w:t>Injury prevention training (83.3%)</w:t>
            </w:r>
          </w:p>
          <w:p w14:paraId="14EB469E" w14:textId="61524B4B" w:rsidR="00172C53" w:rsidRPr="0054577C" w:rsidRDefault="00172C53" w:rsidP="00172C53">
            <w:pPr>
              <w:spacing w:after="160" w:line="276" w:lineRule="auto"/>
              <w:jc w:val="center"/>
            </w:pPr>
            <w:r w:rsidRPr="0054577C">
              <w:t>A wellbeing section e.g. (meditation/relaxation) (83.3%)</w:t>
            </w:r>
          </w:p>
          <w:p w14:paraId="37EB0074" w14:textId="77777777" w:rsidR="00172C53" w:rsidRPr="0054577C" w:rsidRDefault="00172C53" w:rsidP="00172C53">
            <w:pPr>
              <w:pStyle w:val="MDPI42tablebody"/>
              <w:spacing w:line="240" w:lineRule="auto"/>
            </w:pPr>
          </w:p>
        </w:tc>
      </w:tr>
      <w:tr w:rsidR="00172C53" w:rsidRPr="0054577C" w14:paraId="650E2B40" w14:textId="77777777" w:rsidTr="00172C53">
        <w:trPr>
          <w:trHeight w:val="332"/>
        </w:trPr>
        <w:tc>
          <w:tcPr>
            <w:tcW w:w="3886" w:type="dxa"/>
          </w:tcPr>
          <w:p w14:paraId="09744783" w14:textId="6B9E1E79" w:rsidR="00172C53" w:rsidRPr="0054577C" w:rsidRDefault="00172C53" w:rsidP="00172C53">
            <w:pPr>
              <w:pStyle w:val="MDPI42tablebody"/>
              <w:spacing w:line="240" w:lineRule="auto"/>
            </w:pPr>
            <w:r w:rsidRPr="0054577C">
              <w:t xml:space="preserve">Incentives </w:t>
            </w:r>
          </w:p>
        </w:tc>
        <w:tc>
          <w:tcPr>
            <w:tcW w:w="4111" w:type="dxa"/>
          </w:tcPr>
          <w:p w14:paraId="4CE828AF" w14:textId="23CB5277" w:rsidR="00172C53" w:rsidRPr="0054577C" w:rsidRDefault="00172C53" w:rsidP="00172C53">
            <w:pPr>
              <w:spacing w:after="160" w:line="276" w:lineRule="auto"/>
            </w:pPr>
            <w:r w:rsidRPr="0054577C">
              <w:t>Connections with sports organisations e.g.</w:t>
            </w:r>
            <w:r w:rsidR="00557FF3" w:rsidRPr="0054577C">
              <w:t>,</w:t>
            </w:r>
            <w:r w:rsidRPr="0054577C">
              <w:t xml:space="preserve"> local gyms/sports/venues/coaches so that establishing groups is easier (75%) </w:t>
            </w:r>
          </w:p>
        </w:tc>
      </w:tr>
    </w:tbl>
    <w:p w14:paraId="61B789AD" w14:textId="0BB334F0" w:rsidR="00340102" w:rsidRPr="0054577C" w:rsidRDefault="00340102" w:rsidP="00C31917">
      <w:pPr>
        <w:pStyle w:val="MDPI21heading1"/>
        <w:ind w:left="0"/>
      </w:pPr>
    </w:p>
    <w:p w14:paraId="6F3F374F" w14:textId="77777777" w:rsidR="002F662D" w:rsidRPr="0054577C" w:rsidRDefault="002F662D" w:rsidP="002F662D">
      <w:pPr>
        <w:pStyle w:val="MDPI21heading1"/>
      </w:pPr>
      <w:r w:rsidRPr="0054577C">
        <w:t>4. Discussion</w:t>
      </w:r>
    </w:p>
    <w:p w14:paraId="6067C644" w14:textId="43776534" w:rsidR="00C31917" w:rsidRPr="0054577C" w:rsidRDefault="00C31917" w:rsidP="00C31917">
      <w:pPr>
        <w:pStyle w:val="MDPI21heading1"/>
        <w:ind w:firstLine="452"/>
        <w:rPr>
          <w:b w:val="0"/>
          <w:bCs/>
          <w:lang w:val="en-GB"/>
        </w:rPr>
      </w:pPr>
      <w:r w:rsidRPr="0054577C">
        <w:rPr>
          <w:b w:val="0"/>
          <w:bCs/>
          <w:lang w:val="en-GB"/>
        </w:rPr>
        <w:t>The aim of this Delphi study was to reach expert consensus on design elements and training program components, which could inform the development of training to help</w:t>
      </w:r>
      <w:r w:rsidR="00BA71C5">
        <w:rPr>
          <w:b w:val="0"/>
          <w:bCs/>
          <w:lang w:val="en-GB"/>
        </w:rPr>
        <w:t xml:space="preserve"> professionals in</w:t>
      </w:r>
      <w:r w:rsidRPr="0054577C">
        <w:rPr>
          <w:b w:val="0"/>
          <w:bCs/>
          <w:lang w:val="en-GB"/>
        </w:rPr>
        <w:t xml:space="preserve"> </w:t>
      </w:r>
      <w:r w:rsidR="00F57429">
        <w:rPr>
          <w:b w:val="0"/>
          <w:bCs/>
          <w:lang w:val="en-GB"/>
        </w:rPr>
        <w:t>visual impairment</w:t>
      </w:r>
      <w:r w:rsidRPr="0054577C">
        <w:rPr>
          <w:b w:val="0"/>
          <w:bCs/>
          <w:lang w:val="en-GB"/>
        </w:rPr>
        <w:t xml:space="preserve"> service</w:t>
      </w:r>
      <w:r w:rsidR="00BA71C5">
        <w:rPr>
          <w:b w:val="0"/>
          <w:bCs/>
          <w:lang w:val="en-GB"/>
        </w:rPr>
        <w:t>s</w:t>
      </w:r>
      <w:r w:rsidRPr="0054577C">
        <w:rPr>
          <w:b w:val="0"/>
          <w:bCs/>
          <w:lang w:val="en-GB"/>
        </w:rPr>
        <w:t xml:space="preserve"> </w:t>
      </w:r>
      <w:r w:rsidR="00BA71C5">
        <w:rPr>
          <w:b w:val="0"/>
          <w:bCs/>
          <w:lang w:val="en-GB"/>
        </w:rPr>
        <w:t xml:space="preserve">to </w:t>
      </w:r>
      <w:r w:rsidRPr="0054577C">
        <w:rPr>
          <w:b w:val="0"/>
          <w:bCs/>
          <w:lang w:val="en-GB"/>
        </w:rPr>
        <w:t>promote PA. Based on the consensus</w:t>
      </w:r>
      <w:r w:rsidR="00B9464B">
        <w:rPr>
          <w:b w:val="0"/>
          <w:bCs/>
          <w:lang w:val="en-GB"/>
        </w:rPr>
        <w:t xml:space="preserve"> reached in the Delphi,</w:t>
      </w:r>
      <w:r w:rsidRPr="0054577C">
        <w:rPr>
          <w:b w:val="0"/>
          <w:bCs/>
          <w:lang w:val="en-GB"/>
        </w:rPr>
        <w:t xml:space="preserve"> </w:t>
      </w:r>
      <w:r w:rsidR="00B9464B">
        <w:rPr>
          <w:b w:val="0"/>
          <w:bCs/>
          <w:lang w:val="en-GB"/>
        </w:rPr>
        <w:t>several</w:t>
      </w:r>
      <w:r w:rsidRPr="0054577C">
        <w:rPr>
          <w:b w:val="0"/>
          <w:bCs/>
          <w:lang w:val="en-GB"/>
        </w:rPr>
        <w:t xml:space="preserve"> recommendations can be made</w:t>
      </w:r>
      <w:r w:rsidR="00B9464B">
        <w:rPr>
          <w:b w:val="0"/>
          <w:bCs/>
          <w:lang w:val="en-GB"/>
        </w:rPr>
        <w:t>. F</w:t>
      </w:r>
      <w:r w:rsidRPr="0054577C">
        <w:rPr>
          <w:b w:val="0"/>
          <w:bCs/>
          <w:lang w:val="en-GB"/>
        </w:rPr>
        <w:t xml:space="preserve">irstly, training should target a broader remit of people to enable training to be effective, including local PA providers and </w:t>
      </w:r>
      <w:r w:rsidR="00F57429">
        <w:rPr>
          <w:b w:val="0"/>
          <w:bCs/>
          <w:lang w:val="en-GB"/>
        </w:rPr>
        <w:t>visual impairment</w:t>
      </w:r>
      <w:r w:rsidRPr="0054577C">
        <w:rPr>
          <w:b w:val="0"/>
          <w:bCs/>
          <w:lang w:val="en-GB"/>
        </w:rPr>
        <w:t xml:space="preserve"> service volunteers. In addition, a networking session which allows </w:t>
      </w:r>
      <w:r w:rsidR="00F57429">
        <w:rPr>
          <w:b w:val="0"/>
          <w:bCs/>
          <w:lang w:val="en-GB"/>
        </w:rPr>
        <w:t>visual impairment</w:t>
      </w:r>
      <w:r w:rsidRPr="0054577C">
        <w:rPr>
          <w:b w:val="0"/>
          <w:bCs/>
          <w:lang w:val="en-GB"/>
        </w:rPr>
        <w:t xml:space="preserve"> services and local PA providers to meet should be part of the training. Both training and the networking session should be delivered online and in-person. The components which should be </w:t>
      </w:r>
      <w:r w:rsidR="00E265C6">
        <w:rPr>
          <w:b w:val="0"/>
          <w:bCs/>
          <w:lang w:val="en-GB"/>
        </w:rPr>
        <w:t>prioritised</w:t>
      </w:r>
      <w:r w:rsidR="00E265C6" w:rsidRPr="0054577C">
        <w:rPr>
          <w:b w:val="0"/>
          <w:bCs/>
          <w:lang w:val="en-GB"/>
        </w:rPr>
        <w:t xml:space="preserve"> </w:t>
      </w:r>
      <w:r w:rsidRPr="0054577C">
        <w:rPr>
          <w:b w:val="0"/>
          <w:bCs/>
          <w:lang w:val="en-GB"/>
        </w:rPr>
        <w:t xml:space="preserve">in the training </w:t>
      </w:r>
      <w:r w:rsidR="009A26CA" w:rsidRPr="0054577C">
        <w:rPr>
          <w:b w:val="0"/>
          <w:bCs/>
          <w:lang w:val="en-GB"/>
        </w:rPr>
        <w:t>include</w:t>
      </w:r>
      <w:r w:rsidRPr="0054577C">
        <w:rPr>
          <w:b w:val="0"/>
          <w:bCs/>
          <w:lang w:val="en-GB"/>
        </w:rPr>
        <w:t xml:space="preserve"> educating professionals about the benefits of PA, addressing common myths associated with PA, showing people how to find local PA opportunities, injury prevention training, education about wellbeing e.g.</w:t>
      </w:r>
      <w:r w:rsidR="009A26CA" w:rsidRPr="0054577C">
        <w:rPr>
          <w:b w:val="0"/>
          <w:bCs/>
          <w:lang w:val="en-GB"/>
        </w:rPr>
        <w:t>,</w:t>
      </w:r>
      <w:r w:rsidRPr="0054577C">
        <w:rPr>
          <w:b w:val="0"/>
          <w:bCs/>
          <w:lang w:val="en-GB"/>
        </w:rPr>
        <w:t xml:space="preserve"> meditation/relaxation and addressing health and safety concerns about PA. To incentivise people to attend, the training should advertise that </w:t>
      </w:r>
      <w:r w:rsidR="006164F6" w:rsidRPr="0054577C">
        <w:rPr>
          <w:b w:val="0"/>
          <w:bCs/>
          <w:lang w:val="en-GB"/>
        </w:rPr>
        <w:t>participating</w:t>
      </w:r>
      <w:r w:rsidR="00CE475E" w:rsidRPr="0054577C">
        <w:rPr>
          <w:b w:val="0"/>
          <w:bCs/>
          <w:lang w:val="en-GB"/>
        </w:rPr>
        <w:t xml:space="preserve"> </w:t>
      </w:r>
      <w:r w:rsidRPr="0054577C">
        <w:rPr>
          <w:b w:val="0"/>
          <w:bCs/>
          <w:lang w:val="en-GB"/>
        </w:rPr>
        <w:t>will help them to build connections with PA organisations e.g.</w:t>
      </w:r>
      <w:r w:rsidR="009A26CA" w:rsidRPr="0054577C">
        <w:rPr>
          <w:b w:val="0"/>
          <w:bCs/>
          <w:lang w:val="en-GB"/>
        </w:rPr>
        <w:t>,</w:t>
      </w:r>
      <w:r w:rsidRPr="0054577C">
        <w:rPr>
          <w:b w:val="0"/>
          <w:bCs/>
          <w:lang w:val="en-GB"/>
        </w:rPr>
        <w:t xml:space="preserve"> local gyms/sports/venues/coaches so that establishing PA groups for people with </w:t>
      </w:r>
      <w:r w:rsidR="00F57429">
        <w:rPr>
          <w:b w:val="0"/>
          <w:bCs/>
          <w:lang w:val="en-GB"/>
        </w:rPr>
        <w:t>visual impairment</w:t>
      </w:r>
      <w:r w:rsidRPr="0054577C">
        <w:rPr>
          <w:b w:val="0"/>
          <w:bCs/>
          <w:lang w:val="en-GB"/>
        </w:rPr>
        <w:t xml:space="preserve"> is easier for them. To encourage sustained behaviour</w:t>
      </w:r>
      <w:r w:rsidR="009A26CA" w:rsidRPr="0054577C">
        <w:rPr>
          <w:b w:val="0"/>
          <w:bCs/>
          <w:lang w:val="en-GB"/>
        </w:rPr>
        <w:t xml:space="preserve"> </w:t>
      </w:r>
      <w:r w:rsidRPr="0054577C">
        <w:rPr>
          <w:b w:val="0"/>
          <w:bCs/>
          <w:lang w:val="en-GB"/>
        </w:rPr>
        <w:t>change post training, the training should encourage attendees to share examples of good practice, which can be shared on social media and in newsletters.</w:t>
      </w:r>
    </w:p>
    <w:p w14:paraId="082E1937" w14:textId="56725069" w:rsidR="00C31917" w:rsidRPr="0054577C" w:rsidRDefault="00C31917" w:rsidP="00C31917">
      <w:pPr>
        <w:pStyle w:val="MDPI21heading1"/>
        <w:rPr>
          <w:b w:val="0"/>
          <w:bCs/>
          <w:lang w:val="en-GB"/>
        </w:rPr>
      </w:pPr>
      <w:r w:rsidRPr="0054577C">
        <w:rPr>
          <w:b w:val="0"/>
          <w:bCs/>
          <w:lang w:val="en-GB"/>
        </w:rPr>
        <w:tab/>
        <w:t xml:space="preserve">The findings of the present study highlight the importance of developing relationships between </w:t>
      </w:r>
      <w:r w:rsidR="00F57429">
        <w:rPr>
          <w:b w:val="0"/>
          <w:bCs/>
          <w:lang w:val="en-GB"/>
        </w:rPr>
        <w:t>visual impairment</w:t>
      </w:r>
      <w:r w:rsidRPr="0054577C">
        <w:rPr>
          <w:b w:val="0"/>
          <w:bCs/>
          <w:lang w:val="en-GB"/>
        </w:rPr>
        <w:t xml:space="preserve"> services and PA providers. Organising workshops and training which promote cross-sector collaboration has also been identified as a facilitator for social prescribing initiatives</w:t>
      </w:r>
      <w:bookmarkStart w:id="6" w:name="_Ref118358856"/>
      <w:r w:rsidR="00CE475E" w:rsidRPr="0054577C">
        <w:rPr>
          <w:b w:val="0"/>
          <w:bCs/>
          <w:lang w:val="en-GB"/>
        </w:rPr>
        <w:t xml:space="preserve"> [</w:t>
      </w:r>
      <w:r w:rsidR="00293385">
        <w:rPr>
          <w:b w:val="0"/>
          <w:bCs/>
          <w:lang w:val="en-GB"/>
        </w:rPr>
        <w:t>2</w:t>
      </w:r>
      <w:r w:rsidR="00B07699">
        <w:rPr>
          <w:b w:val="0"/>
          <w:bCs/>
          <w:lang w:val="en-GB"/>
        </w:rPr>
        <w:t>5</w:t>
      </w:r>
      <w:r w:rsidR="00CE475E" w:rsidRPr="0054577C">
        <w:rPr>
          <w:b w:val="0"/>
          <w:bCs/>
          <w:lang w:val="en-GB"/>
        </w:rPr>
        <w:t>]</w:t>
      </w:r>
      <w:bookmarkEnd w:id="6"/>
      <w:r w:rsidRPr="0054577C">
        <w:rPr>
          <w:b w:val="0"/>
          <w:bCs/>
          <w:lang w:val="en-GB"/>
        </w:rPr>
        <w:t xml:space="preserve">. Previous literature suggests that to develop positive relationships between sectors, networking and training sessions should aim to: create shared understanding and attitudes across different sectors, share best practice, </w:t>
      </w:r>
      <w:r w:rsidRPr="0054577C">
        <w:rPr>
          <w:b w:val="0"/>
          <w:bCs/>
          <w:lang w:val="en-GB"/>
        </w:rPr>
        <w:lastRenderedPageBreak/>
        <w:t>discuss processes, react to challenges, facilitate feedback between sectors, establish effective communications, establish how the sectors will be managed and led, and agree steps to implementation</w:t>
      </w:r>
      <w:r w:rsidR="0054435E" w:rsidRPr="0054577C">
        <w:rPr>
          <w:b w:val="0"/>
          <w:bCs/>
          <w:lang w:val="en-GB"/>
        </w:rPr>
        <w:t xml:space="preserve"> [</w:t>
      </w:r>
      <w:r w:rsidR="00AA3A95">
        <w:rPr>
          <w:b w:val="0"/>
          <w:bCs/>
          <w:lang w:val="en-GB"/>
        </w:rPr>
        <w:t>2</w:t>
      </w:r>
      <w:r w:rsidR="00B07699">
        <w:rPr>
          <w:b w:val="0"/>
          <w:bCs/>
          <w:lang w:val="en-GB"/>
        </w:rPr>
        <w:t>6</w:t>
      </w:r>
      <w:r w:rsidR="00E121E6" w:rsidRPr="0054577C">
        <w:rPr>
          <w:b w:val="0"/>
          <w:bCs/>
          <w:lang w:val="en-GB"/>
        </w:rPr>
        <w:t>]</w:t>
      </w:r>
      <w:r w:rsidRPr="0054577C">
        <w:rPr>
          <w:b w:val="0"/>
          <w:bCs/>
          <w:lang w:val="en-GB"/>
        </w:rPr>
        <w:t xml:space="preserve">. In summary, the training and networking session will need to be carefully managed to ensure that different sectors understand their responsibilities when working together, and the processes required to work together effectively. </w:t>
      </w:r>
    </w:p>
    <w:p w14:paraId="6B8A05C8" w14:textId="70AEF5A9" w:rsidR="00C31917" w:rsidRPr="0054577C" w:rsidRDefault="00C31917" w:rsidP="00C31917">
      <w:pPr>
        <w:pStyle w:val="MDPI21heading1"/>
        <w:ind w:firstLine="452"/>
        <w:rPr>
          <w:b w:val="0"/>
          <w:bCs/>
          <w:lang w:val="en-GB"/>
        </w:rPr>
      </w:pPr>
      <w:r w:rsidRPr="0054577C">
        <w:rPr>
          <w:b w:val="0"/>
          <w:bCs/>
          <w:lang w:val="en-GB"/>
        </w:rPr>
        <w:t>Experts also agreed that training and networking should be available both in-person and online. Providing in-person and online training could provide benefits for potential attendees. Firstly, offering training online may make the training accessible to people for whom travel to a venue is a barrier. In addition, training delivered online could be recorded which will allow people who are not able to attend in real time to learn from the training. On the other hand, offering training in person may also encourage attendees for whom technology is a barrier to accessing training</w:t>
      </w:r>
      <w:r w:rsidR="0054435E" w:rsidRPr="0054577C">
        <w:rPr>
          <w:b w:val="0"/>
          <w:bCs/>
          <w:lang w:val="en-GB"/>
        </w:rPr>
        <w:t xml:space="preserve"> [</w:t>
      </w:r>
      <w:r w:rsidR="00F8296B">
        <w:rPr>
          <w:b w:val="0"/>
          <w:bCs/>
          <w:lang w:val="en-GB"/>
        </w:rPr>
        <w:t>2</w:t>
      </w:r>
      <w:r w:rsidR="0054435E" w:rsidRPr="0054577C">
        <w:rPr>
          <w:b w:val="0"/>
          <w:bCs/>
          <w:lang w:val="en-GB"/>
        </w:rPr>
        <w:t>6]</w:t>
      </w:r>
      <w:r w:rsidRPr="0054577C">
        <w:rPr>
          <w:b w:val="0"/>
          <w:bCs/>
          <w:lang w:val="en-GB"/>
        </w:rPr>
        <w:t>. Previous studies have reported that blended learning may also improve knowledge compared to in-person only teaching</w:t>
      </w:r>
      <w:r w:rsidR="0054435E" w:rsidRPr="0054577C">
        <w:rPr>
          <w:b w:val="0"/>
          <w:bCs/>
          <w:lang w:val="en-GB"/>
        </w:rPr>
        <w:t xml:space="preserve"> [</w:t>
      </w:r>
      <w:r w:rsidR="00CE67FD">
        <w:rPr>
          <w:b w:val="0"/>
          <w:bCs/>
          <w:lang w:val="en-GB"/>
        </w:rPr>
        <w:t>2</w:t>
      </w:r>
      <w:r w:rsidR="00B07699">
        <w:rPr>
          <w:b w:val="0"/>
          <w:bCs/>
          <w:lang w:val="en-GB"/>
        </w:rPr>
        <w:t>8</w:t>
      </w:r>
      <w:r w:rsidR="0054435E" w:rsidRPr="0054577C">
        <w:rPr>
          <w:b w:val="0"/>
          <w:bCs/>
          <w:lang w:val="en-GB"/>
        </w:rPr>
        <w:t>-</w:t>
      </w:r>
      <w:r w:rsidR="00B07699">
        <w:rPr>
          <w:b w:val="0"/>
          <w:bCs/>
          <w:lang w:val="en-GB"/>
        </w:rPr>
        <w:t>30</w:t>
      </w:r>
      <w:r w:rsidR="00E121E6" w:rsidRPr="0054577C">
        <w:rPr>
          <w:b w:val="0"/>
          <w:bCs/>
          <w:lang w:val="en-GB"/>
        </w:rPr>
        <w:t>]</w:t>
      </w:r>
      <w:r w:rsidRPr="0054577C">
        <w:rPr>
          <w:b w:val="0"/>
          <w:bCs/>
          <w:lang w:val="en-GB"/>
        </w:rPr>
        <w:t>, thus offering people content online and in-person may also improve training outcomes. However, it is important training and networking delivered online and in-person incorporates elements which encourage interaction</w:t>
      </w:r>
      <w:r w:rsidR="009A26CA" w:rsidRPr="0054577C">
        <w:rPr>
          <w:b w:val="0"/>
          <w:bCs/>
          <w:lang w:val="en-GB"/>
        </w:rPr>
        <w:t xml:space="preserve"> amongst</w:t>
      </w:r>
      <w:r w:rsidRPr="0054577C">
        <w:rPr>
          <w:b w:val="0"/>
          <w:bCs/>
          <w:lang w:val="en-GB"/>
        </w:rPr>
        <w:t xml:space="preserve"> people engaging with the training online and in-person. Furthermore, it is important that the individual delivering the training or networking session focuses on including people who have attended online, to ensure they receive the same experience as those who have attended in-person</w:t>
      </w:r>
      <w:r w:rsidR="0054435E" w:rsidRPr="0054577C">
        <w:rPr>
          <w:b w:val="0"/>
          <w:bCs/>
          <w:lang w:val="en-GB"/>
        </w:rPr>
        <w:t xml:space="preserve"> [</w:t>
      </w:r>
      <w:r w:rsidR="00C60421">
        <w:rPr>
          <w:b w:val="0"/>
          <w:bCs/>
          <w:lang w:val="en-GB"/>
        </w:rPr>
        <w:t>3</w:t>
      </w:r>
      <w:r w:rsidR="00B07699">
        <w:rPr>
          <w:b w:val="0"/>
          <w:bCs/>
          <w:lang w:val="en-GB"/>
        </w:rPr>
        <w:t>1</w:t>
      </w:r>
      <w:r w:rsidR="0054435E" w:rsidRPr="0054577C">
        <w:rPr>
          <w:b w:val="0"/>
          <w:bCs/>
          <w:lang w:val="en-GB"/>
        </w:rPr>
        <w:t>]</w:t>
      </w:r>
      <w:r w:rsidRPr="0054577C">
        <w:rPr>
          <w:b w:val="0"/>
          <w:bCs/>
          <w:lang w:val="en-GB"/>
        </w:rPr>
        <w:t xml:space="preserve">. Overall, providing training and networking in-person and online could improve training accessibility and outcomes, however the contents and delivery needs to be tailored to allow all attendees to benefit equally. </w:t>
      </w:r>
    </w:p>
    <w:p w14:paraId="290CA957" w14:textId="6474EC8C" w:rsidR="00C31917" w:rsidRPr="0054577C" w:rsidRDefault="00C31917" w:rsidP="00C31917">
      <w:pPr>
        <w:pStyle w:val="MDPI21heading1"/>
        <w:ind w:firstLine="452"/>
        <w:rPr>
          <w:b w:val="0"/>
          <w:bCs/>
          <w:lang w:val="en-GB"/>
        </w:rPr>
      </w:pPr>
      <w:r w:rsidRPr="0054577C">
        <w:rPr>
          <w:b w:val="0"/>
          <w:bCs/>
          <w:lang w:val="en-GB"/>
        </w:rPr>
        <w:t xml:space="preserve">The Delphi also identified that the training should include components which address health and safety concerns and provide advice on injury prevention. It is important that concerns about the safety of sport for people with </w:t>
      </w:r>
      <w:r w:rsidR="00F57429">
        <w:rPr>
          <w:b w:val="0"/>
          <w:bCs/>
          <w:lang w:val="en-GB"/>
        </w:rPr>
        <w:t xml:space="preserve">visual impairment is </w:t>
      </w:r>
      <w:r w:rsidRPr="0054577C">
        <w:rPr>
          <w:b w:val="0"/>
          <w:bCs/>
          <w:lang w:val="en-GB"/>
        </w:rPr>
        <w:t>not a barrier to participation. Therefore, these components should aim to reassure people that the benefits of PA outweigh the risks of being inactive</w:t>
      </w:r>
      <w:r w:rsidR="0054435E" w:rsidRPr="0054577C">
        <w:rPr>
          <w:b w:val="0"/>
          <w:bCs/>
          <w:lang w:val="en-GB"/>
        </w:rPr>
        <w:t xml:space="preserve"> [</w:t>
      </w:r>
      <w:r w:rsidR="00B70C41">
        <w:rPr>
          <w:b w:val="0"/>
          <w:bCs/>
          <w:lang w:val="en-GB"/>
        </w:rPr>
        <w:t>3</w:t>
      </w:r>
      <w:r w:rsidR="00B07699">
        <w:rPr>
          <w:b w:val="0"/>
          <w:bCs/>
          <w:lang w:val="en-GB"/>
        </w:rPr>
        <w:t>2</w:t>
      </w:r>
      <w:r w:rsidR="0054435E" w:rsidRPr="0054577C">
        <w:rPr>
          <w:b w:val="0"/>
          <w:bCs/>
          <w:lang w:val="en-GB"/>
        </w:rPr>
        <w:t>]</w:t>
      </w:r>
      <w:r w:rsidRPr="0054577C">
        <w:rPr>
          <w:b w:val="0"/>
          <w:bCs/>
          <w:lang w:val="en-GB"/>
        </w:rPr>
        <w:t xml:space="preserve">, rather than compounding the safety concerns attendees of the training may already have. For example, people with </w:t>
      </w:r>
      <w:r w:rsidR="00F57429">
        <w:rPr>
          <w:b w:val="0"/>
          <w:bCs/>
          <w:lang w:val="en-GB"/>
        </w:rPr>
        <w:t>visual impairment</w:t>
      </w:r>
      <w:r w:rsidRPr="0054577C">
        <w:rPr>
          <w:b w:val="0"/>
          <w:bCs/>
          <w:lang w:val="en-GB"/>
        </w:rPr>
        <w:t xml:space="preserve"> have a higher risk of falling than sighted populations</w:t>
      </w:r>
      <w:r w:rsidR="0054435E" w:rsidRPr="0054577C">
        <w:rPr>
          <w:b w:val="0"/>
          <w:bCs/>
          <w:lang w:val="en-GB"/>
        </w:rPr>
        <w:t xml:space="preserve"> [</w:t>
      </w:r>
      <w:r w:rsidR="00B70C41">
        <w:rPr>
          <w:b w:val="0"/>
          <w:bCs/>
          <w:lang w:val="en-GB"/>
        </w:rPr>
        <w:t>3</w:t>
      </w:r>
      <w:r w:rsidR="00B07699">
        <w:rPr>
          <w:b w:val="0"/>
          <w:bCs/>
          <w:lang w:val="en-GB"/>
        </w:rPr>
        <w:t>3</w:t>
      </w:r>
      <w:r w:rsidR="0054435E" w:rsidRPr="0054577C">
        <w:rPr>
          <w:b w:val="0"/>
          <w:bCs/>
          <w:lang w:val="en-GB"/>
        </w:rPr>
        <w:t>]</w:t>
      </w:r>
      <w:r w:rsidRPr="0054577C">
        <w:rPr>
          <w:b w:val="0"/>
          <w:bCs/>
          <w:lang w:val="en-GB"/>
        </w:rPr>
        <w:t>, therefore training should highlight the importance of reducing environmental and personal trip hazards. However, training should also emphasise that PA can be a mechanism which reduces the risk of falling, as PA can improve visual cognition</w:t>
      </w:r>
      <w:r w:rsidR="0054435E" w:rsidRPr="0054577C">
        <w:rPr>
          <w:b w:val="0"/>
          <w:bCs/>
          <w:lang w:val="en-GB"/>
        </w:rPr>
        <w:t xml:space="preserve"> [</w:t>
      </w:r>
      <w:r w:rsidR="00B70C41">
        <w:rPr>
          <w:b w:val="0"/>
          <w:bCs/>
          <w:lang w:val="en-GB"/>
        </w:rPr>
        <w:t>3</w:t>
      </w:r>
      <w:r w:rsidR="00B07699">
        <w:rPr>
          <w:b w:val="0"/>
          <w:bCs/>
          <w:lang w:val="en-GB"/>
        </w:rPr>
        <w:t>4</w:t>
      </w:r>
      <w:r w:rsidR="0054435E" w:rsidRPr="0054577C">
        <w:rPr>
          <w:b w:val="0"/>
          <w:bCs/>
          <w:lang w:val="en-GB"/>
        </w:rPr>
        <w:t>]</w:t>
      </w:r>
      <w:r w:rsidRPr="0054577C">
        <w:rPr>
          <w:b w:val="0"/>
          <w:bCs/>
          <w:lang w:val="en-GB"/>
        </w:rPr>
        <w:t xml:space="preserve"> and balance</w:t>
      </w:r>
      <w:r w:rsidR="0054435E" w:rsidRPr="0054577C">
        <w:rPr>
          <w:b w:val="0"/>
          <w:bCs/>
          <w:lang w:val="en-GB"/>
        </w:rPr>
        <w:t xml:space="preserve"> [</w:t>
      </w:r>
      <w:r w:rsidR="00BF1186">
        <w:rPr>
          <w:b w:val="0"/>
          <w:bCs/>
          <w:lang w:val="en-GB"/>
        </w:rPr>
        <w:t>3</w:t>
      </w:r>
      <w:r w:rsidR="00B07699">
        <w:rPr>
          <w:b w:val="0"/>
          <w:bCs/>
          <w:lang w:val="en-GB"/>
        </w:rPr>
        <w:t>5</w:t>
      </w:r>
      <w:r w:rsidR="0054435E" w:rsidRPr="0054577C">
        <w:rPr>
          <w:b w:val="0"/>
          <w:bCs/>
          <w:lang w:val="en-GB"/>
        </w:rPr>
        <w:t>,</w:t>
      </w:r>
      <w:r w:rsidR="00BF1186">
        <w:rPr>
          <w:b w:val="0"/>
          <w:bCs/>
          <w:lang w:val="en-GB"/>
        </w:rPr>
        <w:t>3</w:t>
      </w:r>
      <w:r w:rsidR="00B07699">
        <w:rPr>
          <w:b w:val="0"/>
          <w:bCs/>
          <w:lang w:val="en-GB"/>
        </w:rPr>
        <w:t>6</w:t>
      </w:r>
      <w:r w:rsidR="0054435E" w:rsidRPr="0054577C">
        <w:rPr>
          <w:b w:val="0"/>
          <w:bCs/>
          <w:lang w:val="en-GB"/>
        </w:rPr>
        <w:t>]</w:t>
      </w:r>
      <w:r w:rsidRPr="0054577C">
        <w:rPr>
          <w:b w:val="0"/>
          <w:bCs/>
          <w:lang w:val="en-GB"/>
        </w:rPr>
        <w:t>. Furthermore, strength training can reduce sports injuries to less than one third</w:t>
      </w:r>
      <w:r w:rsidR="0054435E" w:rsidRPr="0054577C">
        <w:rPr>
          <w:b w:val="0"/>
          <w:bCs/>
          <w:lang w:val="en-GB"/>
        </w:rPr>
        <w:t xml:space="preserve"> [</w:t>
      </w:r>
      <w:r w:rsidR="00B8688B">
        <w:rPr>
          <w:b w:val="0"/>
          <w:bCs/>
          <w:lang w:val="en-GB"/>
        </w:rPr>
        <w:t>3</w:t>
      </w:r>
      <w:r w:rsidR="00B07699">
        <w:rPr>
          <w:b w:val="0"/>
          <w:bCs/>
          <w:lang w:val="en-GB"/>
        </w:rPr>
        <w:t>7</w:t>
      </w:r>
      <w:r w:rsidR="0054435E" w:rsidRPr="0054577C">
        <w:rPr>
          <w:b w:val="0"/>
          <w:bCs/>
          <w:lang w:val="en-GB"/>
        </w:rPr>
        <w:t>]</w:t>
      </w:r>
      <w:r w:rsidRPr="0054577C">
        <w:rPr>
          <w:b w:val="0"/>
          <w:bCs/>
          <w:lang w:val="en-GB"/>
        </w:rPr>
        <w:t xml:space="preserve">, therefore the training should encourage attendees to promote strength training as part of PA promotion.  In summary, it is important that training helps attendees to minimise the risk of PA for people with </w:t>
      </w:r>
      <w:r w:rsidR="00F57429">
        <w:rPr>
          <w:b w:val="0"/>
          <w:bCs/>
          <w:lang w:val="en-GB"/>
        </w:rPr>
        <w:t>visual impairment</w:t>
      </w:r>
      <w:r w:rsidR="009A26CA" w:rsidRPr="0054577C">
        <w:rPr>
          <w:b w:val="0"/>
          <w:bCs/>
          <w:lang w:val="en-GB"/>
        </w:rPr>
        <w:t xml:space="preserve"> and</w:t>
      </w:r>
      <w:r w:rsidRPr="0054577C">
        <w:rPr>
          <w:b w:val="0"/>
          <w:bCs/>
          <w:lang w:val="en-GB"/>
        </w:rPr>
        <w:t xml:space="preserve"> reassures attendees that PA can be beneficial and safe for people with </w:t>
      </w:r>
      <w:r w:rsidR="00F57429">
        <w:rPr>
          <w:b w:val="0"/>
          <w:bCs/>
          <w:lang w:val="en-GB"/>
        </w:rPr>
        <w:t>visual impairment</w:t>
      </w:r>
      <w:r w:rsidRPr="0054577C">
        <w:rPr>
          <w:b w:val="0"/>
          <w:bCs/>
          <w:lang w:val="en-GB"/>
        </w:rPr>
        <w:t xml:space="preserve">. </w:t>
      </w:r>
    </w:p>
    <w:p w14:paraId="65C946CB" w14:textId="74A3AD05" w:rsidR="00C31917" w:rsidRPr="0054577C" w:rsidRDefault="00C31917" w:rsidP="00C31917">
      <w:pPr>
        <w:pStyle w:val="MDPI21heading1"/>
        <w:rPr>
          <w:b w:val="0"/>
          <w:bCs/>
          <w:lang w:val="en-GB"/>
        </w:rPr>
      </w:pPr>
      <w:r w:rsidRPr="0054577C">
        <w:rPr>
          <w:b w:val="0"/>
          <w:bCs/>
          <w:lang w:val="en-GB"/>
        </w:rPr>
        <w:tab/>
        <w:t>Although the Delphi provided valuable insight in to how to design a training program, the findings should be considered in light of the study limitations.  Firstly, the panel consisted of 17 participants in round one, and 12 in round two. The small sample size and high dropout rate in round two may limit the generalisability of these findings, however a sample of 12 is deemed to be sufficient for achieving consensus in a Delphi study</w:t>
      </w:r>
      <w:r w:rsidR="0054435E" w:rsidRPr="0054577C">
        <w:rPr>
          <w:b w:val="0"/>
          <w:bCs/>
          <w:lang w:val="en-GB"/>
        </w:rPr>
        <w:t xml:space="preserve"> [</w:t>
      </w:r>
      <w:r w:rsidR="009F4AD2">
        <w:rPr>
          <w:b w:val="0"/>
          <w:bCs/>
          <w:lang w:val="en-GB"/>
        </w:rPr>
        <w:t>3</w:t>
      </w:r>
      <w:r w:rsidR="00B07699">
        <w:rPr>
          <w:b w:val="0"/>
          <w:bCs/>
          <w:lang w:val="en-GB"/>
        </w:rPr>
        <w:t>8</w:t>
      </w:r>
      <w:r w:rsidR="0054435E" w:rsidRPr="0054577C">
        <w:rPr>
          <w:b w:val="0"/>
          <w:bCs/>
          <w:lang w:val="en-GB"/>
        </w:rPr>
        <w:t>]</w:t>
      </w:r>
      <w:r w:rsidRPr="0054577C">
        <w:rPr>
          <w:b w:val="0"/>
          <w:bCs/>
          <w:lang w:val="en-GB"/>
        </w:rPr>
        <w:t>.</w:t>
      </w:r>
      <w:r w:rsidR="00222D33">
        <w:rPr>
          <w:b w:val="0"/>
          <w:bCs/>
          <w:lang w:val="en-GB"/>
        </w:rPr>
        <w:t xml:space="preserve"> </w:t>
      </w:r>
      <w:r w:rsidR="00F17919" w:rsidRPr="00F17919">
        <w:rPr>
          <w:b w:val="0"/>
          <w:bCs/>
          <w:lang w:val="en-GB"/>
        </w:rPr>
        <w:t>Future studies using larger sample sizes should also consider collecting demographic data from participants such as age, gender and ethnicity to ensure that the components of the Delphi which reach consensus are representative of a diverse population, rather than a particular sociodemographic group</w:t>
      </w:r>
      <w:r w:rsidR="00F17919">
        <w:rPr>
          <w:b w:val="0"/>
          <w:bCs/>
          <w:lang w:val="en-GB"/>
        </w:rPr>
        <w:t>.</w:t>
      </w:r>
      <w:r w:rsidR="00F17919" w:rsidRPr="00F17919">
        <w:rPr>
          <w:b w:val="0"/>
          <w:bCs/>
          <w:lang w:val="en-GB"/>
        </w:rPr>
        <w:t xml:space="preserve"> </w:t>
      </w:r>
      <w:r w:rsidR="00A07543" w:rsidRPr="00A07543">
        <w:rPr>
          <w:b w:val="0"/>
          <w:bCs/>
          <w:lang w:val="en-GB"/>
        </w:rPr>
        <w:t>Furthermore, the present study aimed to inform a UK-based training program, and recruited participants from the UK, thus the results of this research may need to be replicated in different countries in order to inform training programs that are context-specific</w:t>
      </w:r>
      <w:r w:rsidR="00F17919">
        <w:rPr>
          <w:b w:val="0"/>
          <w:bCs/>
          <w:lang w:val="en-GB"/>
        </w:rPr>
        <w:t xml:space="preserve">. </w:t>
      </w:r>
      <w:r w:rsidRPr="0054577C">
        <w:rPr>
          <w:b w:val="0"/>
          <w:bCs/>
          <w:lang w:val="en-GB"/>
        </w:rPr>
        <w:t>In addition, the expert consensus cannot be considered fact</w:t>
      </w:r>
      <w:r w:rsidR="00285102" w:rsidRPr="0054577C">
        <w:rPr>
          <w:b w:val="0"/>
          <w:bCs/>
          <w:lang w:val="en-GB"/>
        </w:rPr>
        <w:t xml:space="preserve"> [</w:t>
      </w:r>
      <w:r w:rsidR="00916163">
        <w:rPr>
          <w:b w:val="0"/>
          <w:bCs/>
          <w:lang w:val="en-GB"/>
        </w:rPr>
        <w:t>3</w:t>
      </w:r>
      <w:r w:rsidR="00B07699">
        <w:rPr>
          <w:b w:val="0"/>
          <w:bCs/>
          <w:lang w:val="en-GB"/>
        </w:rPr>
        <w:t>9</w:t>
      </w:r>
      <w:r w:rsidR="00285102" w:rsidRPr="0054577C">
        <w:rPr>
          <w:b w:val="0"/>
          <w:bCs/>
          <w:lang w:val="en-GB"/>
        </w:rPr>
        <w:t>]</w:t>
      </w:r>
      <w:r w:rsidR="00E121E6" w:rsidRPr="0054577C">
        <w:rPr>
          <w:b w:val="0"/>
          <w:bCs/>
          <w:lang w:val="en-GB"/>
        </w:rPr>
        <w:t xml:space="preserve"> </w:t>
      </w:r>
      <w:r w:rsidRPr="0054577C">
        <w:rPr>
          <w:b w:val="0"/>
          <w:bCs/>
          <w:lang w:val="en-GB"/>
        </w:rPr>
        <w:t xml:space="preserve">and opinions held by the minority may be marginalised. </w:t>
      </w:r>
      <w:r w:rsidRPr="0054577C">
        <w:rPr>
          <w:b w:val="0"/>
          <w:bCs/>
          <w:lang w:val="en-GB"/>
        </w:rPr>
        <w:lastRenderedPageBreak/>
        <w:t xml:space="preserve">Therefore, it is important that once the training program is developed further evaluation and feedback is sought, to ensure the training is effective and refined if necessary.  </w:t>
      </w:r>
    </w:p>
    <w:p w14:paraId="2F05AA60" w14:textId="77777777" w:rsidR="002F662D" w:rsidRPr="0054577C" w:rsidRDefault="002F662D" w:rsidP="00466131">
      <w:pPr>
        <w:pStyle w:val="MDPI21heading1"/>
      </w:pPr>
      <w:r w:rsidRPr="0054577C">
        <w:t>5. Conclusions</w:t>
      </w:r>
    </w:p>
    <w:p w14:paraId="470FC060" w14:textId="17C33791" w:rsidR="002F662D" w:rsidRPr="0054577C" w:rsidRDefault="00A92689" w:rsidP="00A92689">
      <w:pPr>
        <w:pStyle w:val="MDPI21heading1"/>
        <w:ind w:firstLine="452"/>
        <w:rPr>
          <w:b w:val="0"/>
          <w:bCs/>
          <w:lang w:val="en-GB"/>
        </w:rPr>
      </w:pPr>
      <w:r w:rsidRPr="0054577C">
        <w:rPr>
          <w:b w:val="0"/>
          <w:bCs/>
          <w:lang w:val="en-GB"/>
        </w:rPr>
        <w:t>The present Delphi identified design elements and components of training which reached consensus among an expert panel. Overall, the Delphi highlighted the need to target a broader audience with a training program, and to include a range of training program components which address barriers to PA promotion such as lack of knowledge about PA</w:t>
      </w:r>
      <w:r w:rsidR="00CF4AEA">
        <w:rPr>
          <w:b w:val="0"/>
          <w:bCs/>
          <w:lang w:val="en-GB"/>
        </w:rPr>
        <w:t>,</w:t>
      </w:r>
      <w:r w:rsidRPr="0054577C">
        <w:rPr>
          <w:b w:val="0"/>
          <w:bCs/>
          <w:lang w:val="en-GB"/>
        </w:rPr>
        <w:t xml:space="preserve"> and health and safety concerns. These findings can be used to inform </w:t>
      </w:r>
      <w:r w:rsidR="00830EB7" w:rsidRPr="0054577C">
        <w:rPr>
          <w:b w:val="0"/>
          <w:bCs/>
          <w:lang w:val="en-GB"/>
        </w:rPr>
        <w:t>further research</w:t>
      </w:r>
      <w:r w:rsidRPr="0054577C">
        <w:rPr>
          <w:b w:val="0"/>
          <w:bCs/>
          <w:lang w:val="en-GB"/>
        </w:rPr>
        <w:t xml:space="preserve">, which can then be evaluated to inform future larger scale training programs. </w:t>
      </w:r>
    </w:p>
    <w:p w14:paraId="26CE9E0E" w14:textId="77777777" w:rsidR="00A92689" w:rsidRPr="0054577C" w:rsidRDefault="00A92689" w:rsidP="002F662D">
      <w:pPr>
        <w:pStyle w:val="MDPI62BackMatter"/>
        <w:rPr>
          <w:b/>
        </w:rPr>
      </w:pPr>
    </w:p>
    <w:p w14:paraId="2DDBAA15" w14:textId="05586E75" w:rsidR="002F662D" w:rsidRPr="0054577C" w:rsidRDefault="002F662D" w:rsidP="002F662D">
      <w:pPr>
        <w:pStyle w:val="MDPI62BackMatter"/>
      </w:pPr>
      <w:r w:rsidRPr="0054577C">
        <w:rPr>
          <w:b/>
        </w:rPr>
        <w:t>Author Contributions:</w:t>
      </w:r>
      <w:r w:rsidRPr="0054577C">
        <w:t xml:space="preserve"> Conceptualization, </w:t>
      </w:r>
      <w:r w:rsidR="009C6EF3" w:rsidRPr="0054577C">
        <w:t>R</w:t>
      </w:r>
      <w:r w:rsidRPr="0054577C">
        <w:t>.</w:t>
      </w:r>
      <w:r w:rsidR="009C6EF3" w:rsidRPr="0054577C">
        <w:t>K.L</w:t>
      </w:r>
      <w:r w:rsidRPr="0054577C">
        <w:t xml:space="preserve">. and </w:t>
      </w:r>
      <w:r w:rsidR="009C6EF3" w:rsidRPr="0054577C">
        <w:t>P</w:t>
      </w:r>
      <w:r w:rsidRPr="0054577C">
        <w:t>.</w:t>
      </w:r>
      <w:r w:rsidR="009C6EF3" w:rsidRPr="0054577C">
        <w:t>M.A</w:t>
      </w:r>
      <w:r w:rsidRPr="0054577C">
        <w:t xml:space="preserve">.; methodology, </w:t>
      </w:r>
      <w:r w:rsidR="009C6EF3" w:rsidRPr="0054577C">
        <w:t>R.</w:t>
      </w:r>
      <w:r w:rsidR="00044110">
        <w:t>K.</w:t>
      </w:r>
      <w:r w:rsidR="009C6EF3" w:rsidRPr="0054577C">
        <w:t xml:space="preserve">L; </w:t>
      </w:r>
      <w:r w:rsidRPr="0054577C">
        <w:t xml:space="preserve">formal analysis, </w:t>
      </w:r>
      <w:r w:rsidR="009C6EF3" w:rsidRPr="0054577C">
        <w:t>R</w:t>
      </w:r>
      <w:r w:rsidRPr="0054577C">
        <w:t>.</w:t>
      </w:r>
      <w:r w:rsidR="00044110">
        <w:t>K.</w:t>
      </w:r>
      <w:r w:rsidR="009C6EF3" w:rsidRPr="0054577C">
        <w:t>L</w:t>
      </w:r>
      <w:r w:rsidRPr="0054577C">
        <w:t xml:space="preserve">.; writing—original draft preparation, </w:t>
      </w:r>
      <w:r w:rsidR="009C6EF3" w:rsidRPr="0054577C">
        <w:t>R</w:t>
      </w:r>
      <w:r w:rsidRPr="0054577C">
        <w:t>.</w:t>
      </w:r>
      <w:r w:rsidR="00044110">
        <w:t>K</w:t>
      </w:r>
      <w:r w:rsidR="00F86101">
        <w:t>.</w:t>
      </w:r>
      <w:r w:rsidR="009C6EF3" w:rsidRPr="0054577C">
        <w:t>L</w:t>
      </w:r>
      <w:r w:rsidRPr="0054577C">
        <w:t xml:space="preserve">.; writing—review and editing, </w:t>
      </w:r>
      <w:r w:rsidR="009C6EF3" w:rsidRPr="0054577C">
        <w:t>P.M.A and L.S.</w:t>
      </w:r>
      <w:r w:rsidRPr="0054577C">
        <w:t xml:space="preserve"> All authors have read and agreed to the published version of the manuscript</w:t>
      </w:r>
      <w:r w:rsidR="009C6EF3" w:rsidRPr="0054577C">
        <w:t>.</w:t>
      </w:r>
    </w:p>
    <w:p w14:paraId="5F18A871" w14:textId="463183D0" w:rsidR="002F662D" w:rsidRPr="0054577C" w:rsidRDefault="002F662D" w:rsidP="002F662D">
      <w:pPr>
        <w:pStyle w:val="MDPI62BackMatter"/>
      </w:pPr>
      <w:r w:rsidRPr="0054577C">
        <w:rPr>
          <w:b/>
        </w:rPr>
        <w:t>Funding:</w:t>
      </w:r>
      <w:r w:rsidRPr="0054577C">
        <w:t xml:space="preserve"> </w:t>
      </w:r>
      <w:r w:rsidR="009452B3" w:rsidRPr="0054577C">
        <w:t xml:space="preserve">This research is part of a wider project which aims to develop a physical activity prescribing pathway targeting people with </w:t>
      </w:r>
      <w:r w:rsidR="00F57429">
        <w:t>visual impairment</w:t>
      </w:r>
      <w:r w:rsidR="009452B3" w:rsidRPr="0054577C">
        <w:t xml:space="preserve">. The project is funded by the Evelyn </w:t>
      </w:r>
      <w:r w:rsidR="00DE1EC0" w:rsidRPr="0054577C">
        <w:t>T</w:t>
      </w:r>
      <w:r w:rsidR="009452B3" w:rsidRPr="0054577C">
        <w:t>rust.</w:t>
      </w:r>
    </w:p>
    <w:p w14:paraId="5002D576" w14:textId="6BBA4A99" w:rsidR="00CB488D" w:rsidRPr="0054577C" w:rsidRDefault="00CB488D" w:rsidP="005B7D19">
      <w:pPr>
        <w:pStyle w:val="MDPI62BackMatter"/>
        <w:rPr>
          <w:lang w:val="en-GB"/>
        </w:rPr>
      </w:pPr>
      <w:bookmarkStart w:id="7" w:name="_Hlk89945590"/>
      <w:bookmarkStart w:id="8" w:name="_Hlk60054323"/>
      <w:r w:rsidRPr="0054577C">
        <w:rPr>
          <w:b/>
        </w:rPr>
        <w:t xml:space="preserve">Institutional Review Board Statement: </w:t>
      </w:r>
      <w:r w:rsidR="005B7D19" w:rsidRPr="0054577C">
        <w:rPr>
          <w:lang w:val="en-GB"/>
        </w:rPr>
        <w:t xml:space="preserve">Ethical approval was obtained from Anglia Ruskin University School Research Ethics Panel (SREP) and ratified by the Faculty Research Ethics Panel under the terms of Anglia Ruskin University’s Policy and Code of Practice for the Conduct of Research with Human Participants (ETH2122-2217). </w:t>
      </w:r>
    </w:p>
    <w:bookmarkEnd w:id="7"/>
    <w:p w14:paraId="17C3E49D" w14:textId="5059B619" w:rsidR="00F72456" w:rsidRPr="0054577C" w:rsidRDefault="00F72456" w:rsidP="00F72456">
      <w:pPr>
        <w:pStyle w:val="MDPI62BackMatter"/>
        <w:spacing w:after="0"/>
      </w:pPr>
      <w:r w:rsidRPr="0054577C">
        <w:rPr>
          <w:b/>
        </w:rPr>
        <w:t xml:space="preserve">Informed Consent Statement: </w:t>
      </w:r>
      <w:r w:rsidRPr="0054577C">
        <w:t>Informed consent was obtained from all subjects involved in the study</w:t>
      </w:r>
      <w:r w:rsidR="005B7D19" w:rsidRPr="0054577C">
        <w:t>.</w:t>
      </w:r>
    </w:p>
    <w:p w14:paraId="1CABC9F5" w14:textId="77777777" w:rsidR="005B7D19" w:rsidRPr="0054577C" w:rsidRDefault="005B7D19" w:rsidP="00F72456">
      <w:pPr>
        <w:pStyle w:val="MDPI62BackMatter"/>
        <w:spacing w:after="0"/>
      </w:pPr>
    </w:p>
    <w:p w14:paraId="3E888C6C" w14:textId="3A426418" w:rsidR="00F72456" w:rsidRPr="0054577C" w:rsidRDefault="00F72456" w:rsidP="00F72456">
      <w:pPr>
        <w:pStyle w:val="MDPI62BackMatter"/>
      </w:pPr>
      <w:r w:rsidRPr="0054577C">
        <w:rPr>
          <w:b/>
        </w:rPr>
        <w:t xml:space="preserve">Data Availability Statement: </w:t>
      </w:r>
      <w:r w:rsidR="00CD1E25" w:rsidRPr="0054577C">
        <w:t>The data presented in this study are available on request from the corresponding author.</w:t>
      </w:r>
    </w:p>
    <w:bookmarkEnd w:id="8"/>
    <w:p w14:paraId="177FE65A" w14:textId="1F5D65F6" w:rsidR="002F662D" w:rsidRPr="0054577C" w:rsidRDefault="002F662D" w:rsidP="002F662D">
      <w:pPr>
        <w:pStyle w:val="MDPI62BackMatter"/>
      </w:pPr>
      <w:r w:rsidRPr="0054577C">
        <w:rPr>
          <w:b/>
        </w:rPr>
        <w:t>Acknowledgments:</w:t>
      </w:r>
      <w:r w:rsidRPr="0054577C">
        <w:t xml:space="preserve"> </w:t>
      </w:r>
      <w:r w:rsidR="0097584B" w:rsidRPr="0054577C">
        <w:t xml:space="preserve">The authors would like to thank British Blind Sport, Visionary, </w:t>
      </w:r>
      <w:r w:rsidR="00BB29A1" w:rsidRPr="0054577C">
        <w:t xml:space="preserve">Rehabilitation Workers Professional Network, </w:t>
      </w:r>
      <w:r w:rsidR="00185815" w:rsidRPr="0054577C">
        <w:t xml:space="preserve">and The Thomas Pocklington Trust </w:t>
      </w:r>
      <w:r w:rsidR="00510A64" w:rsidRPr="0054577C">
        <w:t xml:space="preserve">and Metro Blind Sport for their support </w:t>
      </w:r>
      <w:r w:rsidR="004374F0" w:rsidRPr="0054577C">
        <w:t xml:space="preserve">with their valuable input and support with the present study. </w:t>
      </w:r>
    </w:p>
    <w:p w14:paraId="20B4B961" w14:textId="0F2A0AD8" w:rsidR="002F662D" w:rsidRPr="0054577C" w:rsidRDefault="002F662D" w:rsidP="002F662D">
      <w:pPr>
        <w:pStyle w:val="MDPI62BackMatter"/>
      </w:pPr>
      <w:r w:rsidRPr="0054577C">
        <w:rPr>
          <w:b/>
        </w:rPr>
        <w:t>Conflicts of Interest:</w:t>
      </w:r>
      <w:r w:rsidRPr="0054577C">
        <w:t xml:space="preserve"> The authors declare no conflict of interest</w:t>
      </w:r>
      <w:r w:rsidR="004374F0" w:rsidRPr="0054577C">
        <w:t>.</w:t>
      </w:r>
    </w:p>
    <w:p w14:paraId="67441A92" w14:textId="0324BE26" w:rsidR="004374F0" w:rsidRPr="0054577C" w:rsidRDefault="009C6EF3" w:rsidP="0064042E">
      <w:pPr>
        <w:pStyle w:val="MDPI71References"/>
        <w:numPr>
          <w:ilvl w:val="0"/>
          <w:numId w:val="0"/>
        </w:numPr>
        <w:ind w:left="425"/>
        <w:rPr>
          <w:b/>
          <w:bCs/>
          <w:sz w:val="20"/>
          <w:szCs w:val="22"/>
        </w:rPr>
      </w:pPr>
      <w:r w:rsidRPr="0054577C">
        <w:rPr>
          <w:b/>
          <w:bCs/>
          <w:sz w:val="20"/>
          <w:szCs w:val="22"/>
        </w:rPr>
        <w:t xml:space="preserve">References </w:t>
      </w:r>
    </w:p>
    <w:p w14:paraId="7488F1D8" w14:textId="09B89740" w:rsidR="00DE1EC0" w:rsidRPr="0054577C" w:rsidRDefault="00DE1EC0">
      <w:pPr>
        <w:pStyle w:val="MDPI71References"/>
        <w:numPr>
          <w:ilvl w:val="0"/>
          <w:numId w:val="0"/>
        </w:numPr>
        <w:rPr>
          <w:b/>
          <w:bCs/>
          <w:sz w:val="20"/>
          <w:szCs w:val="22"/>
        </w:rPr>
      </w:pPr>
    </w:p>
    <w:p w14:paraId="4BA99406" w14:textId="56605209" w:rsidR="006D61D9" w:rsidRPr="001126C9" w:rsidRDefault="00011C9F" w:rsidP="00DA614F">
      <w:pPr>
        <w:numPr>
          <w:ilvl w:val="0"/>
          <w:numId w:val="25"/>
        </w:numPr>
        <w:spacing w:after="160" w:line="259" w:lineRule="auto"/>
        <w:jc w:val="left"/>
      </w:pPr>
      <w:r w:rsidRPr="001126C9">
        <w:t xml:space="preserve">Warburton D.E.; Nicol C.W.; Bredin S.S. Health benefits of physical activity: the evidence. </w:t>
      </w:r>
      <w:r w:rsidRPr="001126C9">
        <w:rPr>
          <w:i/>
          <w:iCs/>
        </w:rPr>
        <w:t>CMAJ.</w:t>
      </w:r>
      <w:r w:rsidRPr="001126C9">
        <w:t xml:space="preserve"> </w:t>
      </w:r>
      <w:r w:rsidRPr="001126C9">
        <w:rPr>
          <w:b/>
          <w:bCs/>
        </w:rPr>
        <w:t>2006</w:t>
      </w:r>
      <w:r w:rsidRPr="001126C9">
        <w:t>;174:801-809. doi:10.1503/cmaj.051351</w:t>
      </w:r>
    </w:p>
    <w:p w14:paraId="497A9B25" w14:textId="3C695CA1" w:rsidR="006D61D9" w:rsidRPr="001126C9" w:rsidRDefault="006D61D9" w:rsidP="006D61D9">
      <w:pPr>
        <w:numPr>
          <w:ilvl w:val="0"/>
          <w:numId w:val="25"/>
        </w:numPr>
        <w:spacing w:after="160" w:line="259" w:lineRule="auto"/>
        <w:jc w:val="left"/>
      </w:pPr>
      <w:r w:rsidRPr="001126C9">
        <w:t xml:space="preserve">Schuch, F.B.; Vancampfort, D.; Richards, J.; Rosenbaum, S.; Ward, P.B.; Stubbs, B. Exercise as a treatment for depression: a meta-analysis adjusting for publication bias. </w:t>
      </w:r>
      <w:r w:rsidRPr="001126C9">
        <w:rPr>
          <w:i/>
          <w:iCs/>
        </w:rPr>
        <w:t>Journal of psychiatric research.</w:t>
      </w:r>
      <w:r w:rsidRPr="001126C9">
        <w:t xml:space="preserve"> </w:t>
      </w:r>
      <w:r w:rsidRPr="001126C9">
        <w:rPr>
          <w:b/>
          <w:bCs/>
        </w:rPr>
        <w:t>2016;</w:t>
      </w:r>
      <w:r w:rsidRPr="001126C9">
        <w:t xml:space="preserve"> 77: 42-51. </w:t>
      </w:r>
    </w:p>
    <w:p w14:paraId="087C688E" w14:textId="5CA9D0C1" w:rsidR="006D61D9" w:rsidRPr="001126C9" w:rsidRDefault="006D61D9" w:rsidP="006D61D9">
      <w:pPr>
        <w:numPr>
          <w:ilvl w:val="0"/>
          <w:numId w:val="25"/>
        </w:numPr>
        <w:spacing w:after="160" w:line="259" w:lineRule="auto"/>
        <w:jc w:val="left"/>
      </w:pPr>
      <w:r w:rsidRPr="001126C9">
        <w:t>Jayakody, K.; Gunadasa, S.; Hosker, C. Exercise for anxiety disorders: systematic review. </w:t>
      </w:r>
      <w:r w:rsidRPr="001126C9">
        <w:rPr>
          <w:i/>
          <w:iCs/>
        </w:rPr>
        <w:t>Br J Sports Med</w:t>
      </w:r>
      <w:r w:rsidRPr="001126C9">
        <w:t xml:space="preserve">. </w:t>
      </w:r>
      <w:r w:rsidRPr="001126C9">
        <w:rPr>
          <w:b/>
          <w:bCs/>
        </w:rPr>
        <w:t>2014</w:t>
      </w:r>
      <w:r w:rsidRPr="001126C9">
        <w:t xml:space="preserve">;48:187-196. </w:t>
      </w:r>
    </w:p>
    <w:p w14:paraId="1A252540" w14:textId="6B9F917F" w:rsidR="006D61D9" w:rsidRPr="001126C9" w:rsidRDefault="006D61D9" w:rsidP="006D61D9">
      <w:pPr>
        <w:numPr>
          <w:ilvl w:val="0"/>
          <w:numId w:val="25"/>
        </w:numPr>
        <w:spacing w:after="160" w:line="259" w:lineRule="auto"/>
        <w:jc w:val="left"/>
      </w:pPr>
      <w:r w:rsidRPr="001126C9">
        <w:t>Pucci, G.C.; Rech, C.R.; Fermino, R.C.; Reis, R.S. Association between physical activity and quality of life in adults. </w:t>
      </w:r>
      <w:r w:rsidRPr="001126C9">
        <w:rPr>
          <w:i/>
          <w:iCs/>
        </w:rPr>
        <w:t>Rev Saude Publica</w:t>
      </w:r>
      <w:r w:rsidRPr="001126C9">
        <w:t>.</w:t>
      </w:r>
      <w:r w:rsidRPr="001126C9">
        <w:rPr>
          <w:b/>
          <w:bCs/>
        </w:rPr>
        <w:t xml:space="preserve"> 2012</w:t>
      </w:r>
      <w:r w:rsidRPr="001126C9">
        <w:t xml:space="preserve">;46:166-179. </w:t>
      </w:r>
    </w:p>
    <w:p w14:paraId="4F1D673A" w14:textId="6F53F47B" w:rsidR="006D61D9" w:rsidRPr="001126C9" w:rsidRDefault="006D61D9" w:rsidP="006D61D9">
      <w:pPr>
        <w:numPr>
          <w:ilvl w:val="0"/>
          <w:numId w:val="25"/>
        </w:numPr>
        <w:spacing w:after="160" w:line="259" w:lineRule="auto"/>
        <w:jc w:val="left"/>
      </w:pPr>
      <w:r w:rsidRPr="001126C9">
        <w:t>Marquez, D.X.; Aguiñaga, S.; Vásquez, P.M. Conroy, D.E.; Erickson, K.I.; Hillman, C.; Stillman, C.M.; Ballard, R.M.; Sheppard, B.B; Petruzzello, S.J.; King, A.C.; Powell, K.E. A systematic review of physical activity and quality of life and well-being. </w:t>
      </w:r>
      <w:r w:rsidRPr="001126C9">
        <w:rPr>
          <w:i/>
          <w:iCs/>
        </w:rPr>
        <w:t>Transl Behav Med</w:t>
      </w:r>
      <w:r w:rsidRPr="001126C9">
        <w:t xml:space="preserve">. </w:t>
      </w:r>
      <w:r w:rsidRPr="001126C9">
        <w:rPr>
          <w:b/>
          <w:bCs/>
        </w:rPr>
        <w:t>2020</w:t>
      </w:r>
      <w:r w:rsidRPr="001126C9">
        <w:t xml:space="preserve">;10:1098-1109. </w:t>
      </w:r>
    </w:p>
    <w:p w14:paraId="4F694B48" w14:textId="669FE77B" w:rsidR="006D61D9" w:rsidRPr="001126C9" w:rsidRDefault="006D61D9" w:rsidP="006D61D9">
      <w:pPr>
        <w:numPr>
          <w:ilvl w:val="0"/>
          <w:numId w:val="25"/>
        </w:numPr>
        <w:spacing w:after="160" w:line="259" w:lineRule="auto"/>
        <w:jc w:val="left"/>
      </w:pPr>
      <w:r w:rsidRPr="001126C9">
        <w:lastRenderedPageBreak/>
        <w:t xml:space="preserve">Gov.uk. Available online: </w:t>
      </w:r>
      <w:hyperlink r:id="rId21" w:history="1">
        <w:r w:rsidRPr="001126C9">
          <w:rPr>
            <w:rStyle w:val="Hyperlink"/>
          </w:rPr>
          <w:t>https://www.gov.uk/government/publications/physical-activity-applying-all-our-health/physical-activity-applying-all-our-health</w:t>
        </w:r>
      </w:hyperlink>
      <w:r w:rsidRPr="001126C9">
        <w:t xml:space="preserve"> (accessed on 02 November 2022).</w:t>
      </w:r>
    </w:p>
    <w:p w14:paraId="036A3B42" w14:textId="4797B9BF" w:rsidR="006D61D9" w:rsidRPr="001126C9" w:rsidRDefault="006D61D9" w:rsidP="006D61D9">
      <w:pPr>
        <w:numPr>
          <w:ilvl w:val="0"/>
          <w:numId w:val="25"/>
        </w:numPr>
        <w:spacing w:after="160" w:line="259" w:lineRule="auto"/>
        <w:jc w:val="left"/>
      </w:pPr>
      <w:r w:rsidRPr="001126C9">
        <w:t>Smith, L.; Timmis, M. A.; Pardhan, S.; Latham, K.; Johnstone, J.; Hamer, M. Physical inactivity in relation to self-rated eyesight: cross-sectional analysis from the English Longitudinal Study of Ageing. </w:t>
      </w:r>
      <w:r w:rsidRPr="001126C9">
        <w:rPr>
          <w:i/>
          <w:iCs/>
        </w:rPr>
        <w:t>BMJ open ophthalmology</w:t>
      </w:r>
      <w:r w:rsidRPr="001126C9">
        <w:t xml:space="preserve">, </w:t>
      </w:r>
      <w:r w:rsidRPr="001126C9">
        <w:rPr>
          <w:b/>
          <w:bCs/>
        </w:rPr>
        <w:t>2017;</w:t>
      </w:r>
      <w:r w:rsidRPr="001126C9">
        <w:t>1: e000046.</w:t>
      </w:r>
    </w:p>
    <w:p w14:paraId="6B197FD0" w14:textId="2F6C17F9" w:rsidR="006D61D9" w:rsidRPr="001126C9" w:rsidRDefault="006D61D9" w:rsidP="006D61D9">
      <w:pPr>
        <w:numPr>
          <w:ilvl w:val="0"/>
          <w:numId w:val="25"/>
        </w:numPr>
        <w:spacing w:after="160" w:line="259" w:lineRule="auto"/>
        <w:jc w:val="left"/>
      </w:pPr>
      <w:r w:rsidRPr="001126C9">
        <w:t xml:space="preserve">RNIB.org.uk. Available online: </w:t>
      </w:r>
      <w:hyperlink r:id="rId22" w:anchor=":~:text=Blind%20and%20partially%20sighted%20people,of%20sport%20and%20physical%20activity" w:history="1">
        <w:r w:rsidRPr="001126C9">
          <w:rPr>
            <w:rStyle w:val="Hyperlink"/>
          </w:rPr>
          <w:t>https://www.rnib.org.uk/our-campaigns/see-sport-differently/#:~:text=Blind%20and%20partially%20sighted%20people,of%20sport%20and%20physical%20activity</w:t>
        </w:r>
      </w:hyperlink>
      <w:r w:rsidRPr="001126C9">
        <w:t xml:space="preserve"> (accessed on 02 November 2022) </w:t>
      </w:r>
    </w:p>
    <w:p w14:paraId="32DB4CE6" w14:textId="31FFAE1A" w:rsidR="006D61D9" w:rsidRPr="001126C9" w:rsidRDefault="006D61D9" w:rsidP="006D61D9">
      <w:pPr>
        <w:numPr>
          <w:ilvl w:val="0"/>
          <w:numId w:val="25"/>
        </w:numPr>
        <w:spacing w:after="160" w:line="259" w:lineRule="auto"/>
        <w:jc w:val="left"/>
      </w:pPr>
      <w:r w:rsidRPr="001126C9">
        <w:t xml:space="preserve">Lindsay, R. K.; Allen, P. M.; Koyanagi, A.; Smith, L. Feasibility of physical activity promotion in eyecare and sight loss services to improve the health of adults with sight loss: a survey. </w:t>
      </w:r>
      <w:r w:rsidRPr="001126C9">
        <w:rPr>
          <w:i/>
          <w:iCs/>
        </w:rPr>
        <w:t>Disabil Rehabil</w:t>
      </w:r>
      <w:r w:rsidRPr="001126C9">
        <w:t xml:space="preserve">; </w:t>
      </w:r>
      <w:r w:rsidRPr="001126C9">
        <w:rPr>
          <w:b/>
          <w:bCs/>
        </w:rPr>
        <w:t>2022</w:t>
      </w:r>
      <w:r w:rsidRPr="001126C9">
        <w:t>; 1-10: DOI: 10.1080/09638288.2022.2104939. Epub ahead of print. PMID: 35917582.</w:t>
      </w:r>
    </w:p>
    <w:p w14:paraId="0B40E5FF" w14:textId="1C16B3AF" w:rsidR="006D61D9" w:rsidRPr="001126C9" w:rsidRDefault="006D61D9" w:rsidP="006D61D9">
      <w:pPr>
        <w:numPr>
          <w:ilvl w:val="0"/>
          <w:numId w:val="25"/>
        </w:numPr>
        <w:spacing w:after="160" w:line="259" w:lineRule="auto"/>
        <w:jc w:val="left"/>
      </w:pPr>
      <w:bookmarkStart w:id="9" w:name="_Ref124245989"/>
      <w:r w:rsidRPr="001126C9">
        <w:t xml:space="preserve">Britishblindsport.org. Available online: </w:t>
      </w:r>
      <w:hyperlink r:id="rId23" w:history="1">
        <w:r w:rsidRPr="001126C9">
          <w:rPr>
            <w:rStyle w:val="Hyperlink"/>
          </w:rPr>
          <w:t>https://britishblindsport.org.uk/new-guide-for-rehabilitation-workers/</w:t>
        </w:r>
      </w:hyperlink>
      <w:r w:rsidRPr="001126C9">
        <w:t xml:space="preserve"> (accessed 03 November 2022)</w:t>
      </w:r>
      <w:bookmarkEnd w:id="9"/>
    </w:p>
    <w:p w14:paraId="248AA222" w14:textId="583E90EE" w:rsidR="006D61D9" w:rsidRPr="001126C9" w:rsidRDefault="006D61D9" w:rsidP="006D61D9">
      <w:pPr>
        <w:numPr>
          <w:ilvl w:val="0"/>
          <w:numId w:val="25"/>
        </w:numPr>
        <w:spacing w:after="160" w:line="259" w:lineRule="auto"/>
        <w:jc w:val="left"/>
      </w:pPr>
      <w:r w:rsidRPr="001126C9">
        <w:t xml:space="preserve">Sportengland.org. Available online: </w:t>
      </w:r>
      <w:hyperlink r:id="rId24" w:history="1">
        <w:r w:rsidRPr="001126C9">
          <w:rPr>
            <w:rStyle w:val="Hyperlink"/>
          </w:rPr>
          <w:t>https://www.sportengland.org/funds-and-campaigns/moving-healthcare-professionals?section=training_and_resources</w:t>
        </w:r>
      </w:hyperlink>
      <w:r w:rsidRPr="001126C9">
        <w:t xml:space="preserve"> (accessed on 02 November 2022)</w:t>
      </w:r>
    </w:p>
    <w:p w14:paraId="7F85CD2C" w14:textId="017E2E32" w:rsidR="006D61D9" w:rsidRPr="001126C9" w:rsidRDefault="006D61D9" w:rsidP="006D61D9">
      <w:pPr>
        <w:numPr>
          <w:ilvl w:val="0"/>
          <w:numId w:val="25"/>
        </w:numPr>
        <w:spacing w:after="160" w:line="259" w:lineRule="auto"/>
        <w:jc w:val="left"/>
      </w:pPr>
      <w:r w:rsidRPr="001126C9">
        <w:t>Crisford, P.; Winzenberg, T.; Venn, A.; Schultz, M.; Aitken, D.; Cleland, V. Factors associated with physical activity promotion by allied and other non-medical health professionals: A systematic review. </w:t>
      </w:r>
      <w:r w:rsidRPr="001126C9">
        <w:rPr>
          <w:i/>
          <w:iCs/>
        </w:rPr>
        <w:t>Patient education and counseling</w:t>
      </w:r>
      <w:r w:rsidRPr="001126C9">
        <w:t>, </w:t>
      </w:r>
      <w:r w:rsidRPr="001126C9">
        <w:rPr>
          <w:b/>
          <w:bCs/>
        </w:rPr>
        <w:t xml:space="preserve">2018; </w:t>
      </w:r>
      <w:r w:rsidRPr="001126C9">
        <w:t xml:space="preserve">101:1775–1785. </w:t>
      </w:r>
    </w:p>
    <w:p w14:paraId="34FB3241" w14:textId="7FE91375" w:rsidR="006D61D9" w:rsidRPr="001126C9" w:rsidRDefault="006D61D9" w:rsidP="006D61D9">
      <w:pPr>
        <w:numPr>
          <w:ilvl w:val="0"/>
          <w:numId w:val="25"/>
        </w:numPr>
        <w:spacing w:after="160" w:line="259" w:lineRule="auto"/>
        <w:jc w:val="left"/>
      </w:pPr>
      <w:r w:rsidRPr="001126C9">
        <w:t xml:space="preserve">Monforte, J.; Smith, M.; Smith, B. Designing a programme to train social workers on how to promote physical activity for disabled people: A Delphi study in the UK. </w:t>
      </w:r>
      <w:r w:rsidRPr="001126C9">
        <w:rPr>
          <w:i/>
          <w:iCs/>
        </w:rPr>
        <w:t>Health Soc Care Community</w:t>
      </w:r>
      <w:r w:rsidRPr="001126C9">
        <w:t xml:space="preserve">, </w:t>
      </w:r>
      <w:r w:rsidRPr="001126C9">
        <w:rPr>
          <w:b/>
          <w:bCs/>
        </w:rPr>
        <w:t>2022</w:t>
      </w:r>
      <w:r w:rsidRPr="001126C9">
        <w:t>;30: e2805–e2817.</w:t>
      </w:r>
    </w:p>
    <w:p w14:paraId="273D7830" w14:textId="73DA12DE" w:rsidR="006D61D9" w:rsidRPr="001126C9" w:rsidRDefault="006D61D9" w:rsidP="006D61D9">
      <w:pPr>
        <w:numPr>
          <w:ilvl w:val="0"/>
          <w:numId w:val="25"/>
        </w:numPr>
        <w:spacing w:after="160" w:line="259" w:lineRule="auto"/>
        <w:jc w:val="left"/>
      </w:pPr>
      <w:r w:rsidRPr="001126C9">
        <w:t>Bruijns, B.A.; Johnson, A.M.; Tucker, P. Content development for a physical activity and sedentary behaviour e-learning module for early childhood education students: a Delphi study. </w:t>
      </w:r>
      <w:r w:rsidRPr="001126C9">
        <w:rPr>
          <w:i/>
          <w:iCs/>
        </w:rPr>
        <w:t>BMC Public Health,</w:t>
      </w:r>
      <w:r w:rsidRPr="001126C9">
        <w:t> </w:t>
      </w:r>
      <w:r w:rsidRPr="001126C9">
        <w:rPr>
          <w:b/>
          <w:bCs/>
        </w:rPr>
        <w:t>2020</w:t>
      </w:r>
      <w:r w:rsidRPr="001126C9">
        <w:t>;20:160</w:t>
      </w:r>
    </w:p>
    <w:p w14:paraId="1EC0C74F" w14:textId="47EF1208" w:rsidR="006D61D9" w:rsidRPr="001126C9" w:rsidRDefault="006D61D9" w:rsidP="006D61D9">
      <w:pPr>
        <w:numPr>
          <w:ilvl w:val="0"/>
          <w:numId w:val="25"/>
        </w:numPr>
        <w:spacing w:after="160" w:line="259" w:lineRule="auto"/>
        <w:jc w:val="left"/>
      </w:pPr>
      <w:r w:rsidRPr="001126C9">
        <w:t xml:space="preserve">Wattanapisit, A.; Petchuay, P.; Wattanapisit, S.; Tuangratananon, T. Developing a training programme in physical activity counselling for undergraduate medical curricula: a nationwide Delphi study. </w:t>
      </w:r>
      <w:r w:rsidRPr="001126C9">
        <w:rPr>
          <w:i/>
          <w:iCs/>
        </w:rPr>
        <w:t>BMJ Open</w:t>
      </w:r>
      <w:r w:rsidRPr="001126C9">
        <w:t xml:space="preserve">. </w:t>
      </w:r>
      <w:r w:rsidRPr="001126C9">
        <w:rPr>
          <w:b/>
          <w:bCs/>
        </w:rPr>
        <w:t>2019</w:t>
      </w:r>
      <w:r w:rsidRPr="001126C9">
        <w:t xml:space="preserve">;9:e030425. </w:t>
      </w:r>
    </w:p>
    <w:p w14:paraId="30C16226" w14:textId="7D438175" w:rsidR="003332D0" w:rsidRPr="001126C9" w:rsidRDefault="006D61D9" w:rsidP="003332D0">
      <w:pPr>
        <w:numPr>
          <w:ilvl w:val="0"/>
          <w:numId w:val="25"/>
        </w:numPr>
        <w:spacing w:after="160" w:line="259" w:lineRule="auto"/>
        <w:jc w:val="left"/>
      </w:pPr>
      <w:r w:rsidRPr="001126C9">
        <w:t xml:space="preserve">Dalkey, N.; and Helmer, O. An Experimental Application of the Delphi Method to the Use of Experts. </w:t>
      </w:r>
      <w:r w:rsidRPr="001126C9">
        <w:rPr>
          <w:i/>
          <w:iCs/>
        </w:rPr>
        <w:t>Management Science</w:t>
      </w:r>
      <w:r w:rsidRPr="001126C9">
        <w:t>.</w:t>
      </w:r>
      <w:r w:rsidRPr="001126C9">
        <w:rPr>
          <w:b/>
          <w:bCs/>
        </w:rPr>
        <w:t xml:space="preserve"> 1963</w:t>
      </w:r>
      <w:r w:rsidRPr="001126C9">
        <w:rPr>
          <w:i/>
          <w:iCs/>
        </w:rPr>
        <w:t>;</w:t>
      </w:r>
      <w:r w:rsidRPr="001126C9">
        <w:t>9:458-467.</w:t>
      </w:r>
    </w:p>
    <w:p w14:paraId="0C1FDFA8" w14:textId="5755A5FF" w:rsidR="003332D0" w:rsidRPr="001126C9" w:rsidRDefault="003332D0" w:rsidP="003332D0">
      <w:pPr>
        <w:numPr>
          <w:ilvl w:val="0"/>
          <w:numId w:val="25"/>
        </w:numPr>
        <w:spacing w:after="160" w:line="259" w:lineRule="auto"/>
        <w:jc w:val="left"/>
      </w:pPr>
      <w:r w:rsidRPr="001126C9">
        <w:t xml:space="preserve">Hsu, C.-C.; Sandford, B. A. The Delphi technique: Making sense of consensus. </w:t>
      </w:r>
      <w:r w:rsidRPr="001126C9">
        <w:rPr>
          <w:i/>
          <w:iCs/>
        </w:rPr>
        <w:t>Pract. Assess. Res. Eval</w:t>
      </w:r>
      <w:r w:rsidRPr="001126C9">
        <w:t xml:space="preserve">. </w:t>
      </w:r>
      <w:r w:rsidRPr="001126C9">
        <w:rPr>
          <w:b/>
          <w:bCs/>
        </w:rPr>
        <w:t>2007</w:t>
      </w:r>
      <w:r w:rsidRPr="001126C9">
        <w:t>;12:1–8.</w:t>
      </w:r>
    </w:p>
    <w:p w14:paraId="06D12CA0" w14:textId="59B415D2" w:rsidR="003332D0" w:rsidRPr="001126C9" w:rsidRDefault="003332D0" w:rsidP="003332D0">
      <w:pPr>
        <w:numPr>
          <w:ilvl w:val="0"/>
          <w:numId w:val="25"/>
        </w:numPr>
        <w:spacing w:after="160" w:line="259" w:lineRule="auto"/>
        <w:jc w:val="left"/>
      </w:pPr>
      <w:r w:rsidRPr="001126C9">
        <w:t>Keeney, S.; Hasson, F.; McKenna, H. Consulting the oracle: ten lessons from using the Delphi technique in nursing research.</w:t>
      </w:r>
      <w:r w:rsidRPr="001126C9">
        <w:rPr>
          <w:i/>
          <w:iCs/>
        </w:rPr>
        <w:t xml:space="preserve"> J Adv Nurs</w:t>
      </w:r>
      <w:r w:rsidRPr="001126C9">
        <w:t xml:space="preserve">. </w:t>
      </w:r>
      <w:r w:rsidRPr="001126C9">
        <w:rPr>
          <w:b/>
          <w:bCs/>
        </w:rPr>
        <w:t>2006</w:t>
      </w:r>
      <w:r w:rsidRPr="001126C9">
        <w:t xml:space="preserve">;53:205-12. </w:t>
      </w:r>
    </w:p>
    <w:p w14:paraId="59A3EC84" w14:textId="7D4800EC" w:rsidR="00C5111C" w:rsidRDefault="003332D0" w:rsidP="00DA614F">
      <w:pPr>
        <w:numPr>
          <w:ilvl w:val="0"/>
          <w:numId w:val="25"/>
        </w:numPr>
        <w:spacing w:after="160" w:line="259" w:lineRule="auto"/>
        <w:jc w:val="left"/>
      </w:pPr>
      <w:r w:rsidRPr="001126C9">
        <w:t xml:space="preserve">Delbecq, A.; Van de Ven, A.H.; Gustafson, D.H. Group techniques for program planning : a guide to nominal group and Delphi processes. Scott Foresman. Glenview Ill, USA, 1975. </w:t>
      </w:r>
    </w:p>
    <w:p w14:paraId="51F800A5" w14:textId="7E0F83DC" w:rsidR="00C5111C" w:rsidRPr="001126C9" w:rsidRDefault="00C5111C" w:rsidP="00C5111C">
      <w:pPr>
        <w:numPr>
          <w:ilvl w:val="0"/>
          <w:numId w:val="25"/>
        </w:numPr>
        <w:spacing w:after="160" w:line="259" w:lineRule="auto"/>
        <w:jc w:val="left"/>
      </w:pPr>
      <w:r w:rsidRPr="001126C9">
        <w:lastRenderedPageBreak/>
        <w:t xml:space="preserve">Stegenga, J. Three Criteria for Consensus Conferences. </w:t>
      </w:r>
      <w:r w:rsidRPr="001126C9">
        <w:rPr>
          <w:i/>
          <w:iCs/>
        </w:rPr>
        <w:t>Found Sci</w:t>
      </w:r>
      <w:r w:rsidRPr="001126C9">
        <w:t xml:space="preserve">. </w:t>
      </w:r>
      <w:r w:rsidRPr="001126C9">
        <w:rPr>
          <w:b/>
          <w:bCs/>
        </w:rPr>
        <w:t>2016</w:t>
      </w:r>
      <w:r w:rsidRPr="001126C9">
        <w:t>;21:35–49</w:t>
      </w:r>
    </w:p>
    <w:p w14:paraId="5F8E125A" w14:textId="434139D1" w:rsidR="00D243FB" w:rsidRDefault="00C5111C" w:rsidP="00DA614F">
      <w:pPr>
        <w:numPr>
          <w:ilvl w:val="0"/>
          <w:numId w:val="25"/>
        </w:numPr>
        <w:spacing w:after="160" w:line="259" w:lineRule="auto"/>
        <w:jc w:val="left"/>
      </w:pPr>
      <w:r w:rsidRPr="001126C9">
        <w:t>Keeney, S.; Hasson, F.; McKenna, H.P. The Delphi technique. In The Delphi technique in nursing and health research. Wiley-Blackwell, Chichester, West Sussex:, 2011, pp. 1-16.</w:t>
      </w:r>
    </w:p>
    <w:p w14:paraId="761DA586" w14:textId="77777777" w:rsidR="00D243FB" w:rsidRDefault="00D243FB" w:rsidP="00D243FB">
      <w:pPr>
        <w:pStyle w:val="ListParagraph"/>
        <w:numPr>
          <w:ilvl w:val="0"/>
          <w:numId w:val="25"/>
        </w:numPr>
      </w:pPr>
      <w:r w:rsidRPr="00D243FB">
        <w:t>Powell, C. The Delphi technique: myths and realities. J Adv Nurs.</w:t>
      </w:r>
      <w:r w:rsidRPr="00D243FB">
        <w:rPr>
          <w:b/>
          <w:bCs/>
        </w:rPr>
        <w:t xml:space="preserve"> 2003</w:t>
      </w:r>
      <w:r w:rsidRPr="00D243FB">
        <w:t xml:space="preserve">;41:376-82. </w:t>
      </w:r>
    </w:p>
    <w:p w14:paraId="375D80B8" w14:textId="77777777" w:rsidR="00810610" w:rsidRDefault="00810610" w:rsidP="00810610">
      <w:pPr>
        <w:pStyle w:val="ListParagraph"/>
      </w:pPr>
    </w:p>
    <w:p w14:paraId="273607CC" w14:textId="77777777" w:rsidR="00AA3A95" w:rsidRDefault="00810610" w:rsidP="00810610">
      <w:pPr>
        <w:pStyle w:val="ListParagraph"/>
        <w:numPr>
          <w:ilvl w:val="0"/>
          <w:numId w:val="25"/>
        </w:numPr>
      </w:pPr>
      <w:r>
        <w:t xml:space="preserve">Hsieh, H.F.; Shannon, S.E. Three approaches to qualitative content analysis. Qual Health Res. </w:t>
      </w:r>
      <w:r w:rsidRPr="00810610">
        <w:rPr>
          <w:b/>
          <w:bCs/>
        </w:rPr>
        <w:t>2005</w:t>
      </w:r>
      <w:r>
        <w:t>;15:1277-88.</w:t>
      </w:r>
    </w:p>
    <w:p w14:paraId="7B277C6A" w14:textId="77777777" w:rsidR="00897B12" w:rsidRDefault="00897B12" w:rsidP="00897B12">
      <w:pPr>
        <w:pStyle w:val="ListParagraph"/>
      </w:pPr>
    </w:p>
    <w:p w14:paraId="41AA6D5D" w14:textId="045CC609" w:rsidR="00897B12" w:rsidRDefault="00897B12" w:rsidP="00897B12">
      <w:pPr>
        <w:pStyle w:val="EndnoteText"/>
        <w:numPr>
          <w:ilvl w:val="0"/>
          <w:numId w:val="25"/>
        </w:numPr>
      </w:pPr>
      <w:r>
        <w:t>Sumsion, T. The Delphi Technique: An Adaptive Research Tool. British Journal of Occupational Therapy. 1998;61:153-156.</w:t>
      </w:r>
    </w:p>
    <w:p w14:paraId="0AC68228" w14:textId="77777777" w:rsidR="00AA3A95" w:rsidRDefault="00AA3A95" w:rsidP="00AA3A95">
      <w:pPr>
        <w:pStyle w:val="ListParagraph"/>
      </w:pPr>
    </w:p>
    <w:p w14:paraId="3604402A" w14:textId="77777777" w:rsidR="00AA3A95" w:rsidRDefault="00AA3A95" w:rsidP="00AA3A95">
      <w:pPr>
        <w:pStyle w:val="EndnoteText"/>
        <w:numPr>
          <w:ilvl w:val="0"/>
          <w:numId w:val="25"/>
        </w:numPr>
      </w:pPr>
      <w:r>
        <w:t xml:space="preserve">Pescheny, J.V.; Pappas, Y.; Randhawa, G. Facilitators and barriers of implementing and delivering social prescribing services: a systematic review. BMC Health Serv Res. </w:t>
      </w:r>
      <w:r w:rsidRPr="00AA3A95">
        <w:rPr>
          <w:b/>
          <w:bCs/>
        </w:rPr>
        <w:t>2018</w:t>
      </w:r>
      <w:r>
        <w:t xml:space="preserve">;18:86  </w:t>
      </w:r>
    </w:p>
    <w:p w14:paraId="1EF670EC" w14:textId="77777777" w:rsidR="00575AE3" w:rsidRDefault="00575AE3" w:rsidP="00575AE3">
      <w:pPr>
        <w:pStyle w:val="ListParagraph"/>
      </w:pPr>
    </w:p>
    <w:p w14:paraId="5A8A0C14" w14:textId="77777777" w:rsidR="00575AE3" w:rsidRDefault="00575AE3" w:rsidP="00575AE3">
      <w:pPr>
        <w:pStyle w:val="EndnoteText"/>
        <w:numPr>
          <w:ilvl w:val="0"/>
          <w:numId w:val="25"/>
        </w:numPr>
      </w:pPr>
      <w:r w:rsidRPr="0054435E">
        <w:t xml:space="preserve">Nancarrow SA, Booth A, Ariss S, Smith T, Enderby P, Roots A. Ten principles of good interdisciplinary team work. Hum Resour Health. </w:t>
      </w:r>
      <w:r w:rsidRPr="00575AE3">
        <w:rPr>
          <w:b/>
          <w:bCs/>
        </w:rPr>
        <w:t>2013</w:t>
      </w:r>
      <w:r w:rsidRPr="0054435E">
        <w:t>;11:19. Published 2013 May 10. doi:10.1186/1478-4491-11-19</w:t>
      </w:r>
      <w:r>
        <w:t xml:space="preserve"> </w:t>
      </w:r>
    </w:p>
    <w:p w14:paraId="43A2842A" w14:textId="77777777" w:rsidR="00BB5F5B" w:rsidRDefault="00BB5F5B" w:rsidP="00BB5F5B">
      <w:pPr>
        <w:pStyle w:val="ListParagraph"/>
      </w:pPr>
    </w:p>
    <w:p w14:paraId="0E4D8B87" w14:textId="15A13D93" w:rsidR="00BB5F5B" w:rsidRDefault="00BB5F5B" w:rsidP="00BB5F5B">
      <w:pPr>
        <w:pStyle w:val="EndnoteText"/>
        <w:numPr>
          <w:ilvl w:val="0"/>
          <w:numId w:val="25"/>
        </w:numPr>
      </w:pPr>
      <w:r w:rsidRPr="00565985">
        <w:t>Stein, J.</w:t>
      </w:r>
      <w:r>
        <w:t>;</w:t>
      </w:r>
      <w:r w:rsidRPr="00565985">
        <w:t xml:space="preserve"> Graham</w:t>
      </w:r>
      <w:r>
        <w:t>, C.R</w:t>
      </w:r>
      <w:r w:rsidRPr="00565985">
        <w:t>.</w:t>
      </w:r>
      <w:r>
        <w:t xml:space="preserve"> Blended teaching and learning. In</w:t>
      </w:r>
      <w:r w:rsidRPr="00565985">
        <w:t xml:space="preserve"> Essentials for Blended Learning</w:t>
      </w:r>
      <w:r w:rsidRPr="00565985">
        <w:rPr>
          <w:rFonts w:ascii="Times New Roman" w:hAnsi="Times New Roman"/>
        </w:rPr>
        <w:t> </w:t>
      </w:r>
      <w:r w:rsidRPr="00565985">
        <w:t xml:space="preserve">: a Standards-Based Guide. Second edition., Routledge, </w:t>
      </w:r>
      <w:r>
        <w:t xml:space="preserve">New York, USA. </w:t>
      </w:r>
      <w:r w:rsidRPr="00565985">
        <w:t>2020</w:t>
      </w:r>
      <w:r>
        <w:t>; pp13-16</w:t>
      </w:r>
    </w:p>
    <w:p w14:paraId="7FFA21EF" w14:textId="77777777" w:rsidR="00BB5F5B" w:rsidRDefault="00BB5F5B" w:rsidP="00BB5F5B">
      <w:pPr>
        <w:pStyle w:val="ListParagraph"/>
      </w:pPr>
    </w:p>
    <w:p w14:paraId="7969C149" w14:textId="267B8321" w:rsidR="00BB5F5B" w:rsidRDefault="00CE67FD" w:rsidP="00CE67FD">
      <w:pPr>
        <w:pStyle w:val="EndnoteText"/>
        <w:numPr>
          <w:ilvl w:val="0"/>
          <w:numId w:val="25"/>
        </w:numPr>
      </w:pPr>
      <w:r w:rsidRPr="00211729">
        <w:t>Moon, H.</w:t>
      </w:r>
      <w:r>
        <w:t>;</w:t>
      </w:r>
      <w:r w:rsidRPr="00211729">
        <w:t xml:space="preserve"> Hyun, H.S. Nursing students’ knowledge, attitude, self-efficacy in blended learning of cardiopulmonary resuscitation: a randomized controlled trial. </w:t>
      </w:r>
      <w:r w:rsidRPr="0054435E">
        <w:rPr>
          <w:i/>
          <w:iCs/>
        </w:rPr>
        <w:t>BMC Med Educ.</w:t>
      </w:r>
      <w:r>
        <w:t xml:space="preserve"> </w:t>
      </w:r>
      <w:r w:rsidRPr="0054435E">
        <w:rPr>
          <w:b/>
          <w:bCs/>
        </w:rPr>
        <w:t>2019</w:t>
      </w:r>
      <w:r>
        <w:t>;</w:t>
      </w:r>
      <w:r w:rsidRPr="00211729">
        <w:t xml:space="preserve"> 19</w:t>
      </w:r>
      <w:r>
        <w:t xml:space="preserve">: </w:t>
      </w:r>
      <w:r w:rsidRPr="00211729">
        <w:t xml:space="preserve">414 </w:t>
      </w:r>
    </w:p>
    <w:p w14:paraId="19FA20A8" w14:textId="77777777" w:rsidR="00CE67FD" w:rsidRDefault="00CE67FD" w:rsidP="00CE67FD">
      <w:pPr>
        <w:pStyle w:val="ListParagraph"/>
      </w:pPr>
    </w:p>
    <w:p w14:paraId="18FAE88F" w14:textId="77777777" w:rsidR="00C60421" w:rsidRDefault="00C60421" w:rsidP="00C60421">
      <w:pPr>
        <w:pStyle w:val="EndnoteText"/>
        <w:numPr>
          <w:ilvl w:val="0"/>
          <w:numId w:val="25"/>
        </w:numPr>
      </w:pPr>
      <w:r w:rsidRPr="001F4804">
        <w:t>McCutcheon</w:t>
      </w:r>
      <w:r>
        <w:t>,</w:t>
      </w:r>
      <w:r w:rsidRPr="001F4804">
        <w:t xml:space="preserve"> K</w:t>
      </w:r>
      <w:r>
        <w:t>.;</w:t>
      </w:r>
      <w:r w:rsidRPr="001F4804">
        <w:t xml:space="preserve"> O'Halloran</w:t>
      </w:r>
      <w:r>
        <w:t>,</w:t>
      </w:r>
      <w:r w:rsidRPr="001F4804">
        <w:t xml:space="preserve"> P</w:t>
      </w:r>
      <w:r>
        <w:t>.;</w:t>
      </w:r>
      <w:r w:rsidRPr="001F4804">
        <w:t xml:space="preserve"> Lohan</w:t>
      </w:r>
      <w:r>
        <w:t>,</w:t>
      </w:r>
      <w:r w:rsidRPr="001F4804">
        <w:t xml:space="preserve"> M. Online learning versus blended learning of clinical supervisee skills with pre-registration nursing students: A randomised controlled trial. </w:t>
      </w:r>
      <w:r w:rsidRPr="0054435E">
        <w:rPr>
          <w:i/>
          <w:iCs/>
        </w:rPr>
        <w:t>Int J Nurs Stud</w:t>
      </w:r>
      <w:r>
        <w:t>.</w:t>
      </w:r>
      <w:r w:rsidRPr="001F4804">
        <w:t xml:space="preserve"> </w:t>
      </w:r>
      <w:r w:rsidRPr="0054435E">
        <w:rPr>
          <w:b/>
          <w:bCs/>
        </w:rPr>
        <w:t>2018</w:t>
      </w:r>
      <w:r>
        <w:t>;</w:t>
      </w:r>
      <w:r w:rsidRPr="001F4804">
        <w:t xml:space="preserve">82:30-39. </w:t>
      </w:r>
    </w:p>
    <w:p w14:paraId="6CB8726A" w14:textId="77777777" w:rsidR="00C60421" w:rsidRDefault="00C60421" w:rsidP="00C60421">
      <w:pPr>
        <w:pStyle w:val="ListParagraph"/>
      </w:pPr>
    </w:p>
    <w:p w14:paraId="7B0A3CBF" w14:textId="77777777" w:rsidR="00C60421" w:rsidRDefault="00C60421" w:rsidP="00C60421">
      <w:pPr>
        <w:pStyle w:val="EndnoteText"/>
        <w:numPr>
          <w:ilvl w:val="0"/>
          <w:numId w:val="25"/>
        </w:numPr>
      </w:pPr>
      <w:r w:rsidRPr="000B228A">
        <w:t>Bock</w:t>
      </w:r>
      <w:r>
        <w:t>,</w:t>
      </w:r>
      <w:r w:rsidRPr="000B228A">
        <w:t xml:space="preserve"> A</w:t>
      </w:r>
      <w:r>
        <w:t>.;</w:t>
      </w:r>
      <w:r w:rsidRPr="000B228A">
        <w:t xml:space="preserve"> Kniha</w:t>
      </w:r>
      <w:r>
        <w:t>,</w:t>
      </w:r>
      <w:r w:rsidRPr="000B228A">
        <w:t xml:space="preserve"> K</w:t>
      </w:r>
      <w:r>
        <w:t>.;</w:t>
      </w:r>
      <w:r w:rsidRPr="000B228A">
        <w:t xml:space="preserve"> Goloborodko</w:t>
      </w:r>
      <w:r>
        <w:t>,</w:t>
      </w:r>
      <w:r w:rsidRPr="000B228A">
        <w:t xml:space="preserve"> E</w:t>
      </w:r>
      <w:r>
        <w:t>.;</w:t>
      </w:r>
      <w:r w:rsidRPr="000B228A">
        <w:t xml:space="preserve"> Lemos</w:t>
      </w:r>
      <w:r>
        <w:t>,</w:t>
      </w:r>
      <w:r w:rsidRPr="000B228A">
        <w:t xml:space="preserve"> M</w:t>
      </w:r>
      <w:r>
        <w:t>.;</w:t>
      </w:r>
      <w:r w:rsidRPr="000B228A">
        <w:t xml:space="preserve"> Rittich</w:t>
      </w:r>
      <w:r>
        <w:t>,</w:t>
      </w:r>
      <w:r w:rsidRPr="000B228A">
        <w:t xml:space="preserve"> A</w:t>
      </w:r>
      <w:r>
        <w:t>.</w:t>
      </w:r>
      <w:r w:rsidRPr="000B228A">
        <w:t>B</w:t>
      </w:r>
      <w:r>
        <w:t>.;</w:t>
      </w:r>
      <w:r w:rsidRPr="000B228A">
        <w:t xml:space="preserve"> Möhlhenrich</w:t>
      </w:r>
      <w:r>
        <w:t>,</w:t>
      </w:r>
      <w:r w:rsidRPr="000B228A">
        <w:t xml:space="preserve"> S</w:t>
      </w:r>
      <w:r>
        <w:t>.</w:t>
      </w:r>
      <w:r w:rsidRPr="000B228A">
        <w:t>C</w:t>
      </w:r>
      <w:r>
        <w:t>.;</w:t>
      </w:r>
      <w:r w:rsidRPr="000B228A">
        <w:t xml:space="preserve"> Rafai</w:t>
      </w:r>
      <w:r>
        <w:t>,</w:t>
      </w:r>
      <w:r w:rsidRPr="000B228A">
        <w:t xml:space="preserve"> N</w:t>
      </w:r>
      <w:r>
        <w:t>.;</w:t>
      </w:r>
      <w:r w:rsidRPr="000B228A">
        <w:t xml:space="preserve"> Hölzle</w:t>
      </w:r>
      <w:r>
        <w:t>,</w:t>
      </w:r>
      <w:r w:rsidRPr="000B228A">
        <w:t xml:space="preserve"> F</w:t>
      </w:r>
      <w:r>
        <w:t>.;</w:t>
      </w:r>
      <w:r w:rsidRPr="000B228A">
        <w:t xml:space="preserve"> Modabber</w:t>
      </w:r>
      <w:r>
        <w:t>,</w:t>
      </w:r>
      <w:r w:rsidRPr="000B228A">
        <w:t xml:space="preserve"> A</w:t>
      </w:r>
      <w:r>
        <w:t>.</w:t>
      </w:r>
      <w:r w:rsidRPr="000B228A">
        <w:t xml:space="preserve"> Effectiveness of face-to-face, blended and e-learning in teaching the application of local anaesthesia: a randomised study.</w:t>
      </w:r>
      <w:r w:rsidRPr="0054435E">
        <w:rPr>
          <w:i/>
          <w:iCs/>
        </w:rPr>
        <w:t xml:space="preserve"> BMC Med Educ</w:t>
      </w:r>
      <w:r w:rsidRPr="000B228A">
        <w:t xml:space="preserve">. </w:t>
      </w:r>
      <w:r w:rsidRPr="0054435E">
        <w:rPr>
          <w:b/>
          <w:bCs/>
        </w:rPr>
        <w:t>2021</w:t>
      </w:r>
      <w:r w:rsidRPr="000B228A">
        <w:t xml:space="preserve">;21:137. </w:t>
      </w:r>
    </w:p>
    <w:p w14:paraId="5E165594" w14:textId="77777777" w:rsidR="0020411C" w:rsidRDefault="0020411C" w:rsidP="0020411C">
      <w:pPr>
        <w:pStyle w:val="ListParagraph"/>
      </w:pPr>
    </w:p>
    <w:p w14:paraId="075D05CA" w14:textId="7C63D8F1" w:rsidR="0020411C" w:rsidRDefault="0020411C" w:rsidP="0020411C">
      <w:pPr>
        <w:pStyle w:val="EndnoteText"/>
        <w:numPr>
          <w:ilvl w:val="0"/>
          <w:numId w:val="25"/>
        </w:numPr>
      </w:pPr>
      <w:r w:rsidRPr="00E912E6">
        <w:t>Kohnke</w:t>
      </w:r>
      <w:r>
        <w:t xml:space="preserve">, L.; </w:t>
      </w:r>
      <w:r w:rsidRPr="00E912E6">
        <w:t>Moorhouse</w:t>
      </w:r>
      <w:r>
        <w:t>, B.L.</w:t>
      </w:r>
      <w:r w:rsidRPr="00E912E6">
        <w:t xml:space="preserve"> Adopting HyFlex in higher education in response to COVID-19: students’ perspectives</w:t>
      </w:r>
      <w:r>
        <w:t xml:space="preserve">. </w:t>
      </w:r>
      <w:r w:rsidRPr="0054435E">
        <w:rPr>
          <w:i/>
          <w:iCs/>
        </w:rPr>
        <w:t>Open Learning: The Journal of Open, Distance and e-Learning</w:t>
      </w:r>
      <w:r>
        <w:t>.</w:t>
      </w:r>
      <w:r w:rsidRPr="0054435E">
        <w:rPr>
          <w:b/>
          <w:bCs/>
        </w:rPr>
        <w:t xml:space="preserve"> 2021</w:t>
      </w:r>
      <w:r>
        <w:t>;</w:t>
      </w:r>
      <w:r w:rsidRPr="00E912E6">
        <w:t>36: 231-244</w:t>
      </w:r>
    </w:p>
    <w:p w14:paraId="729EC0A8" w14:textId="77777777" w:rsidR="0020411C" w:rsidRDefault="0020411C" w:rsidP="0020411C">
      <w:pPr>
        <w:pStyle w:val="ListParagraph"/>
      </w:pPr>
    </w:p>
    <w:p w14:paraId="7A1B1A42" w14:textId="77777777" w:rsidR="00B8688B" w:rsidRDefault="00B8688B" w:rsidP="00B8688B">
      <w:pPr>
        <w:pStyle w:val="EndnoteText"/>
        <w:numPr>
          <w:ilvl w:val="0"/>
          <w:numId w:val="25"/>
        </w:numPr>
      </w:pPr>
      <w:r w:rsidRPr="00803A4C">
        <w:t>Melzer</w:t>
      </w:r>
      <w:r>
        <w:t>,</w:t>
      </w:r>
      <w:r w:rsidRPr="00803A4C">
        <w:t xml:space="preserve"> K</w:t>
      </w:r>
      <w:r>
        <w:t>.;</w:t>
      </w:r>
      <w:r w:rsidRPr="00803A4C">
        <w:t xml:space="preserve"> Kayser</w:t>
      </w:r>
      <w:r>
        <w:t>,</w:t>
      </w:r>
      <w:r w:rsidRPr="00803A4C">
        <w:t xml:space="preserve"> B</w:t>
      </w:r>
      <w:r>
        <w:t>.;</w:t>
      </w:r>
      <w:r w:rsidRPr="00803A4C">
        <w:t xml:space="preserve"> Pichard</w:t>
      </w:r>
      <w:r>
        <w:t>,</w:t>
      </w:r>
      <w:r w:rsidRPr="00803A4C">
        <w:t xml:space="preserve"> C. Physical activity: the health benefits outweigh the risks. </w:t>
      </w:r>
      <w:r w:rsidRPr="0054435E">
        <w:rPr>
          <w:i/>
          <w:iCs/>
        </w:rPr>
        <w:t>Curr Opin Clin Nutr Metab Care</w:t>
      </w:r>
      <w:r w:rsidRPr="0054435E">
        <w:rPr>
          <w:b/>
          <w:bCs/>
          <w:i/>
          <w:iCs/>
        </w:rPr>
        <w:t>.</w:t>
      </w:r>
      <w:r w:rsidRPr="0054435E">
        <w:rPr>
          <w:b/>
          <w:bCs/>
        </w:rPr>
        <w:t xml:space="preserve"> 2004</w:t>
      </w:r>
      <w:r w:rsidRPr="00803A4C">
        <w:t>;7:641-7.</w:t>
      </w:r>
    </w:p>
    <w:p w14:paraId="7CCB45C4" w14:textId="77777777" w:rsidR="00B8688B" w:rsidRDefault="00B8688B" w:rsidP="00B8688B">
      <w:pPr>
        <w:pStyle w:val="ListParagraph"/>
        <w:rPr>
          <w:lang w:val="en-GB"/>
        </w:rPr>
      </w:pPr>
    </w:p>
    <w:p w14:paraId="1D4070B5" w14:textId="77777777" w:rsidR="00B8688B" w:rsidRDefault="00B8688B" w:rsidP="00B8688B">
      <w:pPr>
        <w:pStyle w:val="EndnoteText"/>
        <w:numPr>
          <w:ilvl w:val="0"/>
          <w:numId w:val="25"/>
        </w:numPr>
      </w:pPr>
      <w:r w:rsidRPr="0054435E">
        <w:rPr>
          <w:lang w:val="en-GB"/>
        </w:rPr>
        <w:t>Legood, R.; Scuffham, P.; Cryer, C. Are we blind to injuries in the visually impaired? A review of the literature</w:t>
      </w:r>
      <w:r>
        <w:t xml:space="preserve"> </w:t>
      </w:r>
      <w:r w:rsidRPr="0054435E">
        <w:rPr>
          <w:i/>
          <w:iCs/>
          <w:lang w:val="en-GB"/>
        </w:rPr>
        <w:t>Injury Prevention </w:t>
      </w:r>
      <w:r w:rsidRPr="0054435E">
        <w:rPr>
          <w:b/>
          <w:bCs/>
          <w:lang w:val="en-GB"/>
        </w:rPr>
        <w:t>2002</w:t>
      </w:r>
      <w:r w:rsidRPr="0054435E">
        <w:rPr>
          <w:lang w:val="en-GB"/>
        </w:rPr>
        <w:t>;8</w:t>
      </w:r>
      <w:r w:rsidRPr="0054435E">
        <w:rPr>
          <w:b/>
          <w:bCs/>
          <w:lang w:val="en-GB"/>
        </w:rPr>
        <w:t>:</w:t>
      </w:r>
      <w:r w:rsidRPr="0054435E">
        <w:rPr>
          <w:lang w:val="en-GB"/>
        </w:rPr>
        <w:t>155-160.</w:t>
      </w:r>
    </w:p>
    <w:p w14:paraId="4C309703" w14:textId="77777777" w:rsidR="00B8688B" w:rsidRDefault="00B8688B" w:rsidP="00B8688B">
      <w:pPr>
        <w:pStyle w:val="ListParagraph"/>
      </w:pPr>
    </w:p>
    <w:p w14:paraId="7F1E1DF6" w14:textId="77777777" w:rsidR="00B8688B" w:rsidRDefault="00B8688B" w:rsidP="00B8688B">
      <w:pPr>
        <w:pStyle w:val="EndnoteText"/>
        <w:numPr>
          <w:ilvl w:val="0"/>
          <w:numId w:val="25"/>
        </w:numPr>
      </w:pPr>
      <w:r w:rsidRPr="00497D4E">
        <w:t>Law</w:t>
      </w:r>
      <w:r>
        <w:t>,</w:t>
      </w:r>
      <w:r w:rsidRPr="00497D4E">
        <w:t xml:space="preserve"> L</w:t>
      </w:r>
      <w:r>
        <w:t>.</w:t>
      </w:r>
      <w:r w:rsidRPr="00497D4E">
        <w:t>L</w:t>
      </w:r>
      <w:r>
        <w:t>;</w:t>
      </w:r>
      <w:r w:rsidRPr="00497D4E">
        <w:t xml:space="preserve"> Barnett</w:t>
      </w:r>
      <w:r>
        <w:t>,</w:t>
      </w:r>
      <w:r w:rsidRPr="00497D4E">
        <w:t xml:space="preserve"> F</w:t>
      </w:r>
      <w:r>
        <w:t>.;</w:t>
      </w:r>
      <w:r w:rsidRPr="00497D4E">
        <w:t xml:space="preserve"> Yau</w:t>
      </w:r>
      <w:r>
        <w:t>,</w:t>
      </w:r>
      <w:r w:rsidRPr="00497D4E">
        <w:t xml:space="preserve"> M</w:t>
      </w:r>
      <w:r>
        <w:t>.</w:t>
      </w:r>
      <w:r w:rsidRPr="00497D4E">
        <w:t>K</w:t>
      </w:r>
      <w:r>
        <w:t>.;</w:t>
      </w:r>
      <w:r w:rsidRPr="00497D4E">
        <w:t xml:space="preserve"> Gray</w:t>
      </w:r>
      <w:r>
        <w:t>,</w:t>
      </w:r>
      <w:r w:rsidRPr="00497D4E">
        <w:t xml:space="preserve"> M</w:t>
      </w:r>
      <w:r>
        <w:t>.</w:t>
      </w:r>
      <w:r w:rsidRPr="00497D4E">
        <w:t>A. Effects of combined cognitive and exercise interventions on cognition in older adults with and without cognitive impairment: a systematic review</w:t>
      </w:r>
      <w:r w:rsidRPr="0054435E">
        <w:rPr>
          <w:i/>
          <w:iCs/>
        </w:rPr>
        <w:t>. Ageing Res Rev.</w:t>
      </w:r>
      <w:r w:rsidRPr="00497D4E">
        <w:t xml:space="preserve"> </w:t>
      </w:r>
      <w:r w:rsidRPr="0054435E">
        <w:rPr>
          <w:b/>
          <w:bCs/>
        </w:rPr>
        <w:t>2014</w:t>
      </w:r>
      <w:r w:rsidRPr="00497D4E">
        <w:t xml:space="preserve">;15:61-75. </w:t>
      </w:r>
    </w:p>
    <w:p w14:paraId="41705855" w14:textId="77777777" w:rsidR="00B8688B" w:rsidRDefault="00B8688B" w:rsidP="00B8688B">
      <w:pPr>
        <w:pStyle w:val="ListParagraph"/>
      </w:pPr>
    </w:p>
    <w:p w14:paraId="0DF9995C" w14:textId="77777777" w:rsidR="00B8688B" w:rsidRDefault="00B8688B" w:rsidP="00B8688B">
      <w:pPr>
        <w:pStyle w:val="EndnoteText"/>
        <w:numPr>
          <w:ilvl w:val="0"/>
          <w:numId w:val="25"/>
        </w:numPr>
      </w:pPr>
      <w:r w:rsidRPr="00C27154">
        <w:lastRenderedPageBreak/>
        <w:t>Sweeting</w:t>
      </w:r>
      <w:r>
        <w:t>,</w:t>
      </w:r>
      <w:r w:rsidRPr="00C27154">
        <w:t xml:space="preserve"> J</w:t>
      </w:r>
      <w:r>
        <w:t>.;</w:t>
      </w:r>
      <w:r w:rsidRPr="00C27154">
        <w:t xml:space="preserve"> Merom</w:t>
      </w:r>
      <w:r>
        <w:t>,</w:t>
      </w:r>
      <w:r w:rsidRPr="00C27154">
        <w:t xml:space="preserve"> D</w:t>
      </w:r>
      <w:r>
        <w:t>.;</w:t>
      </w:r>
      <w:r w:rsidRPr="00C27154">
        <w:t xml:space="preserve"> Astuti</w:t>
      </w:r>
      <w:r>
        <w:t>,</w:t>
      </w:r>
      <w:r w:rsidRPr="00C27154">
        <w:t xml:space="preserve"> P</w:t>
      </w:r>
      <w:r>
        <w:t>.</w:t>
      </w:r>
      <w:r w:rsidRPr="00C27154">
        <w:t>A</w:t>
      </w:r>
      <w:r>
        <w:t>.</w:t>
      </w:r>
      <w:r w:rsidRPr="00C27154">
        <w:t>S</w:t>
      </w:r>
      <w:r>
        <w:t>.;</w:t>
      </w:r>
      <w:r w:rsidRPr="00C27154">
        <w:t xml:space="preserve"> Antoun</w:t>
      </w:r>
      <w:r>
        <w:t>,</w:t>
      </w:r>
      <w:r w:rsidRPr="00C27154">
        <w:t xml:space="preserve"> M</w:t>
      </w:r>
      <w:r>
        <w:t>.;</w:t>
      </w:r>
      <w:r w:rsidRPr="00C27154">
        <w:t xml:space="preserve"> Edwards</w:t>
      </w:r>
      <w:r>
        <w:t>,</w:t>
      </w:r>
      <w:r w:rsidRPr="00C27154">
        <w:t xml:space="preserve"> K</w:t>
      </w:r>
      <w:r>
        <w:t>.;</w:t>
      </w:r>
      <w:r w:rsidRPr="00C27154">
        <w:t xml:space="preserve"> Ding</w:t>
      </w:r>
      <w:r>
        <w:t>,</w:t>
      </w:r>
      <w:r w:rsidRPr="00C27154">
        <w:t xml:space="preserve"> D. Physical activity interventions for adults who are visually impaired: a systematic review and meta-analysis. </w:t>
      </w:r>
      <w:r w:rsidRPr="0054435E">
        <w:rPr>
          <w:i/>
          <w:iCs/>
        </w:rPr>
        <w:t>BMJ Open</w:t>
      </w:r>
      <w:r w:rsidRPr="00C27154">
        <w:t>.</w:t>
      </w:r>
      <w:r w:rsidRPr="0054435E">
        <w:rPr>
          <w:b/>
          <w:bCs/>
        </w:rPr>
        <w:t xml:space="preserve"> 2020</w:t>
      </w:r>
      <w:r w:rsidRPr="00C27154">
        <w:t xml:space="preserve">;10:e034036. </w:t>
      </w:r>
    </w:p>
    <w:p w14:paraId="3B7D2827" w14:textId="77777777" w:rsidR="00B8688B" w:rsidRDefault="00B8688B" w:rsidP="00B8688B">
      <w:pPr>
        <w:pStyle w:val="ListParagraph"/>
      </w:pPr>
    </w:p>
    <w:p w14:paraId="4B7A2FD1" w14:textId="77777777" w:rsidR="00B8688B" w:rsidRDefault="00B8688B" w:rsidP="00B8688B">
      <w:pPr>
        <w:pStyle w:val="EndnoteText"/>
        <w:numPr>
          <w:ilvl w:val="0"/>
          <w:numId w:val="25"/>
        </w:numPr>
      </w:pPr>
      <w:r w:rsidRPr="006325A8">
        <w:t>Thomas</w:t>
      </w:r>
      <w:r>
        <w:t>,</w:t>
      </w:r>
      <w:r w:rsidRPr="006325A8">
        <w:t xml:space="preserve"> E</w:t>
      </w:r>
      <w:r>
        <w:t xml:space="preserve">.; </w:t>
      </w:r>
      <w:r w:rsidRPr="006325A8">
        <w:t>Battaglia</w:t>
      </w:r>
      <w:r>
        <w:t>,</w:t>
      </w:r>
      <w:r w:rsidRPr="006325A8">
        <w:t xml:space="preserve"> G</w:t>
      </w:r>
      <w:r>
        <w:t>.;</w:t>
      </w:r>
      <w:r w:rsidRPr="006325A8">
        <w:t xml:space="preserve"> Patti</w:t>
      </w:r>
      <w:r>
        <w:t>,</w:t>
      </w:r>
      <w:r w:rsidRPr="006325A8">
        <w:t xml:space="preserve"> A</w:t>
      </w:r>
      <w:r>
        <w:t>.;</w:t>
      </w:r>
      <w:r w:rsidRPr="006325A8">
        <w:t xml:space="preserve"> Brusa</w:t>
      </w:r>
      <w:r>
        <w:t>,</w:t>
      </w:r>
      <w:r w:rsidRPr="006325A8">
        <w:t xml:space="preserve"> J</w:t>
      </w:r>
      <w:r>
        <w:t>.;</w:t>
      </w:r>
      <w:r w:rsidRPr="006325A8">
        <w:t xml:space="preserve"> Leonardi</w:t>
      </w:r>
      <w:r>
        <w:t>,</w:t>
      </w:r>
      <w:r w:rsidRPr="006325A8">
        <w:t xml:space="preserve"> V</w:t>
      </w:r>
      <w:r>
        <w:t>.;</w:t>
      </w:r>
      <w:r w:rsidRPr="006325A8">
        <w:t xml:space="preserve"> Palma</w:t>
      </w:r>
      <w:r>
        <w:t>,</w:t>
      </w:r>
      <w:r w:rsidRPr="006325A8">
        <w:t xml:space="preserve"> A</w:t>
      </w:r>
      <w:r>
        <w:t>.;</w:t>
      </w:r>
      <w:r w:rsidRPr="006325A8">
        <w:t xml:space="preserve"> Bellafiore</w:t>
      </w:r>
      <w:r>
        <w:t>,</w:t>
      </w:r>
      <w:r w:rsidRPr="006325A8">
        <w:t xml:space="preserve"> M. Physical activity programs for balance and fall prevention in elderly: A systematic review. </w:t>
      </w:r>
      <w:r w:rsidRPr="0054435E">
        <w:rPr>
          <w:i/>
          <w:iCs/>
        </w:rPr>
        <w:t xml:space="preserve">Medicine (Baltimore). </w:t>
      </w:r>
      <w:r w:rsidRPr="0054435E">
        <w:rPr>
          <w:b/>
          <w:bCs/>
        </w:rPr>
        <w:t>2019</w:t>
      </w:r>
      <w:r>
        <w:t xml:space="preserve">; </w:t>
      </w:r>
      <w:r w:rsidRPr="006325A8">
        <w:t xml:space="preserve">98:e16218. </w:t>
      </w:r>
    </w:p>
    <w:p w14:paraId="1D02F1ED" w14:textId="77777777" w:rsidR="009F4AD2" w:rsidRDefault="009F4AD2" w:rsidP="009F4AD2">
      <w:pPr>
        <w:pStyle w:val="ListParagraph"/>
      </w:pPr>
    </w:p>
    <w:p w14:paraId="59BDB243" w14:textId="77777777" w:rsidR="009F4AD2" w:rsidRPr="009F4AD2" w:rsidRDefault="009F4AD2" w:rsidP="009F4AD2">
      <w:pPr>
        <w:pStyle w:val="EndnoteText"/>
        <w:numPr>
          <w:ilvl w:val="0"/>
          <w:numId w:val="25"/>
        </w:numPr>
      </w:pPr>
      <w:r w:rsidRPr="0054435E">
        <w:rPr>
          <w:lang w:val="en-GB"/>
        </w:rPr>
        <w:t xml:space="preserve">Lauersen, J.B.; Bertelsen, D.M.; Andersen, L.B. The effectiveness of exercise interventions to prevent sports injuries: a systematic review and meta-analysis of randomised controlled trials </w:t>
      </w:r>
      <w:r w:rsidRPr="0054435E">
        <w:rPr>
          <w:i/>
          <w:iCs/>
          <w:lang w:val="en-GB"/>
        </w:rPr>
        <w:t>British Journal of Sports Medicine. </w:t>
      </w:r>
      <w:r w:rsidRPr="0054435E">
        <w:rPr>
          <w:b/>
          <w:bCs/>
          <w:lang w:val="en-GB"/>
        </w:rPr>
        <w:t>2014</w:t>
      </w:r>
      <w:r w:rsidRPr="0054435E">
        <w:rPr>
          <w:lang w:val="en-GB"/>
        </w:rPr>
        <w:t>;48</w:t>
      </w:r>
      <w:r w:rsidRPr="0054435E">
        <w:rPr>
          <w:b/>
          <w:bCs/>
          <w:lang w:val="en-GB"/>
        </w:rPr>
        <w:t>:</w:t>
      </w:r>
      <w:r w:rsidRPr="0054435E">
        <w:rPr>
          <w:lang w:val="en-GB"/>
        </w:rPr>
        <w:t>871-877.</w:t>
      </w:r>
    </w:p>
    <w:p w14:paraId="68527A79" w14:textId="77777777" w:rsidR="009F4AD2" w:rsidRDefault="009F4AD2" w:rsidP="009F4AD2">
      <w:pPr>
        <w:pStyle w:val="ListParagraph"/>
      </w:pPr>
    </w:p>
    <w:p w14:paraId="420FDD45" w14:textId="458FFB93" w:rsidR="009F4AD2" w:rsidRDefault="00327F08" w:rsidP="00327F08">
      <w:pPr>
        <w:pStyle w:val="EndnoteText"/>
        <w:numPr>
          <w:ilvl w:val="0"/>
          <w:numId w:val="25"/>
        </w:numPr>
      </w:pPr>
      <w:r w:rsidRPr="00192749">
        <w:t>Murphy</w:t>
      </w:r>
      <w:r>
        <w:t>,</w:t>
      </w:r>
      <w:r w:rsidRPr="00192749">
        <w:t xml:space="preserve"> M</w:t>
      </w:r>
      <w:r>
        <w:t>.</w:t>
      </w:r>
      <w:r w:rsidRPr="00192749">
        <w:t>K</w:t>
      </w:r>
      <w:r>
        <w:t>.;</w:t>
      </w:r>
      <w:r w:rsidRPr="00192749">
        <w:t xml:space="preserve"> Black</w:t>
      </w:r>
      <w:r>
        <w:t>,</w:t>
      </w:r>
      <w:r w:rsidRPr="00192749">
        <w:t xml:space="preserve"> N</w:t>
      </w:r>
      <w:r>
        <w:t>.</w:t>
      </w:r>
      <w:r w:rsidRPr="00192749">
        <w:t>A</w:t>
      </w:r>
      <w:r>
        <w:t>.;</w:t>
      </w:r>
      <w:r w:rsidRPr="00192749">
        <w:t xml:space="preserve"> Lamping</w:t>
      </w:r>
      <w:r>
        <w:t>,</w:t>
      </w:r>
      <w:r w:rsidRPr="00192749">
        <w:t xml:space="preserve"> D</w:t>
      </w:r>
      <w:r>
        <w:t>.</w:t>
      </w:r>
      <w:r w:rsidRPr="00192749">
        <w:t>L</w:t>
      </w:r>
      <w:r>
        <w:t>.;</w:t>
      </w:r>
      <w:r w:rsidRPr="00192749">
        <w:t xml:space="preserve"> McKee</w:t>
      </w:r>
      <w:r>
        <w:t>,</w:t>
      </w:r>
      <w:r w:rsidRPr="00192749">
        <w:t xml:space="preserve"> C</w:t>
      </w:r>
      <w:r>
        <w:t>.</w:t>
      </w:r>
      <w:r w:rsidRPr="00192749">
        <w:t>M</w:t>
      </w:r>
      <w:r>
        <w:t>.;</w:t>
      </w:r>
      <w:r w:rsidRPr="00192749">
        <w:t xml:space="preserve"> Sanderson</w:t>
      </w:r>
      <w:r>
        <w:t>,</w:t>
      </w:r>
      <w:r w:rsidRPr="00192749">
        <w:t xml:space="preserve"> C</w:t>
      </w:r>
      <w:r>
        <w:t>.</w:t>
      </w:r>
      <w:r w:rsidRPr="00192749">
        <w:t>F</w:t>
      </w:r>
      <w:r>
        <w:t>.;</w:t>
      </w:r>
      <w:r w:rsidRPr="00192749">
        <w:t xml:space="preserve"> Askham</w:t>
      </w:r>
      <w:r>
        <w:t>,</w:t>
      </w:r>
      <w:r w:rsidRPr="00192749">
        <w:t xml:space="preserve"> J</w:t>
      </w:r>
      <w:r>
        <w:t>.;</w:t>
      </w:r>
      <w:r w:rsidRPr="00192749">
        <w:t xml:space="preserve"> Marteau</w:t>
      </w:r>
      <w:r>
        <w:t>,</w:t>
      </w:r>
      <w:r w:rsidRPr="00192749">
        <w:t xml:space="preserve"> T. Consensus development methods, and their use in clinical guideline development. </w:t>
      </w:r>
      <w:r w:rsidRPr="0054435E">
        <w:rPr>
          <w:i/>
          <w:iCs/>
        </w:rPr>
        <w:t>Health Technol Assess</w:t>
      </w:r>
      <w:r w:rsidRPr="00192749">
        <w:t>.</w:t>
      </w:r>
      <w:r w:rsidRPr="0054435E">
        <w:rPr>
          <w:b/>
          <w:bCs/>
        </w:rPr>
        <w:t xml:space="preserve"> 1998</w:t>
      </w:r>
      <w:r w:rsidRPr="00192749">
        <w:t>;2:1-88.</w:t>
      </w:r>
    </w:p>
    <w:p w14:paraId="3D173DE9" w14:textId="77777777" w:rsidR="00327F08" w:rsidRDefault="00327F08" w:rsidP="00327F08">
      <w:pPr>
        <w:pStyle w:val="ListParagraph"/>
      </w:pPr>
    </w:p>
    <w:p w14:paraId="43714CA5" w14:textId="77777777" w:rsidR="00B04B2C" w:rsidRDefault="00B04B2C" w:rsidP="00B04B2C">
      <w:pPr>
        <w:pStyle w:val="EndnoteText"/>
        <w:numPr>
          <w:ilvl w:val="0"/>
          <w:numId w:val="25"/>
        </w:numPr>
      </w:pPr>
      <w:r w:rsidRPr="00140F0A">
        <w:t>Diamond</w:t>
      </w:r>
      <w:r>
        <w:t>,</w:t>
      </w:r>
      <w:r w:rsidRPr="00140F0A">
        <w:t xml:space="preserve"> I</w:t>
      </w:r>
      <w:r>
        <w:t>.</w:t>
      </w:r>
      <w:r w:rsidRPr="00140F0A">
        <w:t>R</w:t>
      </w:r>
      <w:r>
        <w:t>.;</w:t>
      </w:r>
      <w:r w:rsidRPr="00140F0A">
        <w:t xml:space="preserve"> Grant</w:t>
      </w:r>
      <w:r>
        <w:t>,</w:t>
      </w:r>
      <w:r w:rsidRPr="00140F0A">
        <w:t xml:space="preserve"> R</w:t>
      </w:r>
      <w:r>
        <w:t>.</w:t>
      </w:r>
      <w:r w:rsidRPr="00140F0A">
        <w:t>C</w:t>
      </w:r>
      <w:r>
        <w:t>.;</w:t>
      </w:r>
      <w:r w:rsidRPr="00140F0A">
        <w:t xml:space="preserve"> Feldman</w:t>
      </w:r>
      <w:r>
        <w:t>,</w:t>
      </w:r>
      <w:r w:rsidRPr="00140F0A">
        <w:t xml:space="preserve"> B</w:t>
      </w:r>
      <w:r>
        <w:t>.</w:t>
      </w:r>
      <w:r w:rsidRPr="00140F0A">
        <w:t>M</w:t>
      </w:r>
      <w:r>
        <w:t>.;</w:t>
      </w:r>
      <w:r w:rsidRPr="00140F0A">
        <w:t xml:space="preserve"> Pencharz</w:t>
      </w:r>
      <w:r>
        <w:t>,</w:t>
      </w:r>
      <w:r w:rsidRPr="00140F0A">
        <w:t xml:space="preserve"> P</w:t>
      </w:r>
      <w:r>
        <w:t>.</w:t>
      </w:r>
      <w:r w:rsidRPr="00140F0A">
        <w:t>B</w:t>
      </w:r>
      <w:r>
        <w:t>.;</w:t>
      </w:r>
      <w:r w:rsidRPr="00140F0A">
        <w:t xml:space="preserve"> Ling</w:t>
      </w:r>
      <w:r>
        <w:t>,</w:t>
      </w:r>
      <w:r w:rsidRPr="00140F0A">
        <w:t xml:space="preserve"> S</w:t>
      </w:r>
      <w:r>
        <w:t>.</w:t>
      </w:r>
      <w:r w:rsidRPr="00140F0A">
        <w:t>C</w:t>
      </w:r>
      <w:r>
        <w:t>.;</w:t>
      </w:r>
      <w:r w:rsidRPr="00140F0A">
        <w:t xml:space="preserve"> Moore</w:t>
      </w:r>
      <w:r>
        <w:t>,</w:t>
      </w:r>
      <w:r w:rsidRPr="00140F0A">
        <w:t xml:space="preserve"> A</w:t>
      </w:r>
      <w:r>
        <w:t>.</w:t>
      </w:r>
      <w:r w:rsidRPr="00140F0A">
        <w:t>M</w:t>
      </w:r>
      <w:r>
        <w:t>.;</w:t>
      </w:r>
      <w:r w:rsidRPr="00140F0A">
        <w:t xml:space="preserve"> Wales</w:t>
      </w:r>
      <w:r>
        <w:t>,</w:t>
      </w:r>
      <w:r w:rsidRPr="00140F0A">
        <w:t xml:space="preserve"> P</w:t>
      </w:r>
      <w:r>
        <w:t>.</w:t>
      </w:r>
      <w:r w:rsidRPr="00140F0A">
        <w:t xml:space="preserve">W. </w:t>
      </w:r>
      <w:r w:rsidRPr="00565985">
        <w:t xml:space="preserve">Defining consensus: a systematic review recommends methodologic criteria for reporting of Delphi studies. </w:t>
      </w:r>
      <w:r w:rsidRPr="00DE1EC0">
        <w:rPr>
          <w:i/>
          <w:iCs/>
        </w:rPr>
        <w:t>J Clin Epidemiol.</w:t>
      </w:r>
      <w:r w:rsidRPr="00DE1EC0">
        <w:rPr>
          <w:b/>
          <w:bCs/>
        </w:rPr>
        <w:t xml:space="preserve"> 2014</w:t>
      </w:r>
      <w:r w:rsidRPr="00565985">
        <w:t>;67:401–409.</w:t>
      </w:r>
    </w:p>
    <w:p w14:paraId="68F513D6" w14:textId="77777777" w:rsidR="00327F08" w:rsidRDefault="00327F08" w:rsidP="00B04B2C">
      <w:pPr>
        <w:pStyle w:val="EndnoteText"/>
        <w:ind w:left="720"/>
      </w:pPr>
    </w:p>
    <w:p w14:paraId="49FE4BFB" w14:textId="77777777" w:rsidR="009F4AD2" w:rsidRDefault="009F4AD2" w:rsidP="009F4AD2">
      <w:pPr>
        <w:pStyle w:val="EndnoteText"/>
        <w:ind w:left="720"/>
      </w:pPr>
    </w:p>
    <w:p w14:paraId="4C53E56D" w14:textId="77777777" w:rsidR="0020411C" w:rsidRDefault="0020411C" w:rsidP="00B8688B">
      <w:pPr>
        <w:pStyle w:val="EndnoteText"/>
        <w:ind w:left="720"/>
      </w:pPr>
    </w:p>
    <w:p w14:paraId="66896E32" w14:textId="77777777" w:rsidR="00CE67FD" w:rsidRDefault="00CE67FD" w:rsidP="00C60421">
      <w:pPr>
        <w:pStyle w:val="EndnoteText"/>
        <w:ind w:left="720"/>
      </w:pPr>
    </w:p>
    <w:p w14:paraId="37A2AC82" w14:textId="77777777" w:rsidR="00575AE3" w:rsidRDefault="00575AE3" w:rsidP="00575AE3">
      <w:pPr>
        <w:pStyle w:val="EndnoteText"/>
        <w:ind w:left="720"/>
      </w:pPr>
    </w:p>
    <w:p w14:paraId="50B90CFC" w14:textId="4B76CA27" w:rsidR="00810610" w:rsidRDefault="00810610" w:rsidP="00AA3A95">
      <w:pPr>
        <w:pStyle w:val="ListParagraph"/>
      </w:pPr>
      <w:r>
        <w:t xml:space="preserve"> </w:t>
      </w:r>
    </w:p>
    <w:p w14:paraId="4C5BB36E" w14:textId="77777777" w:rsidR="001126C9" w:rsidRPr="001126C9" w:rsidRDefault="00000000" w:rsidP="00D243FB">
      <w:pPr>
        <w:spacing w:after="160" w:line="259" w:lineRule="auto"/>
        <w:ind w:left="720"/>
        <w:jc w:val="left"/>
      </w:pPr>
    </w:p>
    <w:p w14:paraId="46D0C23A" w14:textId="77777777" w:rsidR="00C5111C" w:rsidRPr="001126C9" w:rsidRDefault="00C5111C" w:rsidP="00C5111C">
      <w:pPr>
        <w:spacing w:after="160" w:line="259" w:lineRule="auto"/>
        <w:ind w:left="720"/>
        <w:jc w:val="left"/>
      </w:pPr>
    </w:p>
    <w:p w14:paraId="098F2DAC" w14:textId="29E34B4A" w:rsidR="00DE1EC0" w:rsidRPr="003332D0" w:rsidRDefault="00DE1EC0" w:rsidP="003332D0">
      <w:pPr>
        <w:pStyle w:val="EndnoteText"/>
      </w:pPr>
    </w:p>
    <w:p w14:paraId="0FCC198C" w14:textId="77777777" w:rsidR="00DE1EC0" w:rsidRPr="0054577C" w:rsidRDefault="00DE1EC0">
      <w:pPr>
        <w:pStyle w:val="MDPI71References"/>
        <w:numPr>
          <w:ilvl w:val="0"/>
          <w:numId w:val="0"/>
        </w:numPr>
        <w:rPr>
          <w:b/>
          <w:bCs/>
          <w:sz w:val="20"/>
          <w:szCs w:val="22"/>
        </w:rPr>
      </w:pPr>
    </w:p>
    <w:p w14:paraId="1BB40EF8" w14:textId="77777777" w:rsidR="00DE1EC0" w:rsidRPr="0054577C" w:rsidRDefault="00DE1EC0">
      <w:pPr>
        <w:pStyle w:val="MDPI71References"/>
        <w:numPr>
          <w:ilvl w:val="0"/>
          <w:numId w:val="0"/>
        </w:numPr>
        <w:rPr>
          <w:b/>
          <w:bCs/>
          <w:sz w:val="20"/>
          <w:szCs w:val="22"/>
        </w:rPr>
      </w:pPr>
    </w:p>
    <w:p w14:paraId="7A556687" w14:textId="102E9F10" w:rsidR="002F662D" w:rsidRPr="0054577C" w:rsidRDefault="002F662D" w:rsidP="00300D0B">
      <w:pPr>
        <w:pStyle w:val="MDPI71References"/>
        <w:numPr>
          <w:ilvl w:val="0"/>
          <w:numId w:val="0"/>
        </w:numPr>
      </w:pPr>
    </w:p>
    <w:sectPr w:rsidR="002F662D" w:rsidRPr="0054577C" w:rsidSect="00285B9B">
      <w:headerReference w:type="even" r:id="rId25"/>
      <w:headerReference w:type="default" r:id="rId26"/>
      <w:footerReference w:type="default" r:id="rId27"/>
      <w:headerReference w:type="first" r:id="rId28"/>
      <w:footerReference w:type="first" r:id="rId29"/>
      <w:endnotePr>
        <w:numFmt w:val="decimal"/>
      </w:endnotePr>
      <w:type w:val="continuous"/>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A406B" w14:textId="77777777" w:rsidR="00F27EE5" w:rsidRDefault="00F27EE5">
      <w:pPr>
        <w:spacing w:line="240" w:lineRule="auto"/>
      </w:pPr>
      <w:r>
        <w:separator/>
      </w:r>
    </w:p>
  </w:endnote>
  <w:endnote w:type="continuationSeparator" w:id="0">
    <w:p w14:paraId="31FA37BD" w14:textId="77777777" w:rsidR="00F27EE5" w:rsidRDefault="00F27E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714F5" w14:textId="77777777" w:rsidR="009E367E" w:rsidRPr="0003001B" w:rsidRDefault="009E367E" w:rsidP="009E367E">
    <w:pPr>
      <w:pStyle w:val="Footer"/>
      <w:adjustRightInd w:val="0"/>
      <w:spacing w:line="240" w:lineRule="auto"/>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D4DAC" w14:textId="77777777" w:rsidR="00C16B0A" w:rsidRDefault="00C16B0A" w:rsidP="00BD1E13">
    <w:pPr>
      <w:pBdr>
        <w:top w:val="single" w:sz="4" w:space="0" w:color="000000"/>
      </w:pBdr>
      <w:tabs>
        <w:tab w:val="right" w:pos="8844"/>
      </w:tabs>
      <w:adjustRightInd w:val="0"/>
      <w:snapToGrid w:val="0"/>
      <w:spacing w:before="480" w:line="100" w:lineRule="exact"/>
      <w:jc w:val="left"/>
      <w:rPr>
        <w:i/>
        <w:sz w:val="16"/>
        <w:szCs w:val="16"/>
      </w:rPr>
    </w:pPr>
  </w:p>
  <w:p w14:paraId="38F96A0B" w14:textId="77777777" w:rsidR="009E367E" w:rsidRPr="00372FCD" w:rsidRDefault="009E367E" w:rsidP="00F365C3">
    <w:pPr>
      <w:tabs>
        <w:tab w:val="right" w:pos="10466"/>
      </w:tabs>
      <w:adjustRightInd w:val="0"/>
      <w:snapToGrid w:val="0"/>
      <w:spacing w:line="240" w:lineRule="auto"/>
      <w:rPr>
        <w:sz w:val="16"/>
        <w:szCs w:val="16"/>
        <w:lang w:val="fr-CH"/>
      </w:rPr>
    </w:pPr>
    <w:r>
      <w:rPr>
        <w:i/>
        <w:sz w:val="16"/>
        <w:szCs w:val="16"/>
      </w:rPr>
      <w:t xml:space="preserve">Vision </w:t>
    </w:r>
    <w:bookmarkStart w:id="10" w:name="OLE_LINK3"/>
    <w:bookmarkStart w:id="11" w:name="OLE_LINK4"/>
    <w:r w:rsidR="007473CE">
      <w:rPr>
        <w:b/>
        <w:bCs/>
        <w:iCs/>
        <w:sz w:val="16"/>
        <w:szCs w:val="16"/>
      </w:rPr>
      <w:t>2022</w:t>
    </w:r>
    <w:r w:rsidR="007F1156" w:rsidRPr="007F1156">
      <w:rPr>
        <w:bCs/>
        <w:iCs/>
        <w:sz w:val="16"/>
        <w:szCs w:val="16"/>
      </w:rPr>
      <w:t>,</w:t>
    </w:r>
    <w:r w:rsidR="007473CE">
      <w:rPr>
        <w:bCs/>
        <w:i/>
        <w:iCs/>
        <w:sz w:val="16"/>
        <w:szCs w:val="16"/>
      </w:rPr>
      <w:t xml:space="preserve"> 6</w:t>
    </w:r>
    <w:r w:rsidR="007F1156" w:rsidRPr="007F1156">
      <w:rPr>
        <w:bCs/>
        <w:iCs/>
        <w:sz w:val="16"/>
        <w:szCs w:val="16"/>
      </w:rPr>
      <w:t xml:space="preserve">, </w:t>
    </w:r>
    <w:bookmarkEnd w:id="10"/>
    <w:bookmarkEnd w:id="11"/>
    <w:r w:rsidR="00B8070F">
      <w:rPr>
        <w:bCs/>
        <w:iCs/>
        <w:sz w:val="16"/>
        <w:szCs w:val="16"/>
      </w:rPr>
      <w:t>x</w:t>
    </w:r>
    <w:r w:rsidR="00C16B0A">
      <w:rPr>
        <w:bCs/>
        <w:iCs/>
        <w:sz w:val="16"/>
        <w:szCs w:val="16"/>
      </w:rPr>
      <w:t>. https://doi.org/10.3390/xxxxx</w:t>
    </w:r>
    <w:r w:rsidR="00F365C3" w:rsidRPr="00372FCD">
      <w:rPr>
        <w:sz w:val="16"/>
        <w:szCs w:val="16"/>
        <w:lang w:val="fr-CH"/>
      </w:rPr>
      <w:tab/>
    </w:r>
    <w:r w:rsidRPr="00372FCD">
      <w:rPr>
        <w:sz w:val="16"/>
        <w:szCs w:val="16"/>
        <w:lang w:val="fr-CH"/>
      </w:rPr>
      <w:t>www.mdpi.com/journal/</w:t>
    </w:r>
    <w:r w:rsidRPr="0003001B">
      <w:rPr>
        <w:sz w:val="16"/>
        <w:szCs w:val="16"/>
      </w:rPr>
      <w:t>vision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F645D" w14:textId="77777777" w:rsidR="00F27EE5" w:rsidRDefault="00F27EE5">
      <w:pPr>
        <w:spacing w:line="240" w:lineRule="auto"/>
      </w:pPr>
      <w:r>
        <w:separator/>
      </w:r>
    </w:p>
  </w:footnote>
  <w:footnote w:type="continuationSeparator" w:id="0">
    <w:p w14:paraId="4B673C0A" w14:textId="77777777" w:rsidR="00F27EE5" w:rsidRDefault="00F27EE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93DBB" w14:textId="77777777" w:rsidR="009E367E" w:rsidRDefault="009E367E" w:rsidP="009E367E">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D0622" w14:textId="77777777" w:rsidR="00C16B0A" w:rsidRDefault="009E367E" w:rsidP="00F365C3">
    <w:pPr>
      <w:tabs>
        <w:tab w:val="right" w:pos="10466"/>
      </w:tabs>
      <w:adjustRightInd w:val="0"/>
      <w:snapToGrid w:val="0"/>
      <w:spacing w:line="240" w:lineRule="auto"/>
      <w:rPr>
        <w:sz w:val="16"/>
      </w:rPr>
    </w:pPr>
    <w:r>
      <w:rPr>
        <w:i/>
        <w:sz w:val="16"/>
      </w:rPr>
      <w:t xml:space="preserve">Vision </w:t>
    </w:r>
    <w:r w:rsidR="007473CE">
      <w:rPr>
        <w:b/>
        <w:sz w:val="16"/>
      </w:rPr>
      <w:t>2022</w:t>
    </w:r>
    <w:r w:rsidR="007F1156" w:rsidRPr="007F1156">
      <w:rPr>
        <w:sz w:val="16"/>
      </w:rPr>
      <w:t>,</w:t>
    </w:r>
    <w:r w:rsidR="007473CE">
      <w:rPr>
        <w:i/>
        <w:sz w:val="16"/>
      </w:rPr>
      <w:t xml:space="preserve"> 6</w:t>
    </w:r>
    <w:r w:rsidR="00B8070F">
      <w:rPr>
        <w:sz w:val="16"/>
      </w:rPr>
      <w:t>, x FOR PEER REVIEW</w:t>
    </w:r>
    <w:r w:rsidR="00F365C3">
      <w:rPr>
        <w:sz w:val="16"/>
      </w:rPr>
      <w:tab/>
    </w:r>
    <w:r w:rsidR="00B8070F">
      <w:rPr>
        <w:sz w:val="16"/>
      </w:rPr>
      <w:fldChar w:fldCharType="begin"/>
    </w:r>
    <w:r w:rsidR="00B8070F">
      <w:rPr>
        <w:sz w:val="16"/>
      </w:rPr>
      <w:instrText xml:space="preserve"> PAGE   \* MERGEFORMAT </w:instrText>
    </w:r>
    <w:r w:rsidR="00B8070F">
      <w:rPr>
        <w:sz w:val="16"/>
      </w:rPr>
      <w:fldChar w:fldCharType="separate"/>
    </w:r>
    <w:r w:rsidR="00121743">
      <w:rPr>
        <w:sz w:val="16"/>
      </w:rPr>
      <w:t>5</w:t>
    </w:r>
    <w:r w:rsidR="00B8070F">
      <w:rPr>
        <w:sz w:val="16"/>
      </w:rPr>
      <w:fldChar w:fldCharType="end"/>
    </w:r>
    <w:r w:rsidR="00B8070F">
      <w:rPr>
        <w:sz w:val="16"/>
      </w:rPr>
      <w:t xml:space="preserve"> of </w:t>
    </w:r>
    <w:r w:rsidR="00B8070F">
      <w:rPr>
        <w:sz w:val="16"/>
      </w:rPr>
      <w:fldChar w:fldCharType="begin"/>
    </w:r>
    <w:r w:rsidR="00B8070F">
      <w:rPr>
        <w:sz w:val="16"/>
      </w:rPr>
      <w:instrText xml:space="preserve"> NUMPAGES   \* MERGEFORMAT </w:instrText>
    </w:r>
    <w:r w:rsidR="00B8070F">
      <w:rPr>
        <w:sz w:val="16"/>
      </w:rPr>
      <w:fldChar w:fldCharType="separate"/>
    </w:r>
    <w:r w:rsidR="00121743">
      <w:rPr>
        <w:sz w:val="16"/>
      </w:rPr>
      <w:t>5</w:t>
    </w:r>
    <w:r w:rsidR="00B8070F">
      <w:rPr>
        <w:sz w:val="16"/>
      </w:rPr>
      <w:fldChar w:fldCharType="end"/>
    </w:r>
  </w:p>
  <w:p w14:paraId="6A8136E4" w14:textId="77777777" w:rsidR="009E367E" w:rsidRPr="00AA160B" w:rsidRDefault="009E367E" w:rsidP="00BD1E13">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C16B0A" w:rsidRPr="00F365C3" w14:paraId="3BEFCB2C" w14:textId="77777777" w:rsidTr="00D37248">
      <w:trPr>
        <w:trHeight w:val="686"/>
      </w:trPr>
      <w:tc>
        <w:tcPr>
          <w:tcW w:w="3679" w:type="dxa"/>
          <w:shd w:val="clear" w:color="auto" w:fill="auto"/>
          <w:vAlign w:val="center"/>
        </w:tcPr>
        <w:p w14:paraId="1D5096A8" w14:textId="77777777" w:rsidR="00C16B0A" w:rsidRPr="008877DB" w:rsidRDefault="006A36AF" w:rsidP="00F365C3">
          <w:pPr>
            <w:pStyle w:val="Header"/>
            <w:pBdr>
              <w:bottom w:val="none" w:sz="0" w:space="0" w:color="auto"/>
            </w:pBdr>
            <w:jc w:val="left"/>
            <w:rPr>
              <w:rFonts w:eastAsia="DengXian"/>
              <w:b/>
              <w:bCs/>
            </w:rPr>
          </w:pPr>
          <w:r w:rsidRPr="008877DB">
            <w:rPr>
              <w:rFonts w:eastAsia="DengXian"/>
              <w:b/>
              <w:bCs/>
              <w:noProof/>
            </w:rPr>
            <w:drawing>
              <wp:inline distT="0" distB="0" distL="0" distR="0" wp14:anchorId="15256247" wp14:editId="5638069F">
                <wp:extent cx="1468755" cy="429260"/>
                <wp:effectExtent l="0" t="0" r="0" b="0"/>
                <wp:docPr id="1" name="Picture 5" descr="C:\Users\home\Desktop\logos\logos for all journals-2017.02.04\vision-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Desktop\logos\logos for all journals-2017.02.04\vision-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8755" cy="429260"/>
                        </a:xfrm>
                        <a:prstGeom prst="rect">
                          <a:avLst/>
                        </a:prstGeom>
                        <a:noFill/>
                        <a:ln>
                          <a:noFill/>
                        </a:ln>
                      </pic:spPr>
                    </pic:pic>
                  </a:graphicData>
                </a:graphic>
              </wp:inline>
            </w:drawing>
          </w:r>
        </w:p>
      </w:tc>
      <w:tc>
        <w:tcPr>
          <w:tcW w:w="4535" w:type="dxa"/>
          <w:shd w:val="clear" w:color="auto" w:fill="auto"/>
          <w:vAlign w:val="center"/>
        </w:tcPr>
        <w:p w14:paraId="37B0718A" w14:textId="77777777" w:rsidR="00C16B0A" w:rsidRPr="008877DB" w:rsidRDefault="00C16B0A" w:rsidP="00F365C3">
          <w:pPr>
            <w:pStyle w:val="Header"/>
            <w:pBdr>
              <w:bottom w:val="none" w:sz="0" w:space="0" w:color="auto"/>
            </w:pBdr>
            <w:rPr>
              <w:rFonts w:eastAsia="DengXian"/>
              <w:b/>
              <w:bCs/>
            </w:rPr>
          </w:pPr>
        </w:p>
      </w:tc>
      <w:tc>
        <w:tcPr>
          <w:tcW w:w="2273" w:type="dxa"/>
          <w:shd w:val="clear" w:color="auto" w:fill="auto"/>
          <w:vAlign w:val="center"/>
        </w:tcPr>
        <w:p w14:paraId="0700920E" w14:textId="77777777" w:rsidR="00C16B0A" w:rsidRPr="008877DB" w:rsidRDefault="00D37248" w:rsidP="00D37248">
          <w:pPr>
            <w:pStyle w:val="Header"/>
            <w:pBdr>
              <w:bottom w:val="none" w:sz="0" w:space="0" w:color="auto"/>
            </w:pBdr>
            <w:jc w:val="right"/>
            <w:rPr>
              <w:rFonts w:eastAsia="DengXian"/>
              <w:b/>
              <w:bCs/>
            </w:rPr>
          </w:pPr>
          <w:r>
            <w:rPr>
              <w:rFonts w:eastAsia="DengXian"/>
              <w:b/>
              <w:bCs/>
              <w:noProof/>
            </w:rPr>
            <w:drawing>
              <wp:inline distT="0" distB="0" distL="0" distR="0" wp14:anchorId="3E62F0E1" wp14:editId="74BFCFE3">
                <wp:extent cx="540000" cy="360000"/>
                <wp:effectExtent l="0" t="0" r="0" b="2540"/>
                <wp:docPr id="7" name="Picture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2">
                          <a:extLst>
                            <a:ext uri="{28A0092B-C50C-407E-A947-70E740481C1C}">
                              <a14:useLocalDpi xmlns:a14="http://schemas.microsoft.com/office/drawing/2010/main" val="0"/>
                            </a:ext>
                          </a:extLst>
                        </a:blip>
                        <a:stretch>
                          <a:fillRect/>
                        </a:stretch>
                      </pic:blipFill>
                      <pic:spPr>
                        <a:xfrm>
                          <a:off x="0" y="0"/>
                          <a:ext cx="540000" cy="360000"/>
                        </a:xfrm>
                        <a:prstGeom prst="rect">
                          <a:avLst/>
                        </a:prstGeom>
                      </pic:spPr>
                    </pic:pic>
                  </a:graphicData>
                </a:graphic>
              </wp:inline>
            </w:drawing>
          </w:r>
        </w:p>
      </w:tc>
    </w:tr>
  </w:tbl>
  <w:p w14:paraId="795237A4" w14:textId="77777777" w:rsidR="009E367E" w:rsidRPr="00C16B0A" w:rsidRDefault="009E367E" w:rsidP="00BD1E13">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168C6"/>
    <w:multiLevelType w:val="hybridMultilevel"/>
    <w:tmpl w:val="A5D8CE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8B468F5"/>
    <w:multiLevelType w:val="hybridMultilevel"/>
    <w:tmpl w:val="C49C41B0"/>
    <w:lvl w:ilvl="0" w:tplc="5792EE8A">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F06BEB"/>
    <w:multiLevelType w:val="hybridMultilevel"/>
    <w:tmpl w:val="4BC8AA0A"/>
    <w:lvl w:ilvl="0" w:tplc="0EFE93B6">
      <w:start w:val="1"/>
      <w:numFmt w:val="decimal"/>
      <w:lvlRestart w:val="0"/>
      <w:pStyle w:val="MDPI7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0C6F5D"/>
    <w:multiLevelType w:val="hybridMultilevel"/>
    <w:tmpl w:val="8BFE0D56"/>
    <w:lvl w:ilvl="0" w:tplc="CCCE9BD4">
      <w:start w:val="1"/>
      <w:numFmt w:val="bullet"/>
      <w:lvlRestart w:val="0"/>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4"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6"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8106D8"/>
    <w:multiLevelType w:val="hybridMultilevel"/>
    <w:tmpl w:val="9350F4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9" w15:restartNumberingAfterBreak="0">
    <w:nsid w:val="3BEC1EA0"/>
    <w:multiLevelType w:val="hybridMultilevel"/>
    <w:tmpl w:val="43EE548C"/>
    <w:lvl w:ilvl="0" w:tplc="52947CC6">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10" w15:restartNumberingAfterBreak="0">
    <w:nsid w:val="491F5D26"/>
    <w:multiLevelType w:val="hybridMultilevel"/>
    <w:tmpl w:val="EE70DADC"/>
    <w:lvl w:ilvl="0" w:tplc="3D6E07C8">
      <w:start w:val="1"/>
      <w:numFmt w:val="decimal"/>
      <w:lvlRestart w:val="0"/>
      <w:pStyle w:val="MDPI71FootNotes"/>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075B53"/>
    <w:multiLevelType w:val="hybridMultilevel"/>
    <w:tmpl w:val="A0DCA02E"/>
    <w:lvl w:ilvl="0" w:tplc="5CB0595C">
      <w:start w:val="1"/>
      <w:numFmt w:val="decimal"/>
      <w:lvlRestart w:val="0"/>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3"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8263846">
    <w:abstractNumId w:val="5"/>
  </w:num>
  <w:num w:numId="2" w16cid:durableId="180049091">
    <w:abstractNumId w:val="8"/>
  </w:num>
  <w:num w:numId="3" w16cid:durableId="177894715">
    <w:abstractNumId w:val="4"/>
  </w:num>
  <w:num w:numId="4" w16cid:durableId="6816604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87351337">
    <w:abstractNumId w:val="6"/>
  </w:num>
  <w:num w:numId="6" w16cid:durableId="1827938630">
    <w:abstractNumId w:val="12"/>
  </w:num>
  <w:num w:numId="7" w16cid:durableId="2118062695">
    <w:abstractNumId w:val="3"/>
  </w:num>
  <w:num w:numId="8" w16cid:durableId="1637418794">
    <w:abstractNumId w:val="12"/>
  </w:num>
  <w:num w:numId="9" w16cid:durableId="2127189343">
    <w:abstractNumId w:val="3"/>
  </w:num>
  <w:num w:numId="10" w16cid:durableId="316766633">
    <w:abstractNumId w:val="12"/>
  </w:num>
  <w:num w:numId="11" w16cid:durableId="1526865164">
    <w:abstractNumId w:val="3"/>
  </w:num>
  <w:num w:numId="12" w16cid:durableId="2091268057">
    <w:abstractNumId w:val="13"/>
  </w:num>
  <w:num w:numId="13" w16cid:durableId="982926673">
    <w:abstractNumId w:val="12"/>
  </w:num>
  <w:num w:numId="14" w16cid:durableId="2006206072">
    <w:abstractNumId w:val="3"/>
  </w:num>
  <w:num w:numId="15" w16cid:durableId="409232134">
    <w:abstractNumId w:val="1"/>
  </w:num>
  <w:num w:numId="16" w16cid:durableId="486173446">
    <w:abstractNumId w:val="11"/>
  </w:num>
  <w:num w:numId="17" w16cid:durableId="1755516820">
    <w:abstractNumId w:val="1"/>
  </w:num>
  <w:num w:numId="18" w16cid:durableId="1811288709">
    <w:abstractNumId w:val="12"/>
  </w:num>
  <w:num w:numId="19" w16cid:durableId="1588029458">
    <w:abstractNumId w:val="3"/>
  </w:num>
  <w:num w:numId="20" w16cid:durableId="1684746639">
    <w:abstractNumId w:val="1"/>
  </w:num>
  <w:num w:numId="21" w16cid:durableId="635650303">
    <w:abstractNumId w:val="10"/>
  </w:num>
  <w:num w:numId="22" w16cid:durableId="1284538272">
    <w:abstractNumId w:val="9"/>
  </w:num>
  <w:num w:numId="23" w16cid:durableId="797798640">
    <w:abstractNumId w:val="2"/>
  </w:num>
  <w:num w:numId="24" w16cid:durableId="1120220386">
    <w:abstractNumId w:val="0"/>
  </w:num>
  <w:num w:numId="25" w16cid:durableId="10851495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FE9"/>
    <w:rsid w:val="00006DBF"/>
    <w:rsid w:val="00011C9F"/>
    <w:rsid w:val="000226E3"/>
    <w:rsid w:val="00027443"/>
    <w:rsid w:val="00027696"/>
    <w:rsid w:val="00032730"/>
    <w:rsid w:val="00033126"/>
    <w:rsid w:val="00033832"/>
    <w:rsid w:val="00034A54"/>
    <w:rsid w:val="0004227C"/>
    <w:rsid w:val="00044110"/>
    <w:rsid w:val="00044273"/>
    <w:rsid w:val="000511FA"/>
    <w:rsid w:val="00067CD8"/>
    <w:rsid w:val="0007112F"/>
    <w:rsid w:val="000737B6"/>
    <w:rsid w:val="000774F0"/>
    <w:rsid w:val="00092704"/>
    <w:rsid w:val="00094BD9"/>
    <w:rsid w:val="00095C30"/>
    <w:rsid w:val="00095DE5"/>
    <w:rsid w:val="00096A22"/>
    <w:rsid w:val="00096AF9"/>
    <w:rsid w:val="00096CB0"/>
    <w:rsid w:val="000A2A22"/>
    <w:rsid w:val="000A51D9"/>
    <w:rsid w:val="000A53E9"/>
    <w:rsid w:val="000B228A"/>
    <w:rsid w:val="000B5AF3"/>
    <w:rsid w:val="000C00EC"/>
    <w:rsid w:val="000C53F3"/>
    <w:rsid w:val="000D795E"/>
    <w:rsid w:val="000E0A46"/>
    <w:rsid w:val="000E1573"/>
    <w:rsid w:val="000F3AE0"/>
    <w:rsid w:val="000F3B64"/>
    <w:rsid w:val="000F7A52"/>
    <w:rsid w:val="00112DCE"/>
    <w:rsid w:val="00117142"/>
    <w:rsid w:val="00121743"/>
    <w:rsid w:val="00121CF3"/>
    <w:rsid w:val="00124517"/>
    <w:rsid w:val="001352C7"/>
    <w:rsid w:val="0013585C"/>
    <w:rsid w:val="00137A12"/>
    <w:rsid w:val="00140F0A"/>
    <w:rsid w:val="00145DDC"/>
    <w:rsid w:val="00146FD3"/>
    <w:rsid w:val="001475FD"/>
    <w:rsid w:val="00150FBF"/>
    <w:rsid w:val="001527F4"/>
    <w:rsid w:val="00153AA6"/>
    <w:rsid w:val="001541F7"/>
    <w:rsid w:val="00164FED"/>
    <w:rsid w:val="0017085D"/>
    <w:rsid w:val="00172BC8"/>
    <w:rsid w:val="00172C53"/>
    <w:rsid w:val="0017385D"/>
    <w:rsid w:val="001765A3"/>
    <w:rsid w:val="0018130F"/>
    <w:rsid w:val="001856B2"/>
    <w:rsid w:val="00185815"/>
    <w:rsid w:val="00192749"/>
    <w:rsid w:val="00193816"/>
    <w:rsid w:val="001A3418"/>
    <w:rsid w:val="001A6EAC"/>
    <w:rsid w:val="001A71B4"/>
    <w:rsid w:val="001B7410"/>
    <w:rsid w:val="001D3534"/>
    <w:rsid w:val="001D3E41"/>
    <w:rsid w:val="001D7CD8"/>
    <w:rsid w:val="001E2AEB"/>
    <w:rsid w:val="001E71B8"/>
    <w:rsid w:val="001E7531"/>
    <w:rsid w:val="001F3919"/>
    <w:rsid w:val="001F4804"/>
    <w:rsid w:val="001F4A83"/>
    <w:rsid w:val="00202D48"/>
    <w:rsid w:val="0020411C"/>
    <w:rsid w:val="00205007"/>
    <w:rsid w:val="00211729"/>
    <w:rsid w:val="00213D43"/>
    <w:rsid w:val="00214CDE"/>
    <w:rsid w:val="00216407"/>
    <w:rsid w:val="00222D33"/>
    <w:rsid w:val="00225333"/>
    <w:rsid w:val="0022589D"/>
    <w:rsid w:val="00230B4A"/>
    <w:rsid w:val="002517CC"/>
    <w:rsid w:val="002536EE"/>
    <w:rsid w:val="002575AA"/>
    <w:rsid w:val="00257794"/>
    <w:rsid w:val="00267293"/>
    <w:rsid w:val="002673C7"/>
    <w:rsid w:val="00272010"/>
    <w:rsid w:val="00272059"/>
    <w:rsid w:val="002843FE"/>
    <w:rsid w:val="00285102"/>
    <w:rsid w:val="00285B9B"/>
    <w:rsid w:val="00285F96"/>
    <w:rsid w:val="00287442"/>
    <w:rsid w:val="002879A1"/>
    <w:rsid w:val="00290B56"/>
    <w:rsid w:val="00293385"/>
    <w:rsid w:val="002954BE"/>
    <w:rsid w:val="002A13A0"/>
    <w:rsid w:val="002A1BDC"/>
    <w:rsid w:val="002A69BA"/>
    <w:rsid w:val="002B60E7"/>
    <w:rsid w:val="002B6CBE"/>
    <w:rsid w:val="002C03BB"/>
    <w:rsid w:val="002C401A"/>
    <w:rsid w:val="002C77DB"/>
    <w:rsid w:val="002D4DA9"/>
    <w:rsid w:val="002E0EE8"/>
    <w:rsid w:val="002E7B5A"/>
    <w:rsid w:val="002F0E7C"/>
    <w:rsid w:val="002F0FE9"/>
    <w:rsid w:val="002F1406"/>
    <w:rsid w:val="002F3FD0"/>
    <w:rsid w:val="002F5016"/>
    <w:rsid w:val="002F662D"/>
    <w:rsid w:val="002F7301"/>
    <w:rsid w:val="002F7AEC"/>
    <w:rsid w:val="00300D0B"/>
    <w:rsid w:val="00302625"/>
    <w:rsid w:val="00310CE2"/>
    <w:rsid w:val="00314991"/>
    <w:rsid w:val="003169E2"/>
    <w:rsid w:val="00321AB0"/>
    <w:rsid w:val="0032241D"/>
    <w:rsid w:val="00326141"/>
    <w:rsid w:val="00326448"/>
    <w:rsid w:val="00327F08"/>
    <w:rsid w:val="003332D0"/>
    <w:rsid w:val="003336BB"/>
    <w:rsid w:val="00336203"/>
    <w:rsid w:val="00337359"/>
    <w:rsid w:val="00340102"/>
    <w:rsid w:val="00354CBA"/>
    <w:rsid w:val="00354F31"/>
    <w:rsid w:val="00356A09"/>
    <w:rsid w:val="00360B13"/>
    <w:rsid w:val="0036117B"/>
    <w:rsid w:val="003646D3"/>
    <w:rsid w:val="00371F17"/>
    <w:rsid w:val="003740EE"/>
    <w:rsid w:val="00375FB4"/>
    <w:rsid w:val="00380026"/>
    <w:rsid w:val="00380BD0"/>
    <w:rsid w:val="003825B1"/>
    <w:rsid w:val="003830AA"/>
    <w:rsid w:val="003835BA"/>
    <w:rsid w:val="00386F01"/>
    <w:rsid w:val="00391305"/>
    <w:rsid w:val="00392BB3"/>
    <w:rsid w:val="0039569B"/>
    <w:rsid w:val="003A1217"/>
    <w:rsid w:val="003B23A4"/>
    <w:rsid w:val="003B2F08"/>
    <w:rsid w:val="003B6598"/>
    <w:rsid w:val="003C17A8"/>
    <w:rsid w:val="003C5544"/>
    <w:rsid w:val="003C717A"/>
    <w:rsid w:val="003C77EC"/>
    <w:rsid w:val="003C7902"/>
    <w:rsid w:val="003D41D1"/>
    <w:rsid w:val="003D7BB8"/>
    <w:rsid w:val="003E176C"/>
    <w:rsid w:val="003E1EF4"/>
    <w:rsid w:val="003E2D17"/>
    <w:rsid w:val="003E3D02"/>
    <w:rsid w:val="003F1739"/>
    <w:rsid w:val="003F2E8E"/>
    <w:rsid w:val="003F6DC8"/>
    <w:rsid w:val="00401D30"/>
    <w:rsid w:val="00410CE0"/>
    <w:rsid w:val="00411B97"/>
    <w:rsid w:val="004120FF"/>
    <w:rsid w:val="00425DFB"/>
    <w:rsid w:val="00432EB5"/>
    <w:rsid w:val="0043342C"/>
    <w:rsid w:val="004374F0"/>
    <w:rsid w:val="00443E96"/>
    <w:rsid w:val="00445C88"/>
    <w:rsid w:val="00445FAB"/>
    <w:rsid w:val="00446282"/>
    <w:rsid w:val="00446DA7"/>
    <w:rsid w:val="00447F79"/>
    <w:rsid w:val="0045006A"/>
    <w:rsid w:val="00455251"/>
    <w:rsid w:val="00466131"/>
    <w:rsid w:val="00475DCC"/>
    <w:rsid w:val="00475DF5"/>
    <w:rsid w:val="00477A0E"/>
    <w:rsid w:val="0048285D"/>
    <w:rsid w:val="00485903"/>
    <w:rsid w:val="0049067A"/>
    <w:rsid w:val="00491038"/>
    <w:rsid w:val="00492F80"/>
    <w:rsid w:val="00495670"/>
    <w:rsid w:val="00497D4E"/>
    <w:rsid w:val="004A11AE"/>
    <w:rsid w:val="004A1CAD"/>
    <w:rsid w:val="004A1D1E"/>
    <w:rsid w:val="004A4902"/>
    <w:rsid w:val="004A6C92"/>
    <w:rsid w:val="004C4B25"/>
    <w:rsid w:val="004C6C28"/>
    <w:rsid w:val="004D5F26"/>
    <w:rsid w:val="004D68D7"/>
    <w:rsid w:val="004F7173"/>
    <w:rsid w:val="00505AB8"/>
    <w:rsid w:val="0050683E"/>
    <w:rsid w:val="00507F09"/>
    <w:rsid w:val="00510A64"/>
    <w:rsid w:val="005119CF"/>
    <w:rsid w:val="005157FC"/>
    <w:rsid w:val="00517FC0"/>
    <w:rsid w:val="005204AB"/>
    <w:rsid w:val="00520F9E"/>
    <w:rsid w:val="0052451B"/>
    <w:rsid w:val="005268D2"/>
    <w:rsid w:val="00527F66"/>
    <w:rsid w:val="005303B9"/>
    <w:rsid w:val="00530A06"/>
    <w:rsid w:val="00535C29"/>
    <w:rsid w:val="00537E57"/>
    <w:rsid w:val="005401D2"/>
    <w:rsid w:val="0054435E"/>
    <w:rsid w:val="0054577C"/>
    <w:rsid w:val="00550936"/>
    <w:rsid w:val="00557C52"/>
    <w:rsid w:val="00557FF3"/>
    <w:rsid w:val="005627C6"/>
    <w:rsid w:val="00564BBD"/>
    <w:rsid w:val="00565985"/>
    <w:rsid w:val="005722D6"/>
    <w:rsid w:val="00575AE3"/>
    <w:rsid w:val="005917F3"/>
    <w:rsid w:val="0059492F"/>
    <w:rsid w:val="005970F7"/>
    <w:rsid w:val="005977AE"/>
    <w:rsid w:val="00597884"/>
    <w:rsid w:val="00597949"/>
    <w:rsid w:val="00597979"/>
    <w:rsid w:val="005A10EA"/>
    <w:rsid w:val="005A1FC0"/>
    <w:rsid w:val="005A427B"/>
    <w:rsid w:val="005A73E9"/>
    <w:rsid w:val="005B4A75"/>
    <w:rsid w:val="005B7D19"/>
    <w:rsid w:val="005C06E3"/>
    <w:rsid w:val="005C0F1D"/>
    <w:rsid w:val="005C4758"/>
    <w:rsid w:val="005D0A17"/>
    <w:rsid w:val="005D1D48"/>
    <w:rsid w:val="005E1926"/>
    <w:rsid w:val="005E247B"/>
    <w:rsid w:val="005F3F4A"/>
    <w:rsid w:val="005F4AE7"/>
    <w:rsid w:val="00601B05"/>
    <w:rsid w:val="0060705B"/>
    <w:rsid w:val="006164F6"/>
    <w:rsid w:val="00617A74"/>
    <w:rsid w:val="00620DCF"/>
    <w:rsid w:val="006249E4"/>
    <w:rsid w:val="006325A8"/>
    <w:rsid w:val="00636167"/>
    <w:rsid w:val="00637A1E"/>
    <w:rsid w:val="0064042E"/>
    <w:rsid w:val="00657D40"/>
    <w:rsid w:val="006601AD"/>
    <w:rsid w:val="0066171C"/>
    <w:rsid w:val="006656FB"/>
    <w:rsid w:val="00665F6F"/>
    <w:rsid w:val="0066641F"/>
    <w:rsid w:val="00680082"/>
    <w:rsid w:val="00683292"/>
    <w:rsid w:val="006878A5"/>
    <w:rsid w:val="00687CDD"/>
    <w:rsid w:val="00691FF5"/>
    <w:rsid w:val="00692393"/>
    <w:rsid w:val="006943DA"/>
    <w:rsid w:val="006A1765"/>
    <w:rsid w:val="006A2895"/>
    <w:rsid w:val="006A36AF"/>
    <w:rsid w:val="006B0389"/>
    <w:rsid w:val="006B268D"/>
    <w:rsid w:val="006B5D99"/>
    <w:rsid w:val="006B6D0D"/>
    <w:rsid w:val="006C3D86"/>
    <w:rsid w:val="006D346F"/>
    <w:rsid w:val="006D4337"/>
    <w:rsid w:val="006D61D9"/>
    <w:rsid w:val="006D6A29"/>
    <w:rsid w:val="006E3CC0"/>
    <w:rsid w:val="006E616F"/>
    <w:rsid w:val="00703F16"/>
    <w:rsid w:val="0071011D"/>
    <w:rsid w:val="00710993"/>
    <w:rsid w:val="007113B1"/>
    <w:rsid w:val="00711914"/>
    <w:rsid w:val="0071383B"/>
    <w:rsid w:val="0071461E"/>
    <w:rsid w:val="007241EE"/>
    <w:rsid w:val="00731C0F"/>
    <w:rsid w:val="00740C02"/>
    <w:rsid w:val="00740D4F"/>
    <w:rsid w:val="007473CE"/>
    <w:rsid w:val="0075004E"/>
    <w:rsid w:val="00753E5D"/>
    <w:rsid w:val="0076494A"/>
    <w:rsid w:val="007756D4"/>
    <w:rsid w:val="00775F3A"/>
    <w:rsid w:val="00780254"/>
    <w:rsid w:val="00785B7D"/>
    <w:rsid w:val="00786200"/>
    <w:rsid w:val="007904A0"/>
    <w:rsid w:val="007965E9"/>
    <w:rsid w:val="007A402E"/>
    <w:rsid w:val="007B3378"/>
    <w:rsid w:val="007B3B4B"/>
    <w:rsid w:val="007C08D7"/>
    <w:rsid w:val="007C0962"/>
    <w:rsid w:val="007C4909"/>
    <w:rsid w:val="007C5B37"/>
    <w:rsid w:val="007D64C2"/>
    <w:rsid w:val="007E28FA"/>
    <w:rsid w:val="007E2F66"/>
    <w:rsid w:val="007E300C"/>
    <w:rsid w:val="007E681E"/>
    <w:rsid w:val="007F1156"/>
    <w:rsid w:val="007F36ED"/>
    <w:rsid w:val="007F6F6C"/>
    <w:rsid w:val="00803A4C"/>
    <w:rsid w:val="0080469C"/>
    <w:rsid w:val="00806966"/>
    <w:rsid w:val="00810610"/>
    <w:rsid w:val="00810F31"/>
    <w:rsid w:val="008140B1"/>
    <w:rsid w:val="008150BE"/>
    <w:rsid w:val="0081532B"/>
    <w:rsid w:val="00821150"/>
    <w:rsid w:val="0082131D"/>
    <w:rsid w:val="00822AD9"/>
    <w:rsid w:val="00826F82"/>
    <w:rsid w:val="00830D02"/>
    <w:rsid w:val="00830EB7"/>
    <w:rsid w:val="00845E34"/>
    <w:rsid w:val="00847AD4"/>
    <w:rsid w:val="00852D7F"/>
    <w:rsid w:val="00856448"/>
    <w:rsid w:val="00857390"/>
    <w:rsid w:val="00862164"/>
    <w:rsid w:val="00865B35"/>
    <w:rsid w:val="00873175"/>
    <w:rsid w:val="0087445E"/>
    <w:rsid w:val="0088718F"/>
    <w:rsid w:val="008877DB"/>
    <w:rsid w:val="00891216"/>
    <w:rsid w:val="00892BEE"/>
    <w:rsid w:val="008974F2"/>
    <w:rsid w:val="00897B12"/>
    <w:rsid w:val="008B4DFE"/>
    <w:rsid w:val="008C0217"/>
    <w:rsid w:val="008C2D58"/>
    <w:rsid w:val="008C2F72"/>
    <w:rsid w:val="008C49AD"/>
    <w:rsid w:val="008C4D40"/>
    <w:rsid w:val="008D36BD"/>
    <w:rsid w:val="008D7779"/>
    <w:rsid w:val="008E0430"/>
    <w:rsid w:val="008E3D96"/>
    <w:rsid w:val="008F3ED1"/>
    <w:rsid w:val="00912893"/>
    <w:rsid w:val="00916163"/>
    <w:rsid w:val="00922BBB"/>
    <w:rsid w:val="00924314"/>
    <w:rsid w:val="00925A5D"/>
    <w:rsid w:val="00931157"/>
    <w:rsid w:val="00932041"/>
    <w:rsid w:val="00932500"/>
    <w:rsid w:val="009452B3"/>
    <w:rsid w:val="00950F1A"/>
    <w:rsid w:val="00951FC0"/>
    <w:rsid w:val="00953ABE"/>
    <w:rsid w:val="00971BCA"/>
    <w:rsid w:val="009751E1"/>
    <w:rsid w:val="0097584B"/>
    <w:rsid w:val="0097680F"/>
    <w:rsid w:val="00977082"/>
    <w:rsid w:val="00982726"/>
    <w:rsid w:val="00984278"/>
    <w:rsid w:val="0098760B"/>
    <w:rsid w:val="00987A92"/>
    <w:rsid w:val="009927D7"/>
    <w:rsid w:val="009A00EF"/>
    <w:rsid w:val="009A1E89"/>
    <w:rsid w:val="009A26CA"/>
    <w:rsid w:val="009A4F60"/>
    <w:rsid w:val="009A6511"/>
    <w:rsid w:val="009B07B7"/>
    <w:rsid w:val="009B0CE8"/>
    <w:rsid w:val="009B5870"/>
    <w:rsid w:val="009B5911"/>
    <w:rsid w:val="009B5AC5"/>
    <w:rsid w:val="009B7314"/>
    <w:rsid w:val="009C0CED"/>
    <w:rsid w:val="009C2200"/>
    <w:rsid w:val="009C6650"/>
    <w:rsid w:val="009C6EF3"/>
    <w:rsid w:val="009D0382"/>
    <w:rsid w:val="009D2D76"/>
    <w:rsid w:val="009D3E95"/>
    <w:rsid w:val="009D3FCD"/>
    <w:rsid w:val="009D6C5A"/>
    <w:rsid w:val="009E0A61"/>
    <w:rsid w:val="009E3010"/>
    <w:rsid w:val="009E367E"/>
    <w:rsid w:val="009E48DF"/>
    <w:rsid w:val="009F2E27"/>
    <w:rsid w:val="009F3E05"/>
    <w:rsid w:val="009F4AD2"/>
    <w:rsid w:val="009F70E6"/>
    <w:rsid w:val="00A05E41"/>
    <w:rsid w:val="00A07543"/>
    <w:rsid w:val="00A10BBA"/>
    <w:rsid w:val="00A133D2"/>
    <w:rsid w:val="00A138DD"/>
    <w:rsid w:val="00A13C40"/>
    <w:rsid w:val="00A20212"/>
    <w:rsid w:val="00A230BB"/>
    <w:rsid w:val="00A23127"/>
    <w:rsid w:val="00A23DA3"/>
    <w:rsid w:val="00A2491C"/>
    <w:rsid w:val="00A261D3"/>
    <w:rsid w:val="00A3013F"/>
    <w:rsid w:val="00A34A35"/>
    <w:rsid w:val="00A4446A"/>
    <w:rsid w:val="00A46579"/>
    <w:rsid w:val="00A46AB7"/>
    <w:rsid w:val="00A5056B"/>
    <w:rsid w:val="00A51FAF"/>
    <w:rsid w:val="00A52D6B"/>
    <w:rsid w:val="00A56CB8"/>
    <w:rsid w:val="00A7227A"/>
    <w:rsid w:val="00A72B98"/>
    <w:rsid w:val="00A7332A"/>
    <w:rsid w:val="00A74255"/>
    <w:rsid w:val="00A7455D"/>
    <w:rsid w:val="00A76E88"/>
    <w:rsid w:val="00A814FD"/>
    <w:rsid w:val="00A8174D"/>
    <w:rsid w:val="00A82443"/>
    <w:rsid w:val="00A92689"/>
    <w:rsid w:val="00A9424F"/>
    <w:rsid w:val="00A944A9"/>
    <w:rsid w:val="00A9529A"/>
    <w:rsid w:val="00A96081"/>
    <w:rsid w:val="00A97696"/>
    <w:rsid w:val="00AA3A95"/>
    <w:rsid w:val="00AA40BD"/>
    <w:rsid w:val="00AA71B9"/>
    <w:rsid w:val="00AB30B5"/>
    <w:rsid w:val="00AB3C5C"/>
    <w:rsid w:val="00AB7F19"/>
    <w:rsid w:val="00AC1895"/>
    <w:rsid w:val="00AC5CBF"/>
    <w:rsid w:val="00AE0342"/>
    <w:rsid w:val="00AE0AEC"/>
    <w:rsid w:val="00AE191D"/>
    <w:rsid w:val="00AE27EA"/>
    <w:rsid w:val="00AE5FFD"/>
    <w:rsid w:val="00AF3444"/>
    <w:rsid w:val="00AF4B78"/>
    <w:rsid w:val="00AF6F19"/>
    <w:rsid w:val="00B01B7F"/>
    <w:rsid w:val="00B04B2C"/>
    <w:rsid w:val="00B07699"/>
    <w:rsid w:val="00B107CE"/>
    <w:rsid w:val="00B17ACB"/>
    <w:rsid w:val="00B21555"/>
    <w:rsid w:val="00B21E3C"/>
    <w:rsid w:val="00B2596E"/>
    <w:rsid w:val="00B27E35"/>
    <w:rsid w:val="00B336D2"/>
    <w:rsid w:val="00B33A72"/>
    <w:rsid w:val="00B36333"/>
    <w:rsid w:val="00B36E58"/>
    <w:rsid w:val="00B46F2D"/>
    <w:rsid w:val="00B510B8"/>
    <w:rsid w:val="00B52822"/>
    <w:rsid w:val="00B62AF7"/>
    <w:rsid w:val="00B70C41"/>
    <w:rsid w:val="00B76206"/>
    <w:rsid w:val="00B77C41"/>
    <w:rsid w:val="00B8070F"/>
    <w:rsid w:val="00B8084F"/>
    <w:rsid w:val="00B84038"/>
    <w:rsid w:val="00B841BE"/>
    <w:rsid w:val="00B861C0"/>
    <w:rsid w:val="00B8688B"/>
    <w:rsid w:val="00B86A43"/>
    <w:rsid w:val="00B871B8"/>
    <w:rsid w:val="00B90305"/>
    <w:rsid w:val="00B944C7"/>
    <w:rsid w:val="00B9464B"/>
    <w:rsid w:val="00B9651D"/>
    <w:rsid w:val="00B967AE"/>
    <w:rsid w:val="00B974D5"/>
    <w:rsid w:val="00BA0B1F"/>
    <w:rsid w:val="00BA2016"/>
    <w:rsid w:val="00BA6EC6"/>
    <w:rsid w:val="00BA71C5"/>
    <w:rsid w:val="00BB29A1"/>
    <w:rsid w:val="00BB5F5B"/>
    <w:rsid w:val="00BB7441"/>
    <w:rsid w:val="00BC045D"/>
    <w:rsid w:val="00BC0F1F"/>
    <w:rsid w:val="00BC6D6F"/>
    <w:rsid w:val="00BD1E13"/>
    <w:rsid w:val="00BE2DB8"/>
    <w:rsid w:val="00BE7461"/>
    <w:rsid w:val="00BF1186"/>
    <w:rsid w:val="00BF2A45"/>
    <w:rsid w:val="00BF64A1"/>
    <w:rsid w:val="00BF66B3"/>
    <w:rsid w:val="00C01B84"/>
    <w:rsid w:val="00C04F78"/>
    <w:rsid w:val="00C05001"/>
    <w:rsid w:val="00C10B5A"/>
    <w:rsid w:val="00C11847"/>
    <w:rsid w:val="00C14450"/>
    <w:rsid w:val="00C16B0A"/>
    <w:rsid w:val="00C2161E"/>
    <w:rsid w:val="00C27154"/>
    <w:rsid w:val="00C314A6"/>
    <w:rsid w:val="00C31917"/>
    <w:rsid w:val="00C34DE7"/>
    <w:rsid w:val="00C3755A"/>
    <w:rsid w:val="00C4013B"/>
    <w:rsid w:val="00C40F00"/>
    <w:rsid w:val="00C41C62"/>
    <w:rsid w:val="00C4706F"/>
    <w:rsid w:val="00C5111C"/>
    <w:rsid w:val="00C5173C"/>
    <w:rsid w:val="00C60421"/>
    <w:rsid w:val="00C60D55"/>
    <w:rsid w:val="00C63E61"/>
    <w:rsid w:val="00C7757E"/>
    <w:rsid w:val="00C83723"/>
    <w:rsid w:val="00C86666"/>
    <w:rsid w:val="00C866A8"/>
    <w:rsid w:val="00C96B68"/>
    <w:rsid w:val="00C97444"/>
    <w:rsid w:val="00CA0E21"/>
    <w:rsid w:val="00CA249A"/>
    <w:rsid w:val="00CB250D"/>
    <w:rsid w:val="00CB3111"/>
    <w:rsid w:val="00CB488D"/>
    <w:rsid w:val="00CB78A9"/>
    <w:rsid w:val="00CC2DCF"/>
    <w:rsid w:val="00CC5CD2"/>
    <w:rsid w:val="00CC7C4F"/>
    <w:rsid w:val="00CD13ED"/>
    <w:rsid w:val="00CD1E25"/>
    <w:rsid w:val="00CD1F75"/>
    <w:rsid w:val="00CD33B4"/>
    <w:rsid w:val="00CD5CA2"/>
    <w:rsid w:val="00CE475E"/>
    <w:rsid w:val="00CE4DEF"/>
    <w:rsid w:val="00CE579A"/>
    <w:rsid w:val="00CE5D40"/>
    <w:rsid w:val="00CE67FD"/>
    <w:rsid w:val="00CE70E5"/>
    <w:rsid w:val="00CF0762"/>
    <w:rsid w:val="00CF0DE0"/>
    <w:rsid w:val="00CF3FE1"/>
    <w:rsid w:val="00CF4AEA"/>
    <w:rsid w:val="00CF7351"/>
    <w:rsid w:val="00D01E7E"/>
    <w:rsid w:val="00D024F1"/>
    <w:rsid w:val="00D06890"/>
    <w:rsid w:val="00D06C59"/>
    <w:rsid w:val="00D07A47"/>
    <w:rsid w:val="00D107CE"/>
    <w:rsid w:val="00D10BF1"/>
    <w:rsid w:val="00D15001"/>
    <w:rsid w:val="00D16F7D"/>
    <w:rsid w:val="00D17425"/>
    <w:rsid w:val="00D210A1"/>
    <w:rsid w:val="00D24124"/>
    <w:rsid w:val="00D243FB"/>
    <w:rsid w:val="00D37248"/>
    <w:rsid w:val="00D37447"/>
    <w:rsid w:val="00D416DF"/>
    <w:rsid w:val="00D41723"/>
    <w:rsid w:val="00D42FC1"/>
    <w:rsid w:val="00D433BA"/>
    <w:rsid w:val="00D50F49"/>
    <w:rsid w:val="00D51707"/>
    <w:rsid w:val="00D567D1"/>
    <w:rsid w:val="00D62CD3"/>
    <w:rsid w:val="00D708F2"/>
    <w:rsid w:val="00D712CF"/>
    <w:rsid w:val="00D71524"/>
    <w:rsid w:val="00D730A2"/>
    <w:rsid w:val="00D76E4E"/>
    <w:rsid w:val="00D82D8F"/>
    <w:rsid w:val="00D85836"/>
    <w:rsid w:val="00D928FE"/>
    <w:rsid w:val="00D97753"/>
    <w:rsid w:val="00DA4C48"/>
    <w:rsid w:val="00DA614F"/>
    <w:rsid w:val="00DB42E0"/>
    <w:rsid w:val="00DC176E"/>
    <w:rsid w:val="00DD3271"/>
    <w:rsid w:val="00DE0354"/>
    <w:rsid w:val="00DE0EE8"/>
    <w:rsid w:val="00DE1EC0"/>
    <w:rsid w:val="00DE5DA7"/>
    <w:rsid w:val="00DF14C4"/>
    <w:rsid w:val="00E049E0"/>
    <w:rsid w:val="00E10CAA"/>
    <w:rsid w:val="00E121E6"/>
    <w:rsid w:val="00E265C6"/>
    <w:rsid w:val="00E32D0E"/>
    <w:rsid w:val="00E42D9C"/>
    <w:rsid w:val="00E43EE0"/>
    <w:rsid w:val="00E50468"/>
    <w:rsid w:val="00E664DD"/>
    <w:rsid w:val="00E67420"/>
    <w:rsid w:val="00E7049F"/>
    <w:rsid w:val="00E7178A"/>
    <w:rsid w:val="00E71DA2"/>
    <w:rsid w:val="00E721A2"/>
    <w:rsid w:val="00E76BED"/>
    <w:rsid w:val="00E7775B"/>
    <w:rsid w:val="00E802D5"/>
    <w:rsid w:val="00E912E6"/>
    <w:rsid w:val="00E91C5E"/>
    <w:rsid w:val="00EA3A87"/>
    <w:rsid w:val="00EB65FE"/>
    <w:rsid w:val="00ED65C7"/>
    <w:rsid w:val="00EE3179"/>
    <w:rsid w:val="00EE365A"/>
    <w:rsid w:val="00EF22F1"/>
    <w:rsid w:val="00EF48E9"/>
    <w:rsid w:val="00F0066D"/>
    <w:rsid w:val="00F11023"/>
    <w:rsid w:val="00F11778"/>
    <w:rsid w:val="00F16FFA"/>
    <w:rsid w:val="00F17919"/>
    <w:rsid w:val="00F17D8E"/>
    <w:rsid w:val="00F25F2C"/>
    <w:rsid w:val="00F27435"/>
    <w:rsid w:val="00F275CE"/>
    <w:rsid w:val="00F27EE5"/>
    <w:rsid w:val="00F33E0F"/>
    <w:rsid w:val="00F36219"/>
    <w:rsid w:val="00F365C3"/>
    <w:rsid w:val="00F45C3B"/>
    <w:rsid w:val="00F46193"/>
    <w:rsid w:val="00F5328A"/>
    <w:rsid w:val="00F539FA"/>
    <w:rsid w:val="00F551A8"/>
    <w:rsid w:val="00F57429"/>
    <w:rsid w:val="00F66CCA"/>
    <w:rsid w:val="00F72456"/>
    <w:rsid w:val="00F75C5B"/>
    <w:rsid w:val="00F80FD7"/>
    <w:rsid w:val="00F8130C"/>
    <w:rsid w:val="00F8296B"/>
    <w:rsid w:val="00F86101"/>
    <w:rsid w:val="00FA5CCF"/>
    <w:rsid w:val="00FA6A02"/>
    <w:rsid w:val="00FB4E93"/>
    <w:rsid w:val="00FB5AF5"/>
    <w:rsid w:val="00FB5FA9"/>
    <w:rsid w:val="00FC0540"/>
    <w:rsid w:val="00FC5A4F"/>
    <w:rsid w:val="00FD0612"/>
    <w:rsid w:val="00FD2E1A"/>
    <w:rsid w:val="00FD607B"/>
    <w:rsid w:val="00FE4165"/>
    <w:rsid w:val="00FE4F26"/>
    <w:rsid w:val="00FE62D6"/>
    <w:rsid w:val="00FE65A7"/>
    <w:rsid w:val="00FE7781"/>
    <w:rsid w:val="00FE7DE5"/>
    <w:rsid w:val="00FF39F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42CF45"/>
  <w15:chartTrackingRefBased/>
  <w15:docId w15:val="{EC5CAC87-A32E-4343-AB31-169355A03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662D"/>
    <w:pPr>
      <w:spacing w:line="260" w:lineRule="atLeast"/>
      <w:jc w:val="both"/>
    </w:pPr>
    <w:rPr>
      <w:rFonts w:ascii="Palatino Linotype" w:hAnsi="Palatino Linotype"/>
      <w:color w:val="000000"/>
    </w:rPr>
  </w:style>
  <w:style w:type="paragraph" w:styleId="Heading1">
    <w:name w:val="heading 1"/>
    <w:basedOn w:val="Normal"/>
    <w:next w:val="Normal"/>
    <w:link w:val="Heading1Char"/>
    <w:uiPriority w:val="9"/>
    <w:qFormat/>
    <w:rsid w:val="00DE1EC0"/>
    <w:pPr>
      <w:keepNext/>
      <w:keepLines/>
      <w:spacing w:before="240" w:line="259" w:lineRule="auto"/>
      <w:jc w:val="left"/>
      <w:outlineLvl w:val="0"/>
    </w:pPr>
    <w:rPr>
      <w:rFonts w:asciiTheme="majorHAnsi" w:eastAsiaTheme="majorEastAsia" w:hAnsiTheme="majorHAnsi" w:cstheme="majorBidi"/>
      <w:color w:val="2F5496" w:themeColor="accent1" w:themeShade="BF"/>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2F662D"/>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2F662D"/>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2F662D"/>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2F662D"/>
    <w:pPr>
      <w:adjustRightInd w:val="0"/>
      <w:snapToGrid w:val="0"/>
      <w:spacing w:line="240" w:lineRule="atLeast"/>
      <w:ind w:right="113"/>
      <w:jc w:val="left"/>
    </w:pPr>
    <w:rPr>
      <w:rFonts w:eastAsia="Times New Roman"/>
      <w:sz w:val="14"/>
      <w:lang w:eastAsia="de-DE" w:bidi="en-US"/>
    </w:rPr>
  </w:style>
  <w:style w:type="paragraph" w:customStyle="1" w:styleId="MDPI16affiliation">
    <w:name w:val="MDPI_1.6_affiliation"/>
    <w:qFormat/>
    <w:rsid w:val="002F662D"/>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2F662D"/>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2F662D"/>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2F662D"/>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094BD9"/>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39"/>
    <w:rsid w:val="002F662D"/>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2F662D"/>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2F662D"/>
    <w:rPr>
      <w:rFonts w:ascii="Palatino Linotype" w:hAnsi="Palatino Linotype"/>
      <w:noProof/>
      <w:color w:val="000000"/>
      <w:szCs w:val="18"/>
    </w:rPr>
  </w:style>
  <w:style w:type="paragraph" w:styleId="Header">
    <w:name w:val="header"/>
    <w:basedOn w:val="Normal"/>
    <w:link w:val="HeaderChar"/>
    <w:uiPriority w:val="99"/>
    <w:rsid w:val="002F662D"/>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2F662D"/>
    <w:rPr>
      <w:rFonts w:ascii="Palatino Linotype" w:hAnsi="Palatino Linotype"/>
      <w:noProof/>
      <w:color w:val="000000"/>
      <w:szCs w:val="18"/>
    </w:rPr>
  </w:style>
  <w:style w:type="paragraph" w:customStyle="1" w:styleId="MDPIheaderjournallogo">
    <w:name w:val="MDPI_header_journal_logo"/>
    <w:qFormat/>
    <w:rsid w:val="002F662D"/>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2F662D"/>
    <w:pPr>
      <w:ind w:firstLine="0"/>
    </w:pPr>
  </w:style>
  <w:style w:type="paragraph" w:customStyle="1" w:styleId="MDPI31text">
    <w:name w:val="MDPI_3.1_text"/>
    <w:qFormat/>
    <w:rsid w:val="001E71B8"/>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2F662D"/>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2F662D"/>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2F662D"/>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2F662D"/>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D37248"/>
    <w:pPr>
      <w:numPr>
        <w:numId w:val="22"/>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D37248"/>
    <w:pPr>
      <w:numPr>
        <w:numId w:val="20"/>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2F662D"/>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2F662D"/>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2F662D"/>
    <w:pPr>
      <w:adjustRightInd w:val="0"/>
      <w:snapToGrid w:val="0"/>
      <w:spacing w:before="240" w:after="120"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356A09"/>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2F662D"/>
    <w:pPr>
      <w:adjustRightInd w:val="0"/>
      <w:snapToGrid w:val="0"/>
      <w:spacing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2F662D"/>
    <w:pPr>
      <w:adjustRightInd w:val="0"/>
      <w:snapToGrid w:val="0"/>
      <w:spacing w:before="120" w:after="240" w:line="228" w:lineRule="auto"/>
      <w:ind w:left="2608"/>
      <w:jc w:val="both"/>
    </w:pPr>
    <w:rPr>
      <w:rFonts w:ascii="Palatino Linotype" w:eastAsia="Times New Roman" w:hAnsi="Palatino Linotype"/>
      <w:color w:val="000000"/>
      <w:sz w:val="18"/>
      <w:lang w:eastAsia="de-DE" w:bidi="en-US"/>
    </w:rPr>
  </w:style>
  <w:style w:type="paragraph" w:customStyle="1" w:styleId="MDPI52figure">
    <w:name w:val="MDPI_5.2_figure"/>
    <w:qFormat/>
    <w:rsid w:val="002F662D"/>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2F662D"/>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2F662D"/>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23heading3">
    <w:name w:val="MDPI_2.3_heading3"/>
    <w:qFormat/>
    <w:rsid w:val="002F662D"/>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2F662D"/>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2F662D"/>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64042E"/>
    <w:pPr>
      <w:numPr>
        <w:numId w:val="23"/>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2F662D"/>
    <w:rPr>
      <w:rFonts w:cs="Tahoma"/>
      <w:szCs w:val="18"/>
    </w:rPr>
  </w:style>
  <w:style w:type="character" w:customStyle="1" w:styleId="BalloonTextChar">
    <w:name w:val="Balloon Text Char"/>
    <w:link w:val="BalloonText"/>
    <w:uiPriority w:val="99"/>
    <w:rsid w:val="002F662D"/>
    <w:rPr>
      <w:rFonts w:ascii="Palatino Linotype" w:hAnsi="Palatino Linotype" w:cs="Tahoma"/>
      <w:noProof/>
      <w:color w:val="000000"/>
      <w:szCs w:val="18"/>
    </w:rPr>
  </w:style>
  <w:style w:type="character" w:styleId="LineNumber">
    <w:name w:val="line number"/>
    <w:uiPriority w:val="99"/>
    <w:rsid w:val="00285B9B"/>
    <w:rPr>
      <w:rFonts w:ascii="Palatino Linotype" w:hAnsi="Palatino Linotype"/>
      <w:sz w:val="16"/>
    </w:rPr>
  </w:style>
  <w:style w:type="table" w:customStyle="1" w:styleId="MDPI41threelinetable">
    <w:name w:val="MDPI_4.1_three_line_table"/>
    <w:basedOn w:val="TableNormal"/>
    <w:uiPriority w:val="99"/>
    <w:rsid w:val="002F662D"/>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2F662D"/>
    <w:rPr>
      <w:color w:val="0000FF"/>
      <w:u w:val="single"/>
    </w:rPr>
  </w:style>
  <w:style w:type="character" w:styleId="UnresolvedMention">
    <w:name w:val="Unresolved Mention"/>
    <w:uiPriority w:val="99"/>
    <w:semiHidden/>
    <w:unhideWhenUsed/>
    <w:rsid w:val="0066641F"/>
    <w:rPr>
      <w:color w:val="605E5C"/>
      <w:shd w:val="clear" w:color="auto" w:fill="E1DFDD"/>
    </w:rPr>
  </w:style>
  <w:style w:type="table" w:styleId="PlainTable4">
    <w:name w:val="Plain Table 4"/>
    <w:basedOn w:val="TableNormal"/>
    <w:uiPriority w:val="44"/>
    <w:rsid w:val="007F115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2F662D"/>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2F662D"/>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2F662D"/>
    <w:pPr>
      <w:adjustRightInd w:val="0"/>
      <w:snapToGrid w:val="0"/>
      <w:spacing w:after="120" w:line="240" w:lineRule="atLeast"/>
      <w:ind w:right="113"/>
    </w:pPr>
    <w:rPr>
      <w:rFonts w:ascii="Palatino Linotype" w:hAnsi="Palatino Linotype"/>
      <w:snapToGrid w:val="0"/>
      <w:color w:val="000000"/>
      <w:sz w:val="14"/>
      <w:lang w:eastAsia="en-US" w:bidi="en-US"/>
    </w:rPr>
  </w:style>
  <w:style w:type="paragraph" w:customStyle="1" w:styleId="MDPI15academiceditor">
    <w:name w:val="MDPI_1.5_academic_editor"/>
    <w:qFormat/>
    <w:rsid w:val="007473CE"/>
    <w:pPr>
      <w:adjustRightInd w:val="0"/>
      <w:snapToGrid w:val="0"/>
      <w:spacing w:before="12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2F662D"/>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2F662D"/>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customStyle="1" w:styleId="MDPI511onefigurecaption">
    <w:name w:val="MDPI_5.1.1_one_figure_caption"/>
    <w:qFormat/>
    <w:rsid w:val="002F662D"/>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72Copyright">
    <w:name w:val="MDPI_7.2_Copyright"/>
    <w:qFormat/>
    <w:rsid w:val="002F662D"/>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2F662D"/>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2F662D"/>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2F662D"/>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footerfirstpage">
    <w:name w:val="MDPI_footer_firstpage"/>
    <w:qFormat/>
    <w:rsid w:val="002F662D"/>
    <w:pPr>
      <w:tabs>
        <w:tab w:val="right" w:pos="8845"/>
      </w:tabs>
      <w:spacing w:line="160" w:lineRule="exact"/>
    </w:pPr>
    <w:rPr>
      <w:rFonts w:ascii="Palatino Linotype" w:eastAsia="Times New Roman" w:hAnsi="Palatino Linotype"/>
      <w:color w:val="000000"/>
      <w:sz w:val="16"/>
      <w:lang w:eastAsia="de-DE"/>
    </w:rPr>
  </w:style>
  <w:style w:type="paragraph" w:customStyle="1" w:styleId="MDPIheader">
    <w:name w:val="MDPI_header"/>
    <w:qFormat/>
    <w:rsid w:val="002F662D"/>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2F662D"/>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2F662D"/>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2F662D"/>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2F662D"/>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2F662D"/>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2F662D"/>
  </w:style>
  <w:style w:type="paragraph" w:styleId="Bibliography">
    <w:name w:val="Bibliography"/>
    <w:basedOn w:val="Normal"/>
    <w:next w:val="Normal"/>
    <w:uiPriority w:val="37"/>
    <w:semiHidden/>
    <w:unhideWhenUsed/>
    <w:rsid w:val="002F662D"/>
  </w:style>
  <w:style w:type="paragraph" w:styleId="BodyText">
    <w:name w:val="Body Text"/>
    <w:link w:val="BodyTextChar"/>
    <w:rsid w:val="002F662D"/>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2F662D"/>
    <w:rPr>
      <w:rFonts w:ascii="Palatino Linotype" w:hAnsi="Palatino Linotype"/>
      <w:color w:val="000000"/>
      <w:sz w:val="24"/>
      <w:lang w:eastAsia="de-DE"/>
    </w:rPr>
  </w:style>
  <w:style w:type="character" w:styleId="CommentReference">
    <w:name w:val="annotation reference"/>
    <w:rsid w:val="002F662D"/>
    <w:rPr>
      <w:sz w:val="21"/>
      <w:szCs w:val="21"/>
    </w:rPr>
  </w:style>
  <w:style w:type="paragraph" w:styleId="CommentText">
    <w:name w:val="annotation text"/>
    <w:basedOn w:val="Normal"/>
    <w:link w:val="CommentTextChar"/>
    <w:rsid w:val="002F662D"/>
  </w:style>
  <w:style w:type="character" w:customStyle="1" w:styleId="CommentTextChar">
    <w:name w:val="Comment Text Char"/>
    <w:link w:val="CommentText"/>
    <w:rsid w:val="002F662D"/>
    <w:rPr>
      <w:rFonts w:ascii="Palatino Linotype" w:hAnsi="Palatino Linotype"/>
      <w:noProof/>
      <w:color w:val="000000"/>
    </w:rPr>
  </w:style>
  <w:style w:type="paragraph" w:styleId="CommentSubject">
    <w:name w:val="annotation subject"/>
    <w:basedOn w:val="CommentText"/>
    <w:next w:val="CommentText"/>
    <w:link w:val="CommentSubjectChar"/>
    <w:rsid w:val="002F662D"/>
    <w:rPr>
      <w:b/>
      <w:bCs/>
    </w:rPr>
  </w:style>
  <w:style w:type="character" w:customStyle="1" w:styleId="CommentSubjectChar">
    <w:name w:val="Comment Subject Char"/>
    <w:link w:val="CommentSubject"/>
    <w:rsid w:val="002F662D"/>
    <w:rPr>
      <w:rFonts w:ascii="Palatino Linotype" w:hAnsi="Palatino Linotype"/>
      <w:b/>
      <w:bCs/>
      <w:noProof/>
      <w:color w:val="000000"/>
    </w:rPr>
  </w:style>
  <w:style w:type="character" w:styleId="EndnoteReference">
    <w:name w:val="endnote reference"/>
    <w:uiPriority w:val="99"/>
    <w:rsid w:val="002F662D"/>
    <w:rPr>
      <w:vertAlign w:val="superscript"/>
    </w:rPr>
  </w:style>
  <w:style w:type="paragraph" w:styleId="EndnoteText">
    <w:name w:val="endnote text"/>
    <w:basedOn w:val="Normal"/>
    <w:link w:val="EndnoteTextChar"/>
    <w:unhideWhenUsed/>
    <w:rsid w:val="002F662D"/>
    <w:pPr>
      <w:spacing w:line="240" w:lineRule="auto"/>
    </w:pPr>
  </w:style>
  <w:style w:type="character" w:customStyle="1" w:styleId="EndnoteTextChar">
    <w:name w:val="Endnote Text Char"/>
    <w:link w:val="EndnoteText"/>
    <w:rsid w:val="002F662D"/>
    <w:rPr>
      <w:rFonts w:ascii="Palatino Linotype" w:hAnsi="Palatino Linotype"/>
      <w:noProof/>
      <w:color w:val="000000"/>
    </w:rPr>
  </w:style>
  <w:style w:type="character" w:styleId="FollowedHyperlink">
    <w:name w:val="FollowedHyperlink"/>
    <w:rsid w:val="002F662D"/>
    <w:rPr>
      <w:color w:val="954F72"/>
      <w:u w:val="single"/>
    </w:rPr>
  </w:style>
  <w:style w:type="paragraph" w:styleId="FootnoteText">
    <w:name w:val="footnote text"/>
    <w:basedOn w:val="Normal"/>
    <w:link w:val="FootnoteTextChar"/>
    <w:semiHidden/>
    <w:unhideWhenUsed/>
    <w:rsid w:val="002F662D"/>
    <w:pPr>
      <w:spacing w:line="240" w:lineRule="auto"/>
    </w:pPr>
  </w:style>
  <w:style w:type="character" w:customStyle="1" w:styleId="FootnoteTextChar">
    <w:name w:val="Footnote Text Char"/>
    <w:link w:val="FootnoteText"/>
    <w:semiHidden/>
    <w:rsid w:val="002F662D"/>
    <w:rPr>
      <w:rFonts w:ascii="Palatino Linotype" w:hAnsi="Palatino Linotype"/>
      <w:noProof/>
      <w:color w:val="000000"/>
    </w:rPr>
  </w:style>
  <w:style w:type="paragraph" w:styleId="NormalWeb">
    <w:name w:val="Normal (Web)"/>
    <w:basedOn w:val="Normal"/>
    <w:uiPriority w:val="99"/>
    <w:rsid w:val="002F662D"/>
    <w:rPr>
      <w:szCs w:val="24"/>
    </w:rPr>
  </w:style>
  <w:style w:type="paragraph" w:customStyle="1" w:styleId="MsoFootnoteText0">
    <w:name w:val="MsoFootnoteText"/>
    <w:basedOn w:val="NormalWeb"/>
    <w:qFormat/>
    <w:rsid w:val="002F662D"/>
    <w:rPr>
      <w:rFonts w:ascii="Times New Roman" w:hAnsi="Times New Roman"/>
    </w:rPr>
  </w:style>
  <w:style w:type="character" w:styleId="PageNumber">
    <w:name w:val="page number"/>
    <w:rsid w:val="002F662D"/>
  </w:style>
  <w:style w:type="character" w:styleId="PlaceholderText">
    <w:name w:val="Placeholder Text"/>
    <w:uiPriority w:val="99"/>
    <w:semiHidden/>
    <w:rsid w:val="002F662D"/>
    <w:rPr>
      <w:color w:val="808080"/>
    </w:rPr>
  </w:style>
  <w:style w:type="paragraph" w:customStyle="1" w:styleId="MDPI71FootNotes">
    <w:name w:val="MDPI_7.1_FootNotes"/>
    <w:qFormat/>
    <w:rsid w:val="00CB488D"/>
    <w:pPr>
      <w:numPr>
        <w:numId w:val="21"/>
      </w:numPr>
      <w:adjustRightInd w:val="0"/>
      <w:snapToGrid w:val="0"/>
      <w:spacing w:line="228" w:lineRule="auto"/>
    </w:pPr>
    <w:rPr>
      <w:rFonts w:ascii="Palatino Linotype" w:eastAsiaTheme="minorEastAsia" w:hAnsi="Palatino Linotype"/>
      <w:noProof/>
      <w:color w:val="000000"/>
      <w:sz w:val="18"/>
    </w:rPr>
  </w:style>
  <w:style w:type="paragraph" w:styleId="Revision">
    <w:name w:val="Revision"/>
    <w:hidden/>
    <w:uiPriority w:val="99"/>
    <w:semiHidden/>
    <w:rsid w:val="00E50468"/>
    <w:rPr>
      <w:rFonts w:ascii="Palatino Linotype" w:hAnsi="Palatino Linotype"/>
      <w:color w:val="000000"/>
    </w:rPr>
  </w:style>
  <w:style w:type="character" w:styleId="FootnoteReference">
    <w:name w:val="footnote reference"/>
    <w:basedOn w:val="DefaultParagraphFont"/>
    <w:uiPriority w:val="99"/>
    <w:semiHidden/>
    <w:unhideWhenUsed/>
    <w:rsid w:val="00DE1EC0"/>
    <w:rPr>
      <w:vertAlign w:val="superscript"/>
    </w:rPr>
  </w:style>
  <w:style w:type="character" w:customStyle="1" w:styleId="Heading1Char">
    <w:name w:val="Heading 1 Char"/>
    <w:basedOn w:val="DefaultParagraphFont"/>
    <w:link w:val="Heading1"/>
    <w:uiPriority w:val="9"/>
    <w:rsid w:val="00DE1EC0"/>
    <w:rPr>
      <w:rFonts w:asciiTheme="majorHAnsi" w:eastAsiaTheme="majorEastAsia" w:hAnsiTheme="majorHAnsi" w:cstheme="majorBidi"/>
      <w:color w:val="2F5496" w:themeColor="accent1" w:themeShade="BF"/>
      <w:sz w:val="32"/>
      <w:szCs w:val="32"/>
      <w:lang w:eastAsia="en-US"/>
    </w:rPr>
  </w:style>
  <w:style w:type="paragraph" w:styleId="ListParagraph">
    <w:name w:val="List Paragraph"/>
    <w:basedOn w:val="Normal"/>
    <w:uiPriority w:val="34"/>
    <w:qFormat/>
    <w:rsid w:val="00DE1E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769104">
      <w:bodyDiv w:val="1"/>
      <w:marLeft w:val="0"/>
      <w:marRight w:val="0"/>
      <w:marTop w:val="0"/>
      <w:marBottom w:val="0"/>
      <w:divBdr>
        <w:top w:val="none" w:sz="0" w:space="0" w:color="auto"/>
        <w:left w:val="none" w:sz="0" w:space="0" w:color="auto"/>
        <w:bottom w:val="none" w:sz="0" w:space="0" w:color="auto"/>
        <w:right w:val="none" w:sz="0" w:space="0" w:color="auto"/>
      </w:divBdr>
      <w:divsChild>
        <w:div w:id="1863741462">
          <w:marLeft w:val="0"/>
          <w:marRight w:val="0"/>
          <w:marTop w:val="0"/>
          <w:marBottom w:val="0"/>
          <w:divBdr>
            <w:top w:val="none" w:sz="0" w:space="0" w:color="auto"/>
            <w:left w:val="none" w:sz="0" w:space="0" w:color="auto"/>
            <w:bottom w:val="none" w:sz="0" w:space="0" w:color="auto"/>
            <w:right w:val="none" w:sz="0" w:space="0" w:color="auto"/>
          </w:divBdr>
        </w:div>
        <w:div w:id="894587824">
          <w:marLeft w:val="0"/>
          <w:marRight w:val="0"/>
          <w:marTop w:val="0"/>
          <w:marBottom w:val="0"/>
          <w:divBdr>
            <w:top w:val="none" w:sz="0" w:space="0" w:color="auto"/>
            <w:left w:val="none" w:sz="0" w:space="0" w:color="auto"/>
            <w:bottom w:val="none" w:sz="0" w:space="0" w:color="auto"/>
            <w:right w:val="none" w:sz="0" w:space="0" w:color="auto"/>
          </w:divBdr>
        </w:div>
        <w:div w:id="963198500">
          <w:marLeft w:val="0"/>
          <w:marRight w:val="0"/>
          <w:marTop w:val="0"/>
          <w:marBottom w:val="0"/>
          <w:divBdr>
            <w:top w:val="none" w:sz="0" w:space="0" w:color="auto"/>
            <w:left w:val="none" w:sz="0" w:space="0" w:color="auto"/>
            <w:bottom w:val="none" w:sz="0" w:space="0" w:color="auto"/>
            <w:right w:val="none" w:sz="0" w:space="0" w:color="auto"/>
          </w:divBdr>
        </w:div>
      </w:divsChild>
    </w:div>
    <w:div w:id="2069456177">
      <w:bodyDiv w:val="1"/>
      <w:marLeft w:val="0"/>
      <w:marRight w:val="0"/>
      <w:marTop w:val="0"/>
      <w:marBottom w:val="0"/>
      <w:divBdr>
        <w:top w:val="none" w:sz="0" w:space="0" w:color="auto"/>
        <w:left w:val="none" w:sz="0" w:space="0" w:color="auto"/>
        <w:bottom w:val="none" w:sz="0" w:space="0" w:color="auto"/>
        <w:right w:val="none" w:sz="0" w:space="0" w:color="auto"/>
      </w:divBdr>
      <w:divsChild>
        <w:div w:id="1799520151">
          <w:marLeft w:val="0"/>
          <w:marRight w:val="0"/>
          <w:marTop w:val="0"/>
          <w:marBottom w:val="0"/>
          <w:divBdr>
            <w:top w:val="none" w:sz="0" w:space="0" w:color="auto"/>
            <w:left w:val="none" w:sz="0" w:space="0" w:color="auto"/>
            <w:bottom w:val="none" w:sz="0" w:space="0" w:color="auto"/>
            <w:right w:val="none" w:sz="0" w:space="0" w:color="auto"/>
          </w:divBdr>
        </w:div>
        <w:div w:id="1953782628">
          <w:marLeft w:val="0"/>
          <w:marRight w:val="0"/>
          <w:marTop w:val="0"/>
          <w:marBottom w:val="0"/>
          <w:divBdr>
            <w:top w:val="none" w:sz="0" w:space="0" w:color="auto"/>
            <w:left w:val="none" w:sz="0" w:space="0" w:color="auto"/>
            <w:bottom w:val="none" w:sz="0" w:space="0" w:color="auto"/>
            <w:right w:val="none" w:sz="0" w:space="0" w:color="auto"/>
          </w:divBdr>
        </w:div>
        <w:div w:id="582422158">
          <w:marLeft w:val="0"/>
          <w:marRight w:val="0"/>
          <w:marTop w:val="0"/>
          <w:marBottom w:val="0"/>
          <w:divBdr>
            <w:top w:val="none" w:sz="0" w:space="0" w:color="auto"/>
            <w:left w:val="none" w:sz="0" w:space="0" w:color="auto"/>
            <w:bottom w:val="none" w:sz="0" w:space="0" w:color="auto"/>
            <w:right w:val="none" w:sz="0" w:space="0" w:color="auto"/>
          </w:divBdr>
        </w:div>
      </w:divsChild>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 TargetMode="External"/><Relationship Id="rId18" Type="http://schemas.openxmlformats.org/officeDocument/2006/relationships/diagramQuickStyle" Target="diagrams/quickStyle1.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gov.uk/government/publications/physical-activity-applying-all-our-health/physical-activity-applying-all-our-health" TargetMode="External"/><Relationship Id="rId7" Type="http://schemas.openxmlformats.org/officeDocument/2006/relationships/settings" Target="settings.xml"/><Relationship Id="rId12" Type="http://schemas.openxmlformats.org/officeDocument/2006/relationships/hyperlink" Target="mailto:rkl109@pgr.aru.ac.uk" TargetMode="External"/><Relationship Id="rId17" Type="http://schemas.openxmlformats.org/officeDocument/2006/relationships/diagramLayout" Target="diagrams/layout1.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diagramData" Target="diagrams/data1.xml"/><Relationship Id="rId20" Type="http://schemas.microsoft.com/office/2007/relationships/diagramDrawing" Target="diagrams/drawing1.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sportengland.org/funds-and-campaigns/moving-healthcare-professionals?section=training_and_resources" TargetMode="External"/><Relationship Id="rId5" Type="http://schemas.openxmlformats.org/officeDocument/2006/relationships/numbering" Target="numbering.xml"/><Relationship Id="rId15" Type="http://schemas.openxmlformats.org/officeDocument/2006/relationships/hyperlink" Target="mailto:lee.smith@aru.ac.uk" TargetMode="External"/><Relationship Id="rId23" Type="http://schemas.openxmlformats.org/officeDocument/2006/relationships/hyperlink" Target="https://britishblindsport.org.uk/new-guide-for-rehabilitation-workers/"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diagramColors" Target="diagrams/colors1.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ev@null" TargetMode="External"/><Relationship Id="rId22" Type="http://schemas.openxmlformats.org/officeDocument/2006/relationships/hyperlink" Target="https://www.rnib.org.uk/our-campaigns/see-sport-differently/"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sie\OneDrive\Documents\vision-template.dot"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11FE339-1BB5-4D41-B3FC-41E198F7A1EE}" type="doc">
      <dgm:prSet loTypeId="urn:microsoft.com/office/officeart/2005/8/layout/process2" loCatId="process" qsTypeId="urn:microsoft.com/office/officeart/2005/8/quickstyle/simple1" qsCatId="simple" csTypeId="urn:microsoft.com/office/officeart/2005/8/colors/accent1_2" csCatId="accent1" phldr="1"/>
      <dgm:spPr/>
    </dgm:pt>
    <dgm:pt modelId="{0785C207-4394-4BE4-965B-A4EBB73B4019}">
      <dgm:prSet phldrT="[Text]" custT="1"/>
      <dgm:spPr/>
      <dgm:t>
        <a:bodyPr/>
        <a:lstStyle/>
        <a:p>
          <a:r>
            <a:rPr lang="en-GB" sz="1000"/>
            <a:t>Stage one: Focus group with experts. </a:t>
          </a:r>
        </a:p>
        <a:p>
          <a:r>
            <a:rPr lang="en-GB" sz="1000"/>
            <a:t> </a:t>
          </a:r>
        </a:p>
      </dgm:t>
    </dgm:pt>
    <dgm:pt modelId="{29E136D0-AA2C-48B2-9347-500D298151EE}" type="parTrans" cxnId="{AB3D6CFC-BDD2-4F00-8163-BAB5E9506FA3}">
      <dgm:prSet/>
      <dgm:spPr/>
      <dgm:t>
        <a:bodyPr/>
        <a:lstStyle/>
        <a:p>
          <a:endParaRPr lang="en-GB" sz="2400"/>
        </a:p>
      </dgm:t>
    </dgm:pt>
    <dgm:pt modelId="{BE26F989-A88A-47A1-91D6-6242CE7EB36D}" type="sibTrans" cxnId="{AB3D6CFC-BDD2-4F00-8163-BAB5E9506FA3}">
      <dgm:prSet custT="1"/>
      <dgm:spPr/>
      <dgm:t>
        <a:bodyPr/>
        <a:lstStyle/>
        <a:p>
          <a:endParaRPr lang="en-GB" sz="900"/>
        </a:p>
      </dgm:t>
    </dgm:pt>
    <dgm:pt modelId="{1B6E0CF3-CB38-4E88-B56A-E9D88D10D634}">
      <dgm:prSet phldrT="[Text]" custT="1"/>
      <dgm:spPr/>
      <dgm:t>
        <a:bodyPr/>
        <a:lstStyle/>
        <a:p>
          <a:r>
            <a:rPr lang="en-GB" sz="1000"/>
            <a:t>Stage</a:t>
          </a:r>
          <a:r>
            <a:rPr lang="en-GB" sz="1000" baseline="0"/>
            <a:t> two: Define consensus and closing criteria for Delphi </a:t>
          </a:r>
          <a:endParaRPr lang="en-GB" sz="1000"/>
        </a:p>
      </dgm:t>
    </dgm:pt>
    <dgm:pt modelId="{14900EFD-049A-4995-8A17-2577550C545D}" type="parTrans" cxnId="{E3CE8C80-1B59-4C6B-86BA-E2E942291230}">
      <dgm:prSet/>
      <dgm:spPr/>
      <dgm:t>
        <a:bodyPr/>
        <a:lstStyle/>
        <a:p>
          <a:endParaRPr lang="en-GB" sz="2400"/>
        </a:p>
      </dgm:t>
    </dgm:pt>
    <dgm:pt modelId="{75FBDEC0-C3B1-4464-AAE2-3A1C813C7F9E}" type="sibTrans" cxnId="{E3CE8C80-1B59-4C6B-86BA-E2E942291230}">
      <dgm:prSet custT="1"/>
      <dgm:spPr/>
      <dgm:t>
        <a:bodyPr/>
        <a:lstStyle/>
        <a:p>
          <a:endParaRPr lang="en-GB" sz="900"/>
        </a:p>
      </dgm:t>
    </dgm:pt>
    <dgm:pt modelId="{AC9A8221-5621-415F-8CF2-3E09F1AA84F8}">
      <dgm:prSet phldrT="[Text]" custT="1"/>
      <dgm:spPr/>
      <dgm:t>
        <a:bodyPr/>
        <a:lstStyle/>
        <a:p>
          <a:r>
            <a:rPr lang="en-GB" sz="1000"/>
            <a:t>Stage three: Develop round one of Delphi study </a:t>
          </a:r>
        </a:p>
      </dgm:t>
    </dgm:pt>
    <dgm:pt modelId="{13C557C5-6334-4C32-8D23-3DAA69D67BE3}" type="parTrans" cxnId="{971A2D60-29E2-4C4F-AC3E-CD80807B714C}">
      <dgm:prSet/>
      <dgm:spPr/>
      <dgm:t>
        <a:bodyPr/>
        <a:lstStyle/>
        <a:p>
          <a:endParaRPr lang="en-GB" sz="2400"/>
        </a:p>
      </dgm:t>
    </dgm:pt>
    <dgm:pt modelId="{F17E3FEE-68E0-42CF-BE6D-DB04616EE7C3}" type="sibTrans" cxnId="{971A2D60-29E2-4C4F-AC3E-CD80807B714C}">
      <dgm:prSet custT="1"/>
      <dgm:spPr/>
      <dgm:t>
        <a:bodyPr/>
        <a:lstStyle/>
        <a:p>
          <a:endParaRPr lang="en-GB" sz="900"/>
        </a:p>
      </dgm:t>
    </dgm:pt>
    <dgm:pt modelId="{3450B14B-C987-4BA8-9E21-08DD2BBD5F46}">
      <dgm:prSet custT="1"/>
      <dgm:spPr/>
      <dgm:t>
        <a:bodyPr/>
        <a:lstStyle/>
        <a:p>
          <a:r>
            <a:rPr lang="en-GB" sz="1000"/>
            <a:t>Stage four: Recruit expert panel to participate in Delphi and distribute round one </a:t>
          </a:r>
        </a:p>
      </dgm:t>
    </dgm:pt>
    <dgm:pt modelId="{F8B9284C-B595-4671-A378-68E701D8FD66}" type="parTrans" cxnId="{6B6DE4CF-DAF0-48C2-B79A-5F0B3940F8E9}">
      <dgm:prSet/>
      <dgm:spPr/>
      <dgm:t>
        <a:bodyPr/>
        <a:lstStyle/>
        <a:p>
          <a:endParaRPr lang="en-GB" sz="2400"/>
        </a:p>
      </dgm:t>
    </dgm:pt>
    <dgm:pt modelId="{E3580462-0E4A-421B-AC7C-1E4300E50810}" type="sibTrans" cxnId="{6B6DE4CF-DAF0-48C2-B79A-5F0B3940F8E9}">
      <dgm:prSet custT="1"/>
      <dgm:spPr/>
      <dgm:t>
        <a:bodyPr/>
        <a:lstStyle/>
        <a:p>
          <a:endParaRPr lang="en-GB" sz="900"/>
        </a:p>
      </dgm:t>
    </dgm:pt>
    <dgm:pt modelId="{52FA0A42-607A-45B6-AB70-315DBA8A5C4C}">
      <dgm:prSet custT="1"/>
      <dgm:spPr/>
      <dgm:t>
        <a:bodyPr/>
        <a:lstStyle/>
        <a:p>
          <a:r>
            <a:rPr lang="en-GB" sz="1000"/>
            <a:t>Stage five:  Analyse results from round one</a:t>
          </a:r>
        </a:p>
      </dgm:t>
    </dgm:pt>
    <dgm:pt modelId="{F0731EB3-A012-4250-B398-A068A0481B0B}" type="parTrans" cxnId="{78229E48-B680-4B1F-A56A-CD1710B3C320}">
      <dgm:prSet/>
      <dgm:spPr/>
      <dgm:t>
        <a:bodyPr/>
        <a:lstStyle/>
        <a:p>
          <a:endParaRPr lang="en-GB" sz="2400"/>
        </a:p>
      </dgm:t>
    </dgm:pt>
    <dgm:pt modelId="{30B5B175-F4F4-43CE-9E37-195640E8E541}" type="sibTrans" cxnId="{78229E48-B680-4B1F-A56A-CD1710B3C320}">
      <dgm:prSet custT="1"/>
      <dgm:spPr/>
      <dgm:t>
        <a:bodyPr/>
        <a:lstStyle/>
        <a:p>
          <a:endParaRPr lang="en-GB" sz="900"/>
        </a:p>
      </dgm:t>
    </dgm:pt>
    <dgm:pt modelId="{061E0D1B-DB7A-4729-A595-0E81362B53EA}">
      <dgm:prSet custT="1"/>
      <dgm:spPr/>
      <dgm:t>
        <a:bodyPr/>
        <a:lstStyle/>
        <a:p>
          <a:r>
            <a:rPr lang="en-GB" sz="1000"/>
            <a:t>Stage six: Develop round two of survey </a:t>
          </a:r>
        </a:p>
      </dgm:t>
    </dgm:pt>
    <dgm:pt modelId="{61AE721E-99E1-400A-9B4A-76798929E7A9}" type="parTrans" cxnId="{34CD819D-BD08-44F8-9524-6B8D3F43A037}">
      <dgm:prSet/>
      <dgm:spPr/>
      <dgm:t>
        <a:bodyPr/>
        <a:lstStyle/>
        <a:p>
          <a:endParaRPr lang="en-GB" sz="2400"/>
        </a:p>
      </dgm:t>
    </dgm:pt>
    <dgm:pt modelId="{C49B02C1-9A7D-4136-8736-1085A52B6487}" type="sibTrans" cxnId="{34CD819D-BD08-44F8-9524-6B8D3F43A037}">
      <dgm:prSet custT="1"/>
      <dgm:spPr/>
      <dgm:t>
        <a:bodyPr/>
        <a:lstStyle/>
        <a:p>
          <a:endParaRPr lang="en-GB" sz="900"/>
        </a:p>
      </dgm:t>
    </dgm:pt>
    <dgm:pt modelId="{22C7CE51-494F-4C09-AFF7-E98ADF4546F0}">
      <dgm:prSet custT="1"/>
      <dgm:spPr/>
      <dgm:t>
        <a:bodyPr/>
        <a:lstStyle/>
        <a:p>
          <a:r>
            <a:rPr lang="en-GB" sz="1000"/>
            <a:t>Stage seven: Distribute round two of the survey </a:t>
          </a:r>
        </a:p>
      </dgm:t>
    </dgm:pt>
    <dgm:pt modelId="{BA227476-B1F0-4D90-A7C3-362EC836F8C8}" type="parTrans" cxnId="{DB1DE49A-7BA7-4367-A446-E8F1CFA7BD21}">
      <dgm:prSet/>
      <dgm:spPr/>
      <dgm:t>
        <a:bodyPr/>
        <a:lstStyle/>
        <a:p>
          <a:endParaRPr lang="en-GB" sz="2400"/>
        </a:p>
      </dgm:t>
    </dgm:pt>
    <dgm:pt modelId="{132C624B-B708-45CA-810A-64911D076C24}" type="sibTrans" cxnId="{DB1DE49A-7BA7-4367-A446-E8F1CFA7BD21}">
      <dgm:prSet custT="1"/>
      <dgm:spPr/>
      <dgm:t>
        <a:bodyPr/>
        <a:lstStyle/>
        <a:p>
          <a:endParaRPr lang="en-GB" sz="900"/>
        </a:p>
      </dgm:t>
    </dgm:pt>
    <dgm:pt modelId="{487795C7-BA11-42B4-AD24-4ADF444316A7}">
      <dgm:prSet custT="1"/>
      <dgm:spPr/>
      <dgm:t>
        <a:bodyPr/>
        <a:lstStyle/>
        <a:p>
          <a:r>
            <a:rPr lang="en-GB" sz="1000"/>
            <a:t>Stage eight: Analyse the results of round two.</a:t>
          </a:r>
        </a:p>
      </dgm:t>
    </dgm:pt>
    <dgm:pt modelId="{3D1934C7-6A3F-4ED4-88B8-98AD28CFAE76}" type="parTrans" cxnId="{4518F8BF-5C32-4DE3-ADDA-2733C15E4F49}">
      <dgm:prSet/>
      <dgm:spPr/>
      <dgm:t>
        <a:bodyPr/>
        <a:lstStyle/>
        <a:p>
          <a:endParaRPr lang="en-GB" sz="2400"/>
        </a:p>
      </dgm:t>
    </dgm:pt>
    <dgm:pt modelId="{ADFDA458-0F10-48B7-9D3B-40C560C9F3E9}" type="sibTrans" cxnId="{4518F8BF-5C32-4DE3-ADDA-2733C15E4F49}">
      <dgm:prSet custT="1"/>
      <dgm:spPr/>
      <dgm:t>
        <a:bodyPr/>
        <a:lstStyle/>
        <a:p>
          <a:endParaRPr lang="en-GB" sz="900"/>
        </a:p>
      </dgm:t>
    </dgm:pt>
    <dgm:pt modelId="{A003AF07-F081-449D-9591-4267CF733EFF}">
      <dgm:prSet custT="1"/>
      <dgm:spPr/>
      <dgm:t>
        <a:bodyPr/>
        <a:lstStyle/>
        <a:p>
          <a:r>
            <a:rPr lang="en-GB" sz="1000"/>
            <a:t>Summarise final results </a:t>
          </a:r>
        </a:p>
      </dgm:t>
    </dgm:pt>
    <dgm:pt modelId="{32BC2E5F-2FCD-4944-A386-DAD91871E98B}" type="parTrans" cxnId="{965DD11F-1B4E-463E-9AC1-1AF47EAD08C2}">
      <dgm:prSet/>
      <dgm:spPr/>
      <dgm:t>
        <a:bodyPr/>
        <a:lstStyle/>
        <a:p>
          <a:endParaRPr lang="en-GB" sz="2400"/>
        </a:p>
      </dgm:t>
    </dgm:pt>
    <dgm:pt modelId="{E45DB045-F15B-4D51-A950-74BA53FAB323}" type="sibTrans" cxnId="{965DD11F-1B4E-463E-9AC1-1AF47EAD08C2}">
      <dgm:prSet/>
      <dgm:spPr/>
      <dgm:t>
        <a:bodyPr/>
        <a:lstStyle/>
        <a:p>
          <a:endParaRPr lang="en-GB" sz="2400"/>
        </a:p>
      </dgm:t>
    </dgm:pt>
    <dgm:pt modelId="{0CD1B310-25E6-471A-B402-DEB3CCC6EE42}" type="pres">
      <dgm:prSet presAssocID="{011FE339-1BB5-4D41-B3FC-41E198F7A1EE}" presName="linearFlow" presStyleCnt="0">
        <dgm:presLayoutVars>
          <dgm:resizeHandles val="exact"/>
        </dgm:presLayoutVars>
      </dgm:prSet>
      <dgm:spPr/>
    </dgm:pt>
    <dgm:pt modelId="{EBF7E6D4-8E90-4D1C-AACC-5A7EDACD76B3}" type="pres">
      <dgm:prSet presAssocID="{0785C207-4394-4BE4-965B-A4EBB73B4019}" presName="node" presStyleLbl="node1" presStyleIdx="0" presStyleCnt="9" custScaleX="126804">
        <dgm:presLayoutVars>
          <dgm:bulletEnabled val="1"/>
        </dgm:presLayoutVars>
      </dgm:prSet>
      <dgm:spPr/>
    </dgm:pt>
    <dgm:pt modelId="{0999F93C-010E-4E5A-8638-3CD890941941}" type="pres">
      <dgm:prSet presAssocID="{BE26F989-A88A-47A1-91D6-6242CE7EB36D}" presName="sibTrans" presStyleLbl="sibTrans2D1" presStyleIdx="0" presStyleCnt="8" custScaleX="126803"/>
      <dgm:spPr/>
    </dgm:pt>
    <dgm:pt modelId="{C8FC8C68-20C1-47A9-8FDE-58BE559C706B}" type="pres">
      <dgm:prSet presAssocID="{BE26F989-A88A-47A1-91D6-6242CE7EB36D}" presName="connectorText" presStyleLbl="sibTrans2D1" presStyleIdx="0" presStyleCnt="8"/>
      <dgm:spPr/>
    </dgm:pt>
    <dgm:pt modelId="{A4DBA081-141A-44A7-9534-5BBA1748E214}" type="pres">
      <dgm:prSet presAssocID="{1B6E0CF3-CB38-4E88-B56A-E9D88D10D634}" presName="node" presStyleLbl="node1" presStyleIdx="1" presStyleCnt="9" custScaleX="126804">
        <dgm:presLayoutVars>
          <dgm:bulletEnabled val="1"/>
        </dgm:presLayoutVars>
      </dgm:prSet>
      <dgm:spPr/>
    </dgm:pt>
    <dgm:pt modelId="{13C4FF8E-3F08-4646-87A2-37DE8F4542AF}" type="pres">
      <dgm:prSet presAssocID="{75FBDEC0-C3B1-4464-AAE2-3A1C813C7F9E}" presName="sibTrans" presStyleLbl="sibTrans2D1" presStyleIdx="1" presStyleCnt="8" custScaleX="126803"/>
      <dgm:spPr/>
    </dgm:pt>
    <dgm:pt modelId="{6847D516-341F-4315-B78E-D871183A877C}" type="pres">
      <dgm:prSet presAssocID="{75FBDEC0-C3B1-4464-AAE2-3A1C813C7F9E}" presName="connectorText" presStyleLbl="sibTrans2D1" presStyleIdx="1" presStyleCnt="8"/>
      <dgm:spPr/>
    </dgm:pt>
    <dgm:pt modelId="{E1834B9A-6CF4-4629-B927-1AC512DC1EA1}" type="pres">
      <dgm:prSet presAssocID="{AC9A8221-5621-415F-8CF2-3E09F1AA84F8}" presName="node" presStyleLbl="node1" presStyleIdx="2" presStyleCnt="9" custScaleX="126804">
        <dgm:presLayoutVars>
          <dgm:bulletEnabled val="1"/>
        </dgm:presLayoutVars>
      </dgm:prSet>
      <dgm:spPr/>
    </dgm:pt>
    <dgm:pt modelId="{461AB4E2-B685-4A2D-BCD2-E94901AD784E}" type="pres">
      <dgm:prSet presAssocID="{F17E3FEE-68E0-42CF-BE6D-DB04616EE7C3}" presName="sibTrans" presStyleLbl="sibTrans2D1" presStyleIdx="2" presStyleCnt="8" custScaleX="126803"/>
      <dgm:spPr/>
    </dgm:pt>
    <dgm:pt modelId="{B8A0891C-73C6-4698-BA0C-4B9D6CB4D291}" type="pres">
      <dgm:prSet presAssocID="{F17E3FEE-68E0-42CF-BE6D-DB04616EE7C3}" presName="connectorText" presStyleLbl="sibTrans2D1" presStyleIdx="2" presStyleCnt="8"/>
      <dgm:spPr/>
    </dgm:pt>
    <dgm:pt modelId="{1DE36FA5-A0C4-4CDC-96B5-1CC124660834}" type="pres">
      <dgm:prSet presAssocID="{3450B14B-C987-4BA8-9E21-08DD2BBD5F46}" presName="node" presStyleLbl="node1" presStyleIdx="3" presStyleCnt="9" custScaleX="126804">
        <dgm:presLayoutVars>
          <dgm:bulletEnabled val="1"/>
        </dgm:presLayoutVars>
      </dgm:prSet>
      <dgm:spPr/>
    </dgm:pt>
    <dgm:pt modelId="{6F232812-2EB8-4289-8D14-23EF78B3459E}" type="pres">
      <dgm:prSet presAssocID="{E3580462-0E4A-421B-AC7C-1E4300E50810}" presName="sibTrans" presStyleLbl="sibTrans2D1" presStyleIdx="3" presStyleCnt="8" custScaleX="126803"/>
      <dgm:spPr/>
    </dgm:pt>
    <dgm:pt modelId="{95D927C3-9A75-4302-966D-204012ADE944}" type="pres">
      <dgm:prSet presAssocID="{E3580462-0E4A-421B-AC7C-1E4300E50810}" presName="connectorText" presStyleLbl="sibTrans2D1" presStyleIdx="3" presStyleCnt="8"/>
      <dgm:spPr/>
    </dgm:pt>
    <dgm:pt modelId="{1323A63E-5236-48B3-9933-42CF94AAFA62}" type="pres">
      <dgm:prSet presAssocID="{52FA0A42-607A-45B6-AB70-315DBA8A5C4C}" presName="node" presStyleLbl="node1" presStyleIdx="4" presStyleCnt="9" custScaleX="126804">
        <dgm:presLayoutVars>
          <dgm:bulletEnabled val="1"/>
        </dgm:presLayoutVars>
      </dgm:prSet>
      <dgm:spPr/>
    </dgm:pt>
    <dgm:pt modelId="{556E7D13-90C5-458C-9590-7055CEAAA991}" type="pres">
      <dgm:prSet presAssocID="{30B5B175-F4F4-43CE-9E37-195640E8E541}" presName="sibTrans" presStyleLbl="sibTrans2D1" presStyleIdx="4" presStyleCnt="8" custScaleX="126803"/>
      <dgm:spPr/>
    </dgm:pt>
    <dgm:pt modelId="{9D274FE3-E3FE-454F-9530-C3084C3208B5}" type="pres">
      <dgm:prSet presAssocID="{30B5B175-F4F4-43CE-9E37-195640E8E541}" presName="connectorText" presStyleLbl="sibTrans2D1" presStyleIdx="4" presStyleCnt="8"/>
      <dgm:spPr/>
    </dgm:pt>
    <dgm:pt modelId="{0F50A522-334E-42BC-A4F3-BA37F3E230F3}" type="pres">
      <dgm:prSet presAssocID="{061E0D1B-DB7A-4729-A595-0E81362B53EA}" presName="node" presStyleLbl="node1" presStyleIdx="5" presStyleCnt="9" custScaleX="126804">
        <dgm:presLayoutVars>
          <dgm:bulletEnabled val="1"/>
        </dgm:presLayoutVars>
      </dgm:prSet>
      <dgm:spPr/>
    </dgm:pt>
    <dgm:pt modelId="{27C092BB-E29E-45D4-9640-F4ECC85E7B1F}" type="pres">
      <dgm:prSet presAssocID="{C49B02C1-9A7D-4136-8736-1085A52B6487}" presName="sibTrans" presStyleLbl="sibTrans2D1" presStyleIdx="5" presStyleCnt="8" custScaleX="126803"/>
      <dgm:spPr/>
    </dgm:pt>
    <dgm:pt modelId="{AE0BAA8F-E175-4C87-AA9E-B164271CEB03}" type="pres">
      <dgm:prSet presAssocID="{C49B02C1-9A7D-4136-8736-1085A52B6487}" presName="connectorText" presStyleLbl="sibTrans2D1" presStyleIdx="5" presStyleCnt="8"/>
      <dgm:spPr/>
    </dgm:pt>
    <dgm:pt modelId="{EE5E9097-2883-4542-B026-F9592629C0F9}" type="pres">
      <dgm:prSet presAssocID="{22C7CE51-494F-4C09-AFF7-E98ADF4546F0}" presName="node" presStyleLbl="node1" presStyleIdx="6" presStyleCnt="9" custScaleX="126804">
        <dgm:presLayoutVars>
          <dgm:bulletEnabled val="1"/>
        </dgm:presLayoutVars>
      </dgm:prSet>
      <dgm:spPr/>
    </dgm:pt>
    <dgm:pt modelId="{30718C0B-1BA1-4CA4-9F5F-5F606B566F86}" type="pres">
      <dgm:prSet presAssocID="{132C624B-B708-45CA-810A-64911D076C24}" presName="sibTrans" presStyleLbl="sibTrans2D1" presStyleIdx="6" presStyleCnt="8" custScaleX="126803"/>
      <dgm:spPr/>
    </dgm:pt>
    <dgm:pt modelId="{27A01CCC-FC08-4FEB-AAE0-5E902C016F2A}" type="pres">
      <dgm:prSet presAssocID="{132C624B-B708-45CA-810A-64911D076C24}" presName="connectorText" presStyleLbl="sibTrans2D1" presStyleIdx="6" presStyleCnt="8"/>
      <dgm:spPr/>
    </dgm:pt>
    <dgm:pt modelId="{B9D4A127-50F6-4780-8FAE-D8E83ECF59D7}" type="pres">
      <dgm:prSet presAssocID="{487795C7-BA11-42B4-AD24-4ADF444316A7}" presName="node" presStyleLbl="node1" presStyleIdx="7" presStyleCnt="9" custScaleX="126804">
        <dgm:presLayoutVars>
          <dgm:bulletEnabled val="1"/>
        </dgm:presLayoutVars>
      </dgm:prSet>
      <dgm:spPr/>
    </dgm:pt>
    <dgm:pt modelId="{2036222D-7B0D-4583-93DF-EDB8F58DFB86}" type="pres">
      <dgm:prSet presAssocID="{ADFDA458-0F10-48B7-9D3B-40C560C9F3E9}" presName="sibTrans" presStyleLbl="sibTrans2D1" presStyleIdx="7" presStyleCnt="8" custScaleX="126803"/>
      <dgm:spPr/>
    </dgm:pt>
    <dgm:pt modelId="{F7E3ECDC-B34C-4963-8CE2-FED15751EC79}" type="pres">
      <dgm:prSet presAssocID="{ADFDA458-0F10-48B7-9D3B-40C560C9F3E9}" presName="connectorText" presStyleLbl="sibTrans2D1" presStyleIdx="7" presStyleCnt="8"/>
      <dgm:spPr/>
    </dgm:pt>
    <dgm:pt modelId="{67A80B2C-C4A0-42FB-9DE9-C107B145250E}" type="pres">
      <dgm:prSet presAssocID="{A003AF07-F081-449D-9591-4267CF733EFF}" presName="node" presStyleLbl="node1" presStyleIdx="8" presStyleCnt="9" custScaleX="126804">
        <dgm:presLayoutVars>
          <dgm:bulletEnabled val="1"/>
        </dgm:presLayoutVars>
      </dgm:prSet>
      <dgm:spPr/>
    </dgm:pt>
  </dgm:ptLst>
  <dgm:cxnLst>
    <dgm:cxn modelId="{62633E05-938E-4C8A-A105-CA75A73C725E}" type="presOf" srcId="{F17E3FEE-68E0-42CF-BE6D-DB04616EE7C3}" destId="{461AB4E2-B685-4A2D-BCD2-E94901AD784E}" srcOrd="0" destOrd="0" presId="urn:microsoft.com/office/officeart/2005/8/layout/process2"/>
    <dgm:cxn modelId="{F035351E-690C-4E0F-9148-3C4327E71035}" type="presOf" srcId="{3450B14B-C987-4BA8-9E21-08DD2BBD5F46}" destId="{1DE36FA5-A0C4-4CDC-96B5-1CC124660834}" srcOrd="0" destOrd="0" presId="urn:microsoft.com/office/officeart/2005/8/layout/process2"/>
    <dgm:cxn modelId="{965DD11F-1B4E-463E-9AC1-1AF47EAD08C2}" srcId="{011FE339-1BB5-4D41-B3FC-41E198F7A1EE}" destId="{A003AF07-F081-449D-9591-4267CF733EFF}" srcOrd="8" destOrd="0" parTransId="{32BC2E5F-2FCD-4944-A386-DAD91871E98B}" sibTransId="{E45DB045-F15B-4D51-A950-74BA53FAB323}"/>
    <dgm:cxn modelId="{09143928-9CBF-4281-98C5-4E71FAE038D5}" type="presOf" srcId="{BE26F989-A88A-47A1-91D6-6242CE7EB36D}" destId="{0999F93C-010E-4E5A-8638-3CD890941941}" srcOrd="0" destOrd="0" presId="urn:microsoft.com/office/officeart/2005/8/layout/process2"/>
    <dgm:cxn modelId="{A2C76B38-6B3E-469B-B607-6E8A7B3A1EBD}" type="presOf" srcId="{BE26F989-A88A-47A1-91D6-6242CE7EB36D}" destId="{C8FC8C68-20C1-47A9-8FDE-58BE559C706B}" srcOrd="1" destOrd="0" presId="urn:microsoft.com/office/officeart/2005/8/layout/process2"/>
    <dgm:cxn modelId="{971A2D60-29E2-4C4F-AC3E-CD80807B714C}" srcId="{011FE339-1BB5-4D41-B3FC-41E198F7A1EE}" destId="{AC9A8221-5621-415F-8CF2-3E09F1AA84F8}" srcOrd="2" destOrd="0" parTransId="{13C557C5-6334-4C32-8D23-3DAA69D67BE3}" sibTransId="{F17E3FEE-68E0-42CF-BE6D-DB04616EE7C3}"/>
    <dgm:cxn modelId="{F602F265-3B1A-4D1D-AAC4-B783E37E9DB1}" type="presOf" srcId="{75FBDEC0-C3B1-4464-AAE2-3A1C813C7F9E}" destId="{13C4FF8E-3F08-4646-87A2-37DE8F4542AF}" srcOrd="0" destOrd="0" presId="urn:microsoft.com/office/officeart/2005/8/layout/process2"/>
    <dgm:cxn modelId="{F77D4867-F58C-4F19-8615-0725DEBD8714}" type="presOf" srcId="{30B5B175-F4F4-43CE-9E37-195640E8E541}" destId="{556E7D13-90C5-458C-9590-7055CEAAA991}" srcOrd="0" destOrd="0" presId="urn:microsoft.com/office/officeart/2005/8/layout/process2"/>
    <dgm:cxn modelId="{78229E48-B680-4B1F-A56A-CD1710B3C320}" srcId="{011FE339-1BB5-4D41-B3FC-41E198F7A1EE}" destId="{52FA0A42-607A-45B6-AB70-315DBA8A5C4C}" srcOrd="4" destOrd="0" parTransId="{F0731EB3-A012-4250-B398-A068A0481B0B}" sibTransId="{30B5B175-F4F4-43CE-9E37-195640E8E541}"/>
    <dgm:cxn modelId="{3C9BBE68-59EE-4AFE-84C4-8630E5777503}" type="presOf" srcId="{C49B02C1-9A7D-4136-8736-1085A52B6487}" destId="{27C092BB-E29E-45D4-9640-F4ECC85E7B1F}" srcOrd="0" destOrd="0" presId="urn:microsoft.com/office/officeart/2005/8/layout/process2"/>
    <dgm:cxn modelId="{C067E269-823B-4C6A-BB91-14785820636A}" type="presOf" srcId="{A003AF07-F081-449D-9591-4267CF733EFF}" destId="{67A80B2C-C4A0-42FB-9DE9-C107B145250E}" srcOrd="0" destOrd="0" presId="urn:microsoft.com/office/officeart/2005/8/layout/process2"/>
    <dgm:cxn modelId="{1C0C766B-D92E-4260-A5B5-082F570D2DE1}" type="presOf" srcId="{52FA0A42-607A-45B6-AB70-315DBA8A5C4C}" destId="{1323A63E-5236-48B3-9933-42CF94AAFA62}" srcOrd="0" destOrd="0" presId="urn:microsoft.com/office/officeart/2005/8/layout/process2"/>
    <dgm:cxn modelId="{C8D70275-7E93-4F39-BE31-6C2BC17882F3}" type="presOf" srcId="{75FBDEC0-C3B1-4464-AAE2-3A1C813C7F9E}" destId="{6847D516-341F-4315-B78E-D871183A877C}" srcOrd="1" destOrd="0" presId="urn:microsoft.com/office/officeart/2005/8/layout/process2"/>
    <dgm:cxn modelId="{9C9C8A7A-6AC3-4396-89B8-A17D24034293}" type="presOf" srcId="{0785C207-4394-4BE4-965B-A4EBB73B4019}" destId="{EBF7E6D4-8E90-4D1C-AACC-5A7EDACD76B3}" srcOrd="0" destOrd="0" presId="urn:microsoft.com/office/officeart/2005/8/layout/process2"/>
    <dgm:cxn modelId="{B376FD7F-E0F6-4ABE-903E-1D0E5D47BBC3}" type="presOf" srcId="{132C624B-B708-45CA-810A-64911D076C24}" destId="{27A01CCC-FC08-4FEB-AAE0-5E902C016F2A}" srcOrd="1" destOrd="0" presId="urn:microsoft.com/office/officeart/2005/8/layout/process2"/>
    <dgm:cxn modelId="{E3CE8C80-1B59-4C6B-86BA-E2E942291230}" srcId="{011FE339-1BB5-4D41-B3FC-41E198F7A1EE}" destId="{1B6E0CF3-CB38-4E88-B56A-E9D88D10D634}" srcOrd="1" destOrd="0" parTransId="{14900EFD-049A-4995-8A17-2577550C545D}" sibTransId="{75FBDEC0-C3B1-4464-AAE2-3A1C813C7F9E}"/>
    <dgm:cxn modelId="{182BF48B-54F9-4C46-8860-E097405F15C8}" type="presOf" srcId="{ADFDA458-0F10-48B7-9D3B-40C560C9F3E9}" destId="{F7E3ECDC-B34C-4963-8CE2-FED15751EC79}" srcOrd="1" destOrd="0" presId="urn:microsoft.com/office/officeart/2005/8/layout/process2"/>
    <dgm:cxn modelId="{1E341493-CABB-4628-813D-106332B2700B}" type="presOf" srcId="{E3580462-0E4A-421B-AC7C-1E4300E50810}" destId="{95D927C3-9A75-4302-966D-204012ADE944}" srcOrd="1" destOrd="0" presId="urn:microsoft.com/office/officeart/2005/8/layout/process2"/>
    <dgm:cxn modelId="{DDA93697-B3BC-4ACB-9B29-4809FC817D47}" type="presOf" srcId="{487795C7-BA11-42B4-AD24-4ADF444316A7}" destId="{B9D4A127-50F6-4780-8FAE-D8E83ECF59D7}" srcOrd="0" destOrd="0" presId="urn:microsoft.com/office/officeart/2005/8/layout/process2"/>
    <dgm:cxn modelId="{0D1E159A-EF0E-47E1-8C93-A2C89E3F71CA}" type="presOf" srcId="{F17E3FEE-68E0-42CF-BE6D-DB04616EE7C3}" destId="{B8A0891C-73C6-4698-BA0C-4B9D6CB4D291}" srcOrd="1" destOrd="0" presId="urn:microsoft.com/office/officeart/2005/8/layout/process2"/>
    <dgm:cxn modelId="{DB1DE49A-7BA7-4367-A446-E8F1CFA7BD21}" srcId="{011FE339-1BB5-4D41-B3FC-41E198F7A1EE}" destId="{22C7CE51-494F-4C09-AFF7-E98ADF4546F0}" srcOrd="6" destOrd="0" parTransId="{BA227476-B1F0-4D90-A7C3-362EC836F8C8}" sibTransId="{132C624B-B708-45CA-810A-64911D076C24}"/>
    <dgm:cxn modelId="{34CD819D-BD08-44F8-9524-6B8D3F43A037}" srcId="{011FE339-1BB5-4D41-B3FC-41E198F7A1EE}" destId="{061E0D1B-DB7A-4729-A595-0E81362B53EA}" srcOrd="5" destOrd="0" parTransId="{61AE721E-99E1-400A-9B4A-76798929E7A9}" sibTransId="{C49B02C1-9A7D-4136-8736-1085A52B6487}"/>
    <dgm:cxn modelId="{1DFF4BA4-6B36-471D-BD75-0C6F1FB4FFD4}" type="presOf" srcId="{132C624B-B708-45CA-810A-64911D076C24}" destId="{30718C0B-1BA1-4CA4-9F5F-5F606B566F86}" srcOrd="0" destOrd="0" presId="urn:microsoft.com/office/officeart/2005/8/layout/process2"/>
    <dgm:cxn modelId="{9BF30EA6-0192-4255-AD0A-760E25DE2E6F}" type="presOf" srcId="{1B6E0CF3-CB38-4E88-B56A-E9D88D10D634}" destId="{A4DBA081-141A-44A7-9534-5BBA1748E214}" srcOrd="0" destOrd="0" presId="urn:microsoft.com/office/officeart/2005/8/layout/process2"/>
    <dgm:cxn modelId="{DB431FA6-0C55-4D6F-915F-C110FA81CD22}" type="presOf" srcId="{AC9A8221-5621-415F-8CF2-3E09F1AA84F8}" destId="{E1834B9A-6CF4-4629-B927-1AC512DC1EA1}" srcOrd="0" destOrd="0" presId="urn:microsoft.com/office/officeart/2005/8/layout/process2"/>
    <dgm:cxn modelId="{935798AF-CB18-447E-AA83-2A119C696FEE}" type="presOf" srcId="{30B5B175-F4F4-43CE-9E37-195640E8E541}" destId="{9D274FE3-E3FE-454F-9530-C3084C3208B5}" srcOrd="1" destOrd="0" presId="urn:microsoft.com/office/officeart/2005/8/layout/process2"/>
    <dgm:cxn modelId="{D5B8B4B4-AA6C-429E-8169-E3511FC71EC8}" type="presOf" srcId="{E3580462-0E4A-421B-AC7C-1E4300E50810}" destId="{6F232812-2EB8-4289-8D14-23EF78B3459E}" srcOrd="0" destOrd="0" presId="urn:microsoft.com/office/officeart/2005/8/layout/process2"/>
    <dgm:cxn modelId="{F76BF5B5-21CC-4AFE-BB3E-78529A46FBDC}" type="presOf" srcId="{061E0D1B-DB7A-4729-A595-0E81362B53EA}" destId="{0F50A522-334E-42BC-A4F3-BA37F3E230F3}" srcOrd="0" destOrd="0" presId="urn:microsoft.com/office/officeart/2005/8/layout/process2"/>
    <dgm:cxn modelId="{4518F8BF-5C32-4DE3-ADDA-2733C15E4F49}" srcId="{011FE339-1BB5-4D41-B3FC-41E198F7A1EE}" destId="{487795C7-BA11-42B4-AD24-4ADF444316A7}" srcOrd="7" destOrd="0" parTransId="{3D1934C7-6A3F-4ED4-88B8-98AD28CFAE76}" sibTransId="{ADFDA458-0F10-48B7-9D3B-40C560C9F3E9}"/>
    <dgm:cxn modelId="{3805E2C2-76FC-4820-8D16-BAA99184524A}" type="presOf" srcId="{ADFDA458-0F10-48B7-9D3B-40C560C9F3E9}" destId="{2036222D-7B0D-4583-93DF-EDB8F58DFB86}" srcOrd="0" destOrd="0" presId="urn:microsoft.com/office/officeart/2005/8/layout/process2"/>
    <dgm:cxn modelId="{6B6DE4CF-DAF0-48C2-B79A-5F0B3940F8E9}" srcId="{011FE339-1BB5-4D41-B3FC-41E198F7A1EE}" destId="{3450B14B-C987-4BA8-9E21-08DD2BBD5F46}" srcOrd="3" destOrd="0" parTransId="{F8B9284C-B595-4671-A378-68E701D8FD66}" sibTransId="{E3580462-0E4A-421B-AC7C-1E4300E50810}"/>
    <dgm:cxn modelId="{D43A51DB-17F4-4E97-808A-1F80EEA88609}" type="presOf" srcId="{011FE339-1BB5-4D41-B3FC-41E198F7A1EE}" destId="{0CD1B310-25E6-471A-B402-DEB3CCC6EE42}" srcOrd="0" destOrd="0" presId="urn:microsoft.com/office/officeart/2005/8/layout/process2"/>
    <dgm:cxn modelId="{C1CB16DC-2A11-4074-B4C9-B4930ABACA1E}" type="presOf" srcId="{C49B02C1-9A7D-4136-8736-1085A52B6487}" destId="{AE0BAA8F-E175-4C87-AA9E-B164271CEB03}" srcOrd="1" destOrd="0" presId="urn:microsoft.com/office/officeart/2005/8/layout/process2"/>
    <dgm:cxn modelId="{00CABFE0-5A5B-4CCA-A290-213F9CF4532C}" type="presOf" srcId="{22C7CE51-494F-4C09-AFF7-E98ADF4546F0}" destId="{EE5E9097-2883-4542-B026-F9592629C0F9}" srcOrd="0" destOrd="0" presId="urn:microsoft.com/office/officeart/2005/8/layout/process2"/>
    <dgm:cxn modelId="{AB3D6CFC-BDD2-4F00-8163-BAB5E9506FA3}" srcId="{011FE339-1BB5-4D41-B3FC-41E198F7A1EE}" destId="{0785C207-4394-4BE4-965B-A4EBB73B4019}" srcOrd="0" destOrd="0" parTransId="{29E136D0-AA2C-48B2-9347-500D298151EE}" sibTransId="{BE26F989-A88A-47A1-91D6-6242CE7EB36D}"/>
    <dgm:cxn modelId="{85850B71-AC1B-4B10-B595-7FC78E13D59F}" type="presParOf" srcId="{0CD1B310-25E6-471A-B402-DEB3CCC6EE42}" destId="{EBF7E6D4-8E90-4D1C-AACC-5A7EDACD76B3}" srcOrd="0" destOrd="0" presId="urn:microsoft.com/office/officeart/2005/8/layout/process2"/>
    <dgm:cxn modelId="{24883F06-8F04-4229-84D8-2DC2D30B8556}" type="presParOf" srcId="{0CD1B310-25E6-471A-B402-DEB3CCC6EE42}" destId="{0999F93C-010E-4E5A-8638-3CD890941941}" srcOrd="1" destOrd="0" presId="urn:microsoft.com/office/officeart/2005/8/layout/process2"/>
    <dgm:cxn modelId="{AC60AEBC-FF43-48EE-9CA8-2039E2442300}" type="presParOf" srcId="{0999F93C-010E-4E5A-8638-3CD890941941}" destId="{C8FC8C68-20C1-47A9-8FDE-58BE559C706B}" srcOrd="0" destOrd="0" presId="urn:microsoft.com/office/officeart/2005/8/layout/process2"/>
    <dgm:cxn modelId="{DAD9CA37-6C78-4276-89B5-6B6E09F14607}" type="presParOf" srcId="{0CD1B310-25E6-471A-B402-DEB3CCC6EE42}" destId="{A4DBA081-141A-44A7-9534-5BBA1748E214}" srcOrd="2" destOrd="0" presId="urn:microsoft.com/office/officeart/2005/8/layout/process2"/>
    <dgm:cxn modelId="{04FEF758-DE08-4065-BDB8-302AF7208633}" type="presParOf" srcId="{0CD1B310-25E6-471A-B402-DEB3CCC6EE42}" destId="{13C4FF8E-3F08-4646-87A2-37DE8F4542AF}" srcOrd="3" destOrd="0" presId="urn:microsoft.com/office/officeart/2005/8/layout/process2"/>
    <dgm:cxn modelId="{89E98EBB-A304-46C0-9C3C-06A7E7489BB4}" type="presParOf" srcId="{13C4FF8E-3F08-4646-87A2-37DE8F4542AF}" destId="{6847D516-341F-4315-B78E-D871183A877C}" srcOrd="0" destOrd="0" presId="urn:microsoft.com/office/officeart/2005/8/layout/process2"/>
    <dgm:cxn modelId="{F4FB172D-26FF-4C88-ABB8-5035E98A9E1B}" type="presParOf" srcId="{0CD1B310-25E6-471A-B402-DEB3CCC6EE42}" destId="{E1834B9A-6CF4-4629-B927-1AC512DC1EA1}" srcOrd="4" destOrd="0" presId="urn:microsoft.com/office/officeart/2005/8/layout/process2"/>
    <dgm:cxn modelId="{877E0A51-726D-4DB9-9070-CAD0A48BDC9B}" type="presParOf" srcId="{0CD1B310-25E6-471A-B402-DEB3CCC6EE42}" destId="{461AB4E2-B685-4A2D-BCD2-E94901AD784E}" srcOrd="5" destOrd="0" presId="urn:microsoft.com/office/officeart/2005/8/layout/process2"/>
    <dgm:cxn modelId="{6D0EE9B0-8C8B-473C-9494-78D3A840293D}" type="presParOf" srcId="{461AB4E2-B685-4A2D-BCD2-E94901AD784E}" destId="{B8A0891C-73C6-4698-BA0C-4B9D6CB4D291}" srcOrd="0" destOrd="0" presId="urn:microsoft.com/office/officeart/2005/8/layout/process2"/>
    <dgm:cxn modelId="{70AF3BE6-8F49-4350-AFA5-75680972C6D1}" type="presParOf" srcId="{0CD1B310-25E6-471A-B402-DEB3CCC6EE42}" destId="{1DE36FA5-A0C4-4CDC-96B5-1CC124660834}" srcOrd="6" destOrd="0" presId="urn:microsoft.com/office/officeart/2005/8/layout/process2"/>
    <dgm:cxn modelId="{03BCF773-EA83-4715-AA50-6A68D4E57995}" type="presParOf" srcId="{0CD1B310-25E6-471A-B402-DEB3CCC6EE42}" destId="{6F232812-2EB8-4289-8D14-23EF78B3459E}" srcOrd="7" destOrd="0" presId="urn:microsoft.com/office/officeart/2005/8/layout/process2"/>
    <dgm:cxn modelId="{84047E0B-908F-4CF8-88E3-E05C45B17548}" type="presParOf" srcId="{6F232812-2EB8-4289-8D14-23EF78B3459E}" destId="{95D927C3-9A75-4302-966D-204012ADE944}" srcOrd="0" destOrd="0" presId="urn:microsoft.com/office/officeart/2005/8/layout/process2"/>
    <dgm:cxn modelId="{ED101F29-B9AE-443E-BDF4-A4601B5C723C}" type="presParOf" srcId="{0CD1B310-25E6-471A-B402-DEB3CCC6EE42}" destId="{1323A63E-5236-48B3-9933-42CF94AAFA62}" srcOrd="8" destOrd="0" presId="urn:microsoft.com/office/officeart/2005/8/layout/process2"/>
    <dgm:cxn modelId="{52022AA2-3BD6-4FFF-9491-DEE614DBFB64}" type="presParOf" srcId="{0CD1B310-25E6-471A-B402-DEB3CCC6EE42}" destId="{556E7D13-90C5-458C-9590-7055CEAAA991}" srcOrd="9" destOrd="0" presId="urn:microsoft.com/office/officeart/2005/8/layout/process2"/>
    <dgm:cxn modelId="{ABC8386E-F294-45F1-AA23-AC01CA6DA0A2}" type="presParOf" srcId="{556E7D13-90C5-458C-9590-7055CEAAA991}" destId="{9D274FE3-E3FE-454F-9530-C3084C3208B5}" srcOrd="0" destOrd="0" presId="urn:microsoft.com/office/officeart/2005/8/layout/process2"/>
    <dgm:cxn modelId="{A0C7B91C-A835-4C77-AB54-0C39C016136F}" type="presParOf" srcId="{0CD1B310-25E6-471A-B402-DEB3CCC6EE42}" destId="{0F50A522-334E-42BC-A4F3-BA37F3E230F3}" srcOrd="10" destOrd="0" presId="urn:microsoft.com/office/officeart/2005/8/layout/process2"/>
    <dgm:cxn modelId="{DA7F63F5-B22C-4DF6-9762-5F81D6988934}" type="presParOf" srcId="{0CD1B310-25E6-471A-B402-DEB3CCC6EE42}" destId="{27C092BB-E29E-45D4-9640-F4ECC85E7B1F}" srcOrd="11" destOrd="0" presId="urn:microsoft.com/office/officeart/2005/8/layout/process2"/>
    <dgm:cxn modelId="{167366D1-CC92-43A9-ACCE-39A5D4ECE855}" type="presParOf" srcId="{27C092BB-E29E-45D4-9640-F4ECC85E7B1F}" destId="{AE0BAA8F-E175-4C87-AA9E-B164271CEB03}" srcOrd="0" destOrd="0" presId="urn:microsoft.com/office/officeart/2005/8/layout/process2"/>
    <dgm:cxn modelId="{7683E640-15F5-4C7B-BE89-0260F1045E68}" type="presParOf" srcId="{0CD1B310-25E6-471A-B402-DEB3CCC6EE42}" destId="{EE5E9097-2883-4542-B026-F9592629C0F9}" srcOrd="12" destOrd="0" presId="urn:microsoft.com/office/officeart/2005/8/layout/process2"/>
    <dgm:cxn modelId="{98AAED68-2B17-49C3-B666-9F36E2ACA892}" type="presParOf" srcId="{0CD1B310-25E6-471A-B402-DEB3CCC6EE42}" destId="{30718C0B-1BA1-4CA4-9F5F-5F606B566F86}" srcOrd="13" destOrd="0" presId="urn:microsoft.com/office/officeart/2005/8/layout/process2"/>
    <dgm:cxn modelId="{B34E1D7A-9ED3-4BB5-988A-2BD3D367C7DD}" type="presParOf" srcId="{30718C0B-1BA1-4CA4-9F5F-5F606B566F86}" destId="{27A01CCC-FC08-4FEB-AAE0-5E902C016F2A}" srcOrd="0" destOrd="0" presId="urn:microsoft.com/office/officeart/2005/8/layout/process2"/>
    <dgm:cxn modelId="{08ACDD90-5E38-4D78-90B5-1FF5D7BC76AF}" type="presParOf" srcId="{0CD1B310-25E6-471A-B402-DEB3CCC6EE42}" destId="{B9D4A127-50F6-4780-8FAE-D8E83ECF59D7}" srcOrd="14" destOrd="0" presId="urn:microsoft.com/office/officeart/2005/8/layout/process2"/>
    <dgm:cxn modelId="{E03D2592-4341-4EE6-B556-6FB4D279D904}" type="presParOf" srcId="{0CD1B310-25E6-471A-B402-DEB3CCC6EE42}" destId="{2036222D-7B0D-4583-93DF-EDB8F58DFB86}" srcOrd="15" destOrd="0" presId="urn:microsoft.com/office/officeart/2005/8/layout/process2"/>
    <dgm:cxn modelId="{095A7991-0A68-4316-AE09-A461CA9FA9FD}" type="presParOf" srcId="{2036222D-7B0D-4583-93DF-EDB8F58DFB86}" destId="{F7E3ECDC-B34C-4963-8CE2-FED15751EC79}" srcOrd="0" destOrd="0" presId="urn:microsoft.com/office/officeart/2005/8/layout/process2"/>
    <dgm:cxn modelId="{D1F3F3ED-71FE-4C66-9BB1-D0595AB2333D}" type="presParOf" srcId="{0CD1B310-25E6-471A-B402-DEB3CCC6EE42}" destId="{67A80B2C-C4A0-42FB-9DE9-C107B145250E}" srcOrd="16" destOrd="0" presId="urn:microsoft.com/office/officeart/2005/8/layout/process2"/>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BF7E6D4-8E90-4D1C-AACC-5A7EDACD76B3}">
      <dsp:nvSpPr>
        <dsp:cNvPr id="0" name=""/>
        <dsp:cNvSpPr/>
      </dsp:nvSpPr>
      <dsp:spPr>
        <a:xfrm>
          <a:off x="2236603" y="835"/>
          <a:ext cx="2579103" cy="52658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kern="1200"/>
            <a:t>Stage one: Focus group with experts. </a:t>
          </a:r>
        </a:p>
        <a:p>
          <a:pPr marL="0" lvl="0" indent="0" algn="ctr" defTabSz="444500">
            <a:lnSpc>
              <a:spcPct val="90000"/>
            </a:lnSpc>
            <a:spcBef>
              <a:spcPct val="0"/>
            </a:spcBef>
            <a:spcAft>
              <a:spcPct val="35000"/>
            </a:spcAft>
            <a:buNone/>
          </a:pPr>
          <a:r>
            <a:rPr lang="en-GB" sz="1000" kern="1200"/>
            <a:t> </a:t>
          </a:r>
        </a:p>
      </dsp:txBody>
      <dsp:txXfrm>
        <a:off x="2252026" y="16258"/>
        <a:ext cx="2548257" cy="495737"/>
      </dsp:txXfrm>
    </dsp:sp>
    <dsp:sp modelId="{0999F93C-010E-4E5A-8638-3CD890941941}">
      <dsp:nvSpPr>
        <dsp:cNvPr id="0" name=""/>
        <dsp:cNvSpPr/>
      </dsp:nvSpPr>
      <dsp:spPr>
        <a:xfrm rot="5400000">
          <a:off x="3400956" y="540584"/>
          <a:ext cx="250396" cy="23696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GB" sz="900" kern="1200"/>
        </a:p>
      </dsp:txBody>
      <dsp:txXfrm rot="-5400000">
        <a:off x="3455065" y="533868"/>
        <a:ext cx="142178" cy="179307"/>
      </dsp:txXfrm>
    </dsp:sp>
    <dsp:sp modelId="{A4DBA081-141A-44A7-9534-5BBA1748E214}">
      <dsp:nvSpPr>
        <dsp:cNvPr id="0" name=""/>
        <dsp:cNvSpPr/>
      </dsp:nvSpPr>
      <dsp:spPr>
        <a:xfrm>
          <a:off x="2236603" y="790711"/>
          <a:ext cx="2579103" cy="52658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kern="1200"/>
            <a:t>Stage</a:t>
          </a:r>
          <a:r>
            <a:rPr lang="en-GB" sz="1000" kern="1200" baseline="0"/>
            <a:t> two: Define consensus and closing criteria for Delphi </a:t>
          </a:r>
          <a:endParaRPr lang="en-GB" sz="1000" kern="1200"/>
        </a:p>
      </dsp:txBody>
      <dsp:txXfrm>
        <a:off x="2252026" y="806134"/>
        <a:ext cx="2548257" cy="495737"/>
      </dsp:txXfrm>
    </dsp:sp>
    <dsp:sp modelId="{13C4FF8E-3F08-4646-87A2-37DE8F4542AF}">
      <dsp:nvSpPr>
        <dsp:cNvPr id="0" name=""/>
        <dsp:cNvSpPr/>
      </dsp:nvSpPr>
      <dsp:spPr>
        <a:xfrm rot="5400000">
          <a:off x="3400956" y="1330459"/>
          <a:ext cx="250396" cy="23696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GB" sz="900" kern="1200"/>
        </a:p>
      </dsp:txBody>
      <dsp:txXfrm rot="-5400000">
        <a:off x="3455065" y="1323743"/>
        <a:ext cx="142178" cy="179307"/>
      </dsp:txXfrm>
    </dsp:sp>
    <dsp:sp modelId="{E1834B9A-6CF4-4629-B927-1AC512DC1EA1}">
      <dsp:nvSpPr>
        <dsp:cNvPr id="0" name=""/>
        <dsp:cNvSpPr/>
      </dsp:nvSpPr>
      <dsp:spPr>
        <a:xfrm>
          <a:off x="2236603" y="1580586"/>
          <a:ext cx="2579103" cy="52658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kern="1200"/>
            <a:t>Stage three: Develop round one of Delphi study </a:t>
          </a:r>
        </a:p>
      </dsp:txBody>
      <dsp:txXfrm>
        <a:off x="2252026" y="1596009"/>
        <a:ext cx="2548257" cy="495737"/>
      </dsp:txXfrm>
    </dsp:sp>
    <dsp:sp modelId="{461AB4E2-B685-4A2D-BCD2-E94901AD784E}">
      <dsp:nvSpPr>
        <dsp:cNvPr id="0" name=""/>
        <dsp:cNvSpPr/>
      </dsp:nvSpPr>
      <dsp:spPr>
        <a:xfrm rot="5400000">
          <a:off x="3400956" y="2120334"/>
          <a:ext cx="250396" cy="23696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GB" sz="900" kern="1200"/>
        </a:p>
      </dsp:txBody>
      <dsp:txXfrm rot="-5400000">
        <a:off x="3455065" y="2113618"/>
        <a:ext cx="142178" cy="179307"/>
      </dsp:txXfrm>
    </dsp:sp>
    <dsp:sp modelId="{1DE36FA5-A0C4-4CDC-96B5-1CC124660834}">
      <dsp:nvSpPr>
        <dsp:cNvPr id="0" name=""/>
        <dsp:cNvSpPr/>
      </dsp:nvSpPr>
      <dsp:spPr>
        <a:xfrm>
          <a:off x="2236603" y="2370462"/>
          <a:ext cx="2579103" cy="52658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kern="1200"/>
            <a:t>Stage four: Recruit expert panel to participate in Delphi and distribute round one </a:t>
          </a:r>
        </a:p>
      </dsp:txBody>
      <dsp:txXfrm>
        <a:off x="2252026" y="2385885"/>
        <a:ext cx="2548257" cy="495737"/>
      </dsp:txXfrm>
    </dsp:sp>
    <dsp:sp modelId="{6F232812-2EB8-4289-8D14-23EF78B3459E}">
      <dsp:nvSpPr>
        <dsp:cNvPr id="0" name=""/>
        <dsp:cNvSpPr/>
      </dsp:nvSpPr>
      <dsp:spPr>
        <a:xfrm rot="5400000">
          <a:off x="3400956" y="2910210"/>
          <a:ext cx="250396" cy="23696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GB" sz="900" kern="1200"/>
        </a:p>
      </dsp:txBody>
      <dsp:txXfrm rot="-5400000">
        <a:off x="3455065" y="2903494"/>
        <a:ext cx="142178" cy="179307"/>
      </dsp:txXfrm>
    </dsp:sp>
    <dsp:sp modelId="{1323A63E-5236-48B3-9933-42CF94AAFA62}">
      <dsp:nvSpPr>
        <dsp:cNvPr id="0" name=""/>
        <dsp:cNvSpPr/>
      </dsp:nvSpPr>
      <dsp:spPr>
        <a:xfrm>
          <a:off x="2236603" y="3160337"/>
          <a:ext cx="2579103" cy="52658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kern="1200"/>
            <a:t>Stage five:  Analyse results from round one</a:t>
          </a:r>
        </a:p>
      </dsp:txBody>
      <dsp:txXfrm>
        <a:off x="2252026" y="3175760"/>
        <a:ext cx="2548257" cy="495737"/>
      </dsp:txXfrm>
    </dsp:sp>
    <dsp:sp modelId="{556E7D13-90C5-458C-9590-7055CEAAA991}">
      <dsp:nvSpPr>
        <dsp:cNvPr id="0" name=""/>
        <dsp:cNvSpPr/>
      </dsp:nvSpPr>
      <dsp:spPr>
        <a:xfrm rot="5400000">
          <a:off x="3400956" y="3700085"/>
          <a:ext cx="250396" cy="23696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GB" sz="900" kern="1200"/>
        </a:p>
      </dsp:txBody>
      <dsp:txXfrm rot="-5400000">
        <a:off x="3455065" y="3693369"/>
        <a:ext cx="142178" cy="179307"/>
      </dsp:txXfrm>
    </dsp:sp>
    <dsp:sp modelId="{0F50A522-334E-42BC-A4F3-BA37F3E230F3}">
      <dsp:nvSpPr>
        <dsp:cNvPr id="0" name=""/>
        <dsp:cNvSpPr/>
      </dsp:nvSpPr>
      <dsp:spPr>
        <a:xfrm>
          <a:off x="2236603" y="3950213"/>
          <a:ext cx="2579103" cy="52658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kern="1200"/>
            <a:t>Stage six: Develop round two of survey </a:t>
          </a:r>
        </a:p>
      </dsp:txBody>
      <dsp:txXfrm>
        <a:off x="2252026" y="3965636"/>
        <a:ext cx="2548257" cy="495737"/>
      </dsp:txXfrm>
    </dsp:sp>
    <dsp:sp modelId="{27C092BB-E29E-45D4-9640-F4ECC85E7B1F}">
      <dsp:nvSpPr>
        <dsp:cNvPr id="0" name=""/>
        <dsp:cNvSpPr/>
      </dsp:nvSpPr>
      <dsp:spPr>
        <a:xfrm rot="5400000">
          <a:off x="3400956" y="4489961"/>
          <a:ext cx="250396" cy="23696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GB" sz="900" kern="1200"/>
        </a:p>
      </dsp:txBody>
      <dsp:txXfrm rot="-5400000">
        <a:off x="3455065" y="4483245"/>
        <a:ext cx="142178" cy="179307"/>
      </dsp:txXfrm>
    </dsp:sp>
    <dsp:sp modelId="{EE5E9097-2883-4542-B026-F9592629C0F9}">
      <dsp:nvSpPr>
        <dsp:cNvPr id="0" name=""/>
        <dsp:cNvSpPr/>
      </dsp:nvSpPr>
      <dsp:spPr>
        <a:xfrm>
          <a:off x="2236603" y="4740088"/>
          <a:ext cx="2579103" cy="52658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kern="1200"/>
            <a:t>Stage seven: Distribute round two of the survey </a:t>
          </a:r>
        </a:p>
      </dsp:txBody>
      <dsp:txXfrm>
        <a:off x="2252026" y="4755511"/>
        <a:ext cx="2548257" cy="495737"/>
      </dsp:txXfrm>
    </dsp:sp>
    <dsp:sp modelId="{30718C0B-1BA1-4CA4-9F5F-5F606B566F86}">
      <dsp:nvSpPr>
        <dsp:cNvPr id="0" name=""/>
        <dsp:cNvSpPr/>
      </dsp:nvSpPr>
      <dsp:spPr>
        <a:xfrm rot="5400000">
          <a:off x="3400956" y="5279836"/>
          <a:ext cx="250396" cy="23696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GB" sz="900" kern="1200"/>
        </a:p>
      </dsp:txBody>
      <dsp:txXfrm rot="-5400000">
        <a:off x="3455065" y="5273120"/>
        <a:ext cx="142178" cy="179307"/>
      </dsp:txXfrm>
    </dsp:sp>
    <dsp:sp modelId="{B9D4A127-50F6-4780-8FAE-D8E83ECF59D7}">
      <dsp:nvSpPr>
        <dsp:cNvPr id="0" name=""/>
        <dsp:cNvSpPr/>
      </dsp:nvSpPr>
      <dsp:spPr>
        <a:xfrm>
          <a:off x="2236603" y="5529964"/>
          <a:ext cx="2579103" cy="52658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kern="1200"/>
            <a:t>Stage eight: Analyse the results of round two.</a:t>
          </a:r>
        </a:p>
      </dsp:txBody>
      <dsp:txXfrm>
        <a:off x="2252026" y="5545387"/>
        <a:ext cx="2548257" cy="495737"/>
      </dsp:txXfrm>
    </dsp:sp>
    <dsp:sp modelId="{2036222D-7B0D-4583-93DF-EDB8F58DFB86}">
      <dsp:nvSpPr>
        <dsp:cNvPr id="0" name=""/>
        <dsp:cNvSpPr/>
      </dsp:nvSpPr>
      <dsp:spPr>
        <a:xfrm rot="5400000">
          <a:off x="3400956" y="6069712"/>
          <a:ext cx="250396" cy="23696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GB" sz="900" kern="1200"/>
        </a:p>
      </dsp:txBody>
      <dsp:txXfrm rot="-5400000">
        <a:off x="3455065" y="6062996"/>
        <a:ext cx="142178" cy="179307"/>
      </dsp:txXfrm>
    </dsp:sp>
    <dsp:sp modelId="{67A80B2C-C4A0-42FB-9DE9-C107B145250E}">
      <dsp:nvSpPr>
        <dsp:cNvPr id="0" name=""/>
        <dsp:cNvSpPr/>
      </dsp:nvSpPr>
      <dsp:spPr>
        <a:xfrm>
          <a:off x="2236603" y="6319839"/>
          <a:ext cx="2579103" cy="52658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kern="1200"/>
            <a:t>Summarise final results </a:t>
          </a:r>
        </a:p>
      </dsp:txBody>
      <dsp:txXfrm>
        <a:off x="2252026" y="6335262"/>
        <a:ext cx="2548257" cy="49573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34DF0BE57520547A1DF6016B8867306" ma:contentTypeVersion="10" ma:contentTypeDescription="Create a new document." ma:contentTypeScope="" ma:versionID="d00594871dbcf7617cec2a864f401f5a">
  <xsd:schema xmlns:xsd="http://www.w3.org/2001/XMLSchema" xmlns:xs="http://www.w3.org/2001/XMLSchema" xmlns:p="http://schemas.microsoft.com/office/2006/metadata/properties" xmlns:ns3="eeb1cd07-aa4c-4dba-86db-59998e78d0c1" xmlns:ns4="6617951d-c1b6-448d-9fac-1e4afc25f430" targetNamespace="http://schemas.microsoft.com/office/2006/metadata/properties" ma:root="true" ma:fieldsID="a4f20d3bae75d32f7e39161411c04b9a" ns3:_="" ns4:_="">
    <xsd:import namespace="eeb1cd07-aa4c-4dba-86db-59998e78d0c1"/>
    <xsd:import namespace="6617951d-c1b6-448d-9fac-1e4afc25f43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b1cd07-aa4c-4dba-86db-59998e78d0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17951d-c1b6-448d-9fac-1e4afc25f43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AD7EAC-FE32-4D36-B0E0-299943D0EA51}">
  <ds:schemaRefs>
    <ds:schemaRef ds:uri="http://schemas.openxmlformats.org/officeDocument/2006/bibliography"/>
  </ds:schemaRefs>
</ds:datastoreItem>
</file>

<file path=customXml/itemProps2.xml><?xml version="1.0" encoding="utf-8"?>
<ds:datastoreItem xmlns:ds="http://schemas.openxmlformats.org/officeDocument/2006/customXml" ds:itemID="{25046BF0-670E-421C-8E25-3AC10BED6FF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F6BD52-7BB4-4A9B-BBD8-663774D5CE8C}">
  <ds:schemaRefs>
    <ds:schemaRef ds:uri="http://schemas.microsoft.com/sharepoint/v3/contenttype/forms"/>
  </ds:schemaRefs>
</ds:datastoreItem>
</file>

<file path=customXml/itemProps4.xml><?xml version="1.0" encoding="utf-8"?>
<ds:datastoreItem xmlns:ds="http://schemas.openxmlformats.org/officeDocument/2006/customXml" ds:itemID="{C932540C-139E-4ACF-8B0A-744E3D4CD4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b1cd07-aa4c-4dba-86db-59998e78d0c1"/>
    <ds:schemaRef ds:uri="6617951d-c1b6-448d-9fac-1e4afc25f4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vision-template</Template>
  <TotalTime>0</TotalTime>
  <Pages>15</Pages>
  <Words>6684</Words>
  <Characters>38105</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44700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Rosie Lindsay</dc:creator>
  <cp:keywords/>
  <dc:description/>
  <cp:lastModifiedBy>Smith, Lee</cp:lastModifiedBy>
  <cp:revision>2</cp:revision>
  <dcterms:created xsi:type="dcterms:W3CDTF">2023-01-20T12:28:00Z</dcterms:created>
  <dcterms:modified xsi:type="dcterms:W3CDTF">2023-01-20T12:28:00Z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0x010100934DF0BE57520547A1DF6016B8867306</vt:lpwstr>
  </property>
</Properties>
</file>