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9A6734" w14:textId="014D0D29" w:rsidR="00610D7F" w:rsidRPr="0074064B" w:rsidRDefault="00610D7F" w:rsidP="00610D7F">
      <w:pPr>
        <w:pStyle w:val="MDPI11articletype"/>
      </w:pPr>
      <w:r w:rsidRPr="0074064B">
        <w:t>Article</w:t>
      </w:r>
    </w:p>
    <w:p w14:paraId="3D75EADE" w14:textId="5DF15B06" w:rsidR="00610D7F" w:rsidRPr="00C25C44" w:rsidRDefault="00610D7F" w:rsidP="00610D7F">
      <w:pPr>
        <w:pStyle w:val="MDPI12title"/>
      </w:pPr>
      <w:r w:rsidRPr="00C25C44">
        <w:t xml:space="preserve">Prevalence of and </w:t>
      </w:r>
      <w:r w:rsidR="00601AE3" w:rsidRPr="00C25C44">
        <w:t xml:space="preserve">Risk Factors </w:t>
      </w:r>
      <w:r w:rsidRPr="00C25C44">
        <w:t xml:space="preserve">for </w:t>
      </w:r>
      <w:r w:rsidR="00601AE3" w:rsidRPr="00C25C44">
        <w:t xml:space="preserve">Adhesive Capsulitis </w:t>
      </w:r>
      <w:r w:rsidRPr="00C25C44">
        <w:t xml:space="preserve">of the </w:t>
      </w:r>
      <w:r w:rsidR="00601AE3" w:rsidRPr="00C25C44">
        <w:t xml:space="preserve">Shoulder </w:t>
      </w:r>
      <w:r w:rsidRPr="00C25C44">
        <w:t xml:space="preserve">in </w:t>
      </w:r>
      <w:r w:rsidR="00601AE3" w:rsidRPr="00C25C44">
        <w:t xml:space="preserve">Older Adults </w:t>
      </w:r>
      <w:r w:rsidRPr="00C25C44">
        <w:t>from Germany</w:t>
      </w:r>
    </w:p>
    <w:p w14:paraId="74F2E339" w14:textId="77777777" w:rsidR="00966FE1" w:rsidRPr="00C25C44" w:rsidRDefault="00610D7F" w:rsidP="00DD3480">
      <w:pPr>
        <w:pStyle w:val="MDPI13authornames"/>
      </w:pPr>
      <w:r w:rsidRPr="00C25C44">
        <w:t xml:space="preserve">Louis Jacob </w:t>
      </w:r>
      <w:r w:rsidRPr="00C25C44">
        <w:rPr>
          <w:vertAlign w:val="superscript"/>
        </w:rPr>
        <w:t>1,2</w:t>
      </w:r>
      <w:r w:rsidRPr="00C25C44">
        <w:t xml:space="preserve">, Razak M. Gyasi </w:t>
      </w:r>
      <w:r w:rsidRPr="00C25C44">
        <w:rPr>
          <w:vertAlign w:val="superscript"/>
        </w:rPr>
        <w:t>3,4</w:t>
      </w:r>
      <w:r w:rsidRPr="00C25C44">
        <w:t xml:space="preserve">, Ai Koyanagi </w:t>
      </w:r>
      <w:r w:rsidRPr="00C25C44">
        <w:rPr>
          <w:vertAlign w:val="superscript"/>
        </w:rPr>
        <w:t>1,5</w:t>
      </w:r>
      <w:r w:rsidRPr="00C25C44">
        <w:t xml:space="preserve">, </w:t>
      </w:r>
      <w:proofErr w:type="spellStart"/>
      <w:r w:rsidRPr="00C25C44">
        <w:t>Josep</w:t>
      </w:r>
      <w:proofErr w:type="spellEnd"/>
      <w:r w:rsidRPr="00C25C44">
        <w:t xml:space="preserve"> Maria </w:t>
      </w:r>
      <w:proofErr w:type="spellStart"/>
      <w:r w:rsidRPr="00C25C44">
        <w:t>Haro</w:t>
      </w:r>
      <w:proofErr w:type="spellEnd"/>
      <w:r w:rsidRPr="00C25C44">
        <w:t xml:space="preserve"> </w:t>
      </w:r>
      <w:r w:rsidRPr="00C25C44">
        <w:rPr>
          <w:vertAlign w:val="superscript"/>
        </w:rPr>
        <w:t>1</w:t>
      </w:r>
      <w:r w:rsidRPr="00C25C44">
        <w:t xml:space="preserve">, Lee Smith </w:t>
      </w:r>
      <w:r w:rsidRPr="00C25C44">
        <w:rPr>
          <w:vertAlign w:val="superscript"/>
        </w:rPr>
        <w:t>6</w:t>
      </w:r>
      <w:r w:rsidRPr="00C25C44">
        <w:t xml:space="preserve"> and Karel </w:t>
      </w:r>
      <w:proofErr w:type="spellStart"/>
      <w:r w:rsidRPr="00C25C44">
        <w:t>Kostev</w:t>
      </w:r>
      <w:proofErr w:type="spellEnd"/>
      <w:r w:rsidRPr="00C25C44">
        <w:t xml:space="preserve"> </w:t>
      </w:r>
      <w:r w:rsidRPr="00C25C44">
        <w:rPr>
          <w:vertAlign w:val="superscript"/>
        </w:rPr>
        <w:t>7</w:t>
      </w:r>
    </w:p>
    <w:tbl>
      <w:tblPr>
        <w:tblStyle w:val="MDPITable"/>
        <w:tblpPr w:leftFromText="198" w:rightFromText="198" w:vertAnchor="page" w:horzAnchor="margin" w:tblpY="10341"/>
        <w:tblW w:w="2409" w:type="dxa"/>
        <w:tblLayout w:type="fixed"/>
        <w:tblLook w:val="04A0" w:firstRow="1" w:lastRow="0" w:firstColumn="1" w:lastColumn="0" w:noHBand="0" w:noVBand="1"/>
      </w:tblPr>
      <w:tblGrid>
        <w:gridCol w:w="2409"/>
      </w:tblGrid>
      <w:tr w:rsidR="00966FE1" w:rsidRPr="00C25C44" w14:paraId="3B27FAA5" w14:textId="77777777" w:rsidTr="003B29D8">
        <w:trPr>
          <w:cantSplit/>
        </w:trPr>
        <w:tc>
          <w:tcPr>
            <w:tcW w:w="2409" w:type="dxa"/>
          </w:tcPr>
          <w:p w14:paraId="25040A27" w14:textId="77777777" w:rsidR="00966FE1" w:rsidRPr="00C25C44" w:rsidRDefault="00966FE1" w:rsidP="003B29D8">
            <w:pPr>
              <w:pStyle w:val="MDPI61Citation"/>
            </w:pPr>
            <w:r w:rsidRPr="00C25C44">
              <w:rPr>
                <w:b/>
              </w:rPr>
              <w:t>Citation:</w:t>
            </w:r>
            <w:r w:rsidRPr="00C25C44">
              <w:t xml:space="preserve"> Jacob, L.; Gyasi, R.M.; </w:t>
            </w:r>
            <w:r w:rsidRPr="00C25C44">
              <w:br/>
              <w:t xml:space="preserve">Koyanagi, A.; </w:t>
            </w:r>
            <w:proofErr w:type="spellStart"/>
            <w:r w:rsidRPr="00C25C44">
              <w:t>Haro</w:t>
            </w:r>
            <w:proofErr w:type="spellEnd"/>
            <w:r w:rsidRPr="00C25C44">
              <w:t xml:space="preserve">, J.M.; Smith, L.; </w:t>
            </w:r>
            <w:proofErr w:type="spellStart"/>
            <w:r w:rsidRPr="00C25C44">
              <w:t>Kostev</w:t>
            </w:r>
            <w:proofErr w:type="spellEnd"/>
            <w:r w:rsidRPr="00C25C44">
              <w:t xml:space="preserve">, K. Prevalence of and Risk Factors for Adhesive Capsulitis of the Shoulder in Older Adults from Germany. </w:t>
            </w:r>
            <w:r w:rsidRPr="00C25C44">
              <w:rPr>
                <w:i/>
              </w:rPr>
              <w:t xml:space="preserve">J. Clin. Med. </w:t>
            </w:r>
            <w:r w:rsidRPr="00C25C44">
              <w:rPr>
                <w:b/>
              </w:rPr>
              <w:t>2023</w:t>
            </w:r>
            <w:r w:rsidRPr="00C25C44">
              <w:t xml:space="preserve">, </w:t>
            </w:r>
            <w:r w:rsidRPr="00C25C44">
              <w:rPr>
                <w:i/>
              </w:rPr>
              <w:t>12</w:t>
            </w:r>
            <w:r w:rsidRPr="00C25C44">
              <w:t>, x. https://doi.org/10.3390/xxxxx</w:t>
            </w:r>
          </w:p>
          <w:p w14:paraId="27064B2B" w14:textId="77777777" w:rsidR="00966FE1" w:rsidRPr="00C25C44" w:rsidRDefault="00966FE1" w:rsidP="003B29D8">
            <w:pPr>
              <w:pStyle w:val="MDPI15academiceditor"/>
              <w:spacing w:after="120"/>
            </w:pPr>
            <w:r w:rsidRPr="00C25C44">
              <w:t xml:space="preserve">Academic Editor(s): </w:t>
            </w:r>
          </w:p>
          <w:p w14:paraId="377E71A9" w14:textId="77777777" w:rsidR="00966FE1" w:rsidRPr="00C25C44" w:rsidRDefault="00966FE1" w:rsidP="003B29D8">
            <w:pPr>
              <w:pStyle w:val="MDPI14history"/>
              <w:spacing w:before="120"/>
            </w:pPr>
            <w:r w:rsidRPr="00C25C44">
              <w:t>Received: 28 November 2022</w:t>
            </w:r>
          </w:p>
          <w:p w14:paraId="08DB2D59" w14:textId="77777777" w:rsidR="00966FE1" w:rsidRPr="00C25C44" w:rsidRDefault="00966FE1" w:rsidP="003B29D8">
            <w:pPr>
              <w:pStyle w:val="MDPI14history"/>
            </w:pPr>
            <w:r w:rsidRPr="00C25C44">
              <w:t>Revised: 26 December 2022</w:t>
            </w:r>
          </w:p>
          <w:p w14:paraId="5B6777B6" w14:textId="77777777" w:rsidR="00966FE1" w:rsidRPr="00C25C44" w:rsidRDefault="00966FE1" w:rsidP="003B29D8">
            <w:pPr>
              <w:pStyle w:val="MDPI14history"/>
            </w:pPr>
            <w:r w:rsidRPr="00C25C44">
              <w:t>Accepted: date</w:t>
            </w:r>
          </w:p>
          <w:p w14:paraId="2B686CCA" w14:textId="77777777" w:rsidR="00966FE1" w:rsidRPr="00C25C44" w:rsidRDefault="00966FE1" w:rsidP="003B29D8">
            <w:pPr>
              <w:pStyle w:val="MDPI14history"/>
              <w:spacing w:after="120"/>
            </w:pPr>
            <w:r w:rsidRPr="00C25C44">
              <w:t>Published: date</w:t>
            </w:r>
          </w:p>
          <w:p w14:paraId="60225BE5" w14:textId="77777777" w:rsidR="00966FE1" w:rsidRPr="00C25C44" w:rsidRDefault="00966FE1" w:rsidP="003B29D8">
            <w:pPr>
              <w:pStyle w:val="MDPI63Notes"/>
              <w:spacing w:before="120" w:after="0"/>
              <w:jc w:val="both"/>
            </w:pPr>
            <w:r w:rsidRPr="00C25C44">
              <w:rPr>
                <w:noProof/>
                <w:snapToGrid/>
              </w:rPr>
              <w:drawing>
                <wp:inline distT="0" distB="0" distL="0" distR="0" wp14:anchorId="07C75D8B" wp14:editId="065C498F">
                  <wp:extent cx="694800" cy="248400"/>
                  <wp:effectExtent l="0" t="0" r="0" b="0"/>
                  <wp:docPr id="8" name="Picture 8"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8" name="Picture 8" descr="A picture containing text, clipart&#10;&#10;Description automatically generated"/>
                          <pic:cNvPicPr/>
                        </pic:nvPicPr>
                        <pic:blipFill>
                          <a:blip r:embed="rId7"/>
                          <a:stretch>
                            <a:fillRect/>
                          </a:stretch>
                        </pic:blipFill>
                        <pic:spPr>
                          <a:xfrm>
                            <a:off x="0" y="0"/>
                            <a:ext cx="694800" cy="248400"/>
                          </a:xfrm>
                          <a:prstGeom prst="rect">
                            <a:avLst/>
                          </a:prstGeom>
                        </pic:spPr>
                      </pic:pic>
                    </a:graphicData>
                  </a:graphic>
                </wp:inline>
              </w:drawing>
            </w:r>
          </w:p>
          <w:p w14:paraId="212C4A38" w14:textId="77777777" w:rsidR="00966FE1" w:rsidRPr="00C25C44" w:rsidRDefault="00966FE1" w:rsidP="003B29D8">
            <w:pPr>
              <w:pStyle w:val="MDPI63Notes"/>
              <w:spacing w:before="60" w:after="0"/>
              <w:jc w:val="both"/>
            </w:pPr>
            <w:r w:rsidRPr="00C25C44">
              <w:rPr>
                <w:b/>
              </w:rPr>
              <w:t>Copyright:</w:t>
            </w:r>
            <w:r w:rsidRPr="00C25C44">
              <w:t xml:space="preserve"> © 2022 by the authors. Submitted for possible open access publication under the terms and conditions of the Creative Commons Attribution (CC BY) license (https://creativecommons.org/licenses/by/4.0/).</w:t>
            </w:r>
          </w:p>
        </w:tc>
      </w:tr>
    </w:tbl>
    <w:p w14:paraId="689E8B54" w14:textId="6B83E6D9" w:rsidR="00610D7F" w:rsidRPr="00C25C44" w:rsidRDefault="00610D7F" w:rsidP="00DD3480">
      <w:pPr>
        <w:pStyle w:val="MDPI16affiliation"/>
      </w:pPr>
      <w:r w:rsidRPr="00C25C44">
        <w:rPr>
          <w:vertAlign w:val="superscript"/>
        </w:rPr>
        <w:t>1</w:t>
      </w:r>
      <w:r w:rsidRPr="00C25C44">
        <w:tab/>
        <w:t xml:space="preserve">Research and Development Unit, Parc </w:t>
      </w:r>
      <w:proofErr w:type="spellStart"/>
      <w:r w:rsidRPr="00C25C44">
        <w:t>Sanitari</w:t>
      </w:r>
      <w:proofErr w:type="spellEnd"/>
      <w:r w:rsidRPr="00C25C44">
        <w:t xml:space="preserve"> Sant Joan de </w:t>
      </w:r>
      <w:proofErr w:type="spellStart"/>
      <w:r w:rsidRPr="00C25C44">
        <w:t>Déu</w:t>
      </w:r>
      <w:proofErr w:type="spellEnd"/>
      <w:r w:rsidRPr="00C25C44">
        <w:t xml:space="preserve">, CIBERSAM, ISCIII, Dr. Antoni Pujadas, 42, Sant </w:t>
      </w:r>
      <w:proofErr w:type="spellStart"/>
      <w:r w:rsidRPr="00C25C44">
        <w:t>Boi</w:t>
      </w:r>
      <w:proofErr w:type="spellEnd"/>
      <w:r w:rsidRPr="00C25C44">
        <w:t xml:space="preserve"> de </w:t>
      </w:r>
      <w:proofErr w:type="spellStart"/>
      <w:r w:rsidRPr="00C25C44">
        <w:t>Llobregat</w:t>
      </w:r>
      <w:proofErr w:type="spellEnd"/>
      <w:r w:rsidRPr="00C25C44">
        <w:t xml:space="preserve">, Barcelona, Spain; </w:t>
      </w:r>
      <w:r w:rsidR="00FC5F7E" w:rsidRPr="00C25C44">
        <w:t>louis.jacob.contacts@gmail.com (L.J.);</w:t>
      </w:r>
      <w:r w:rsidRPr="00C25C44">
        <w:t xml:space="preserve"> </w:t>
      </w:r>
      <w:r w:rsidR="00FC5F7E" w:rsidRPr="00C25C44">
        <w:t>ai.koyanagi@sjd.es (A.K.);</w:t>
      </w:r>
      <w:r w:rsidRPr="00C25C44">
        <w:t xml:space="preserve"> </w:t>
      </w:r>
      <w:r w:rsidR="00FC5F7E" w:rsidRPr="00C25C44">
        <w:t>josepmaria.haro@sjd.es (J.M.H.)</w:t>
      </w:r>
    </w:p>
    <w:p w14:paraId="25540503" w14:textId="762786DC" w:rsidR="00610D7F" w:rsidRPr="00C25C44" w:rsidRDefault="00610D7F" w:rsidP="00DD3480">
      <w:pPr>
        <w:pStyle w:val="MDPI16affiliation"/>
      </w:pPr>
      <w:r w:rsidRPr="00C25C44">
        <w:rPr>
          <w:vertAlign w:val="superscript"/>
        </w:rPr>
        <w:t>2</w:t>
      </w:r>
      <w:r w:rsidRPr="00C25C44">
        <w:tab/>
        <w:t xml:space="preserve">Department of Physical </w:t>
      </w:r>
      <w:r w:rsidRPr="00C25C44">
        <w:rPr>
          <w:lang w:bidi="ar-SA"/>
        </w:rPr>
        <w:t>Medicine</w:t>
      </w:r>
      <w:r w:rsidRPr="00C25C44">
        <w:t xml:space="preserve"> and Rehabilitation, </w:t>
      </w:r>
      <w:proofErr w:type="spellStart"/>
      <w:r w:rsidRPr="00C25C44">
        <w:t>Lariboisière</w:t>
      </w:r>
      <w:proofErr w:type="spellEnd"/>
      <w:r w:rsidRPr="00C25C44">
        <w:t xml:space="preserve">-Fernand </w:t>
      </w:r>
      <w:proofErr w:type="spellStart"/>
      <w:r w:rsidRPr="00C25C44">
        <w:t>Widal</w:t>
      </w:r>
      <w:proofErr w:type="spellEnd"/>
      <w:r w:rsidRPr="00C25C44">
        <w:t xml:space="preserve"> Hospital, AP-HP, </w:t>
      </w:r>
      <w:r w:rsidR="00DD3480" w:rsidRPr="00C25C44">
        <w:br/>
      </w:r>
      <w:r w:rsidRPr="00C25C44">
        <w:t xml:space="preserve">University Paris </w:t>
      </w:r>
      <w:proofErr w:type="spellStart"/>
      <w:r w:rsidRPr="00C25C44">
        <w:t>Cité</w:t>
      </w:r>
      <w:proofErr w:type="spellEnd"/>
      <w:r w:rsidRPr="00C25C44">
        <w:t>, Paris, France</w:t>
      </w:r>
    </w:p>
    <w:p w14:paraId="2351025B" w14:textId="3A41A8CF" w:rsidR="00610D7F" w:rsidRPr="00C25C44" w:rsidRDefault="00610D7F" w:rsidP="00DD3480">
      <w:pPr>
        <w:pStyle w:val="MDPI16affiliation"/>
      </w:pPr>
      <w:r w:rsidRPr="00C25C44">
        <w:rPr>
          <w:vertAlign w:val="superscript"/>
        </w:rPr>
        <w:t>3</w:t>
      </w:r>
      <w:r w:rsidRPr="00C25C44">
        <w:tab/>
        <w:t xml:space="preserve">African Population and Health Research Center, Nairobi, Kenya; </w:t>
      </w:r>
      <w:r w:rsidR="00067911" w:rsidRPr="00C25C44">
        <w:t>rg</w:t>
      </w:r>
      <w:r w:rsidRPr="00C25C44">
        <w:t>yasi@aphrc.org</w:t>
      </w:r>
    </w:p>
    <w:p w14:paraId="75D434B9" w14:textId="77777777" w:rsidR="00610D7F" w:rsidRPr="00C25C44" w:rsidRDefault="00610D7F" w:rsidP="00DD3480">
      <w:pPr>
        <w:pStyle w:val="MDPI16affiliation"/>
      </w:pPr>
      <w:r w:rsidRPr="00C25C44">
        <w:rPr>
          <w:vertAlign w:val="superscript"/>
        </w:rPr>
        <w:t>4</w:t>
      </w:r>
      <w:r w:rsidRPr="00C25C44">
        <w:tab/>
        <w:t>National Centre for Naturopathic Medicine, Faculty of Health, Southern Cross University, Lismore, NSW, Australia</w:t>
      </w:r>
    </w:p>
    <w:p w14:paraId="68F78AFA" w14:textId="77777777" w:rsidR="00610D7F" w:rsidRPr="00C25C44" w:rsidRDefault="00610D7F" w:rsidP="00DD3480">
      <w:pPr>
        <w:pStyle w:val="MDPI16affiliation"/>
      </w:pPr>
      <w:r w:rsidRPr="00C25C44">
        <w:rPr>
          <w:vertAlign w:val="superscript"/>
          <w:lang w:val="fr-FR"/>
        </w:rPr>
        <w:t>5</w:t>
      </w:r>
      <w:r w:rsidRPr="00C25C44">
        <w:rPr>
          <w:lang w:val="fr-FR"/>
        </w:rPr>
        <w:tab/>
      </w:r>
      <w:proofErr w:type="spellStart"/>
      <w:r w:rsidRPr="00C25C44">
        <w:rPr>
          <w:lang w:val="fr-FR"/>
        </w:rPr>
        <w:t>Institució</w:t>
      </w:r>
      <w:proofErr w:type="spellEnd"/>
      <w:r w:rsidRPr="00C25C44">
        <w:rPr>
          <w:lang w:val="fr-FR"/>
        </w:rPr>
        <w:t xml:space="preserve"> </w:t>
      </w:r>
      <w:proofErr w:type="spellStart"/>
      <w:r w:rsidRPr="00C25C44">
        <w:rPr>
          <w:lang w:val="fr-FR"/>
        </w:rPr>
        <w:t>Catalana</w:t>
      </w:r>
      <w:proofErr w:type="spellEnd"/>
      <w:r w:rsidRPr="00C25C44">
        <w:rPr>
          <w:lang w:val="fr-FR"/>
        </w:rPr>
        <w:t xml:space="preserve"> de </w:t>
      </w:r>
      <w:proofErr w:type="spellStart"/>
      <w:r w:rsidRPr="00C25C44">
        <w:rPr>
          <w:lang w:val="fr-FR"/>
        </w:rPr>
        <w:t>Recerca</w:t>
      </w:r>
      <w:proofErr w:type="spellEnd"/>
      <w:r w:rsidRPr="00C25C44">
        <w:rPr>
          <w:lang w:val="fr-FR"/>
        </w:rPr>
        <w:t xml:space="preserve"> i </w:t>
      </w:r>
      <w:proofErr w:type="spellStart"/>
      <w:r w:rsidRPr="00C25C44">
        <w:rPr>
          <w:lang w:val="fr-FR"/>
        </w:rPr>
        <w:t>Estudis</w:t>
      </w:r>
      <w:proofErr w:type="spellEnd"/>
      <w:r w:rsidRPr="00C25C44">
        <w:rPr>
          <w:lang w:val="fr-FR"/>
        </w:rPr>
        <w:t xml:space="preserve"> </w:t>
      </w:r>
      <w:proofErr w:type="spellStart"/>
      <w:r w:rsidRPr="00C25C44">
        <w:rPr>
          <w:lang w:val="fr-FR"/>
        </w:rPr>
        <w:t>Avançats</w:t>
      </w:r>
      <w:proofErr w:type="spellEnd"/>
      <w:r w:rsidRPr="00C25C44">
        <w:rPr>
          <w:lang w:val="fr-FR"/>
        </w:rPr>
        <w:t xml:space="preserve"> (ICREA), </w:t>
      </w:r>
      <w:proofErr w:type="spellStart"/>
      <w:r w:rsidRPr="00C25C44">
        <w:rPr>
          <w:lang w:val="fr-FR"/>
        </w:rPr>
        <w:t>Pg</w:t>
      </w:r>
      <w:proofErr w:type="spellEnd"/>
      <w:r w:rsidRPr="00C25C44">
        <w:rPr>
          <w:lang w:val="fr-FR"/>
        </w:rPr>
        <w:t xml:space="preserve">. </w:t>
      </w:r>
      <w:proofErr w:type="spellStart"/>
      <w:r w:rsidRPr="00C25C44">
        <w:t>Lluis</w:t>
      </w:r>
      <w:proofErr w:type="spellEnd"/>
      <w:r w:rsidRPr="00C25C44">
        <w:t xml:space="preserve"> </w:t>
      </w:r>
      <w:proofErr w:type="spellStart"/>
      <w:r w:rsidRPr="00C25C44">
        <w:t>Companys</w:t>
      </w:r>
      <w:proofErr w:type="spellEnd"/>
      <w:r w:rsidRPr="00C25C44">
        <w:t xml:space="preserve"> 23, Barcelona, Spain</w:t>
      </w:r>
    </w:p>
    <w:p w14:paraId="7B9B76B4" w14:textId="7D765122" w:rsidR="00610D7F" w:rsidRPr="00C25C44" w:rsidRDefault="00610D7F" w:rsidP="00DD3480">
      <w:pPr>
        <w:pStyle w:val="MDPI16affiliation"/>
      </w:pPr>
      <w:r w:rsidRPr="00C25C44">
        <w:rPr>
          <w:vertAlign w:val="superscript"/>
        </w:rPr>
        <w:t>6</w:t>
      </w:r>
      <w:r w:rsidRPr="00C25C44">
        <w:tab/>
        <w:t xml:space="preserve">Centre for Health, Performance and Wellbeing, Anglia Ruskin University, Cambridge, UK; </w:t>
      </w:r>
      <w:r w:rsidR="00067911" w:rsidRPr="00C25C44">
        <w:t>l</w:t>
      </w:r>
      <w:r w:rsidRPr="00C25C44">
        <w:t>ee.</w:t>
      </w:r>
      <w:r w:rsidR="007A4D9B" w:rsidRPr="00C25C44">
        <w:t>s</w:t>
      </w:r>
      <w:r w:rsidRPr="00C25C44">
        <w:t>mith@aru.ac.uk</w:t>
      </w:r>
    </w:p>
    <w:p w14:paraId="1625C816" w14:textId="6B355CC6" w:rsidR="00610D7F" w:rsidRPr="00C25C44" w:rsidRDefault="00610D7F" w:rsidP="00DD3480">
      <w:pPr>
        <w:pStyle w:val="MDPI16affiliation"/>
      </w:pPr>
      <w:r w:rsidRPr="00C25C44">
        <w:rPr>
          <w:vertAlign w:val="superscript"/>
        </w:rPr>
        <w:t>7</w:t>
      </w:r>
      <w:r w:rsidRPr="00C25C44">
        <w:tab/>
        <w:t>Epidemiology, IQVIA, Frankfurt, Germany</w:t>
      </w:r>
      <w:r w:rsidR="00067911" w:rsidRPr="00C25C44">
        <w:t>; karel.kostev@iqvia.com</w:t>
      </w:r>
    </w:p>
    <w:p w14:paraId="4279AEA9" w14:textId="676FE4ED" w:rsidR="00610D7F" w:rsidRPr="00C25C44" w:rsidRDefault="00DD3480" w:rsidP="00DD3480">
      <w:pPr>
        <w:pStyle w:val="MDPI16affiliation"/>
      </w:pPr>
      <w:r w:rsidRPr="00C25C44">
        <w:rPr>
          <w:b/>
        </w:rPr>
        <w:t>*</w:t>
      </w:r>
      <w:r w:rsidRPr="00C25C44">
        <w:tab/>
        <w:t xml:space="preserve">Correspondence: </w:t>
      </w:r>
      <w:r w:rsidR="00610D7F" w:rsidRPr="00C25C44">
        <w:t>Karel.Kostev@iqvia.com; Tel.: +49-(0)69-66</w:t>
      </w:r>
      <w:r w:rsidRPr="00C25C44">
        <w:t>-</w:t>
      </w:r>
      <w:r w:rsidR="00610D7F" w:rsidRPr="00C25C44">
        <w:t>04-4878</w:t>
      </w:r>
    </w:p>
    <w:p w14:paraId="512E6BD9" w14:textId="20BA528A" w:rsidR="00610D7F" w:rsidRPr="00C25C44" w:rsidRDefault="00610D7F" w:rsidP="00B0419F">
      <w:pPr>
        <w:pStyle w:val="MDPI17abstract"/>
      </w:pPr>
      <w:r w:rsidRPr="00C25C44">
        <w:rPr>
          <w:b/>
        </w:rPr>
        <w:t xml:space="preserve">Abstract: </w:t>
      </w:r>
      <w:r w:rsidRPr="00C25C44">
        <w:t xml:space="preserve">This study aimed to investigate the prevalence of and risk factors for adhesive capsulitis in older adults from Germany. The one-year and lifetime prevalence of adhesive capsulitis were assessed in adults aged ≥65 years with at least one visit to one of </w:t>
      </w:r>
      <w:r w:rsidR="00B0419F" w:rsidRPr="00C25C44">
        <w:t>1207</w:t>
      </w:r>
      <w:r w:rsidRPr="00C25C44">
        <w:t xml:space="preserve"> general practices in Germany in 2021. Associations between physical and psychiatric conditions and adhesive capsulitis were further assessed in older patients diagnosed for the first time with adhesive capsulitis in general practices in 201</w:t>
      </w:r>
      <w:r w:rsidR="00B0419F" w:rsidRPr="00C25C44">
        <w:t>0–2021</w:t>
      </w:r>
      <w:r w:rsidRPr="00C25C44">
        <w:t xml:space="preserve"> (index date) and matched (1:5) to patients without adhesive capsulitis using a propensity score based on age, sex, and the index year. In adults without adhesive capsulitis, the index date was a randomly selected visit date in 201</w:t>
      </w:r>
      <w:r w:rsidR="00B0419F" w:rsidRPr="00C25C44">
        <w:t>0–2021</w:t>
      </w:r>
      <w:r w:rsidRPr="00C25C44">
        <w:t xml:space="preserve">. The one-year and lifetime prevalence of adhesive capsulitis in older adults in 2021 were 0.4% and 2.4%, respectively. In </w:t>
      </w:r>
      <w:r w:rsidR="00B0419F" w:rsidRPr="00C25C44">
        <w:t>8439</w:t>
      </w:r>
      <w:r w:rsidRPr="00C25C44">
        <w:t xml:space="preserve"> patients with and 42,195 patients without adhesive capsulitis, 12 conditions were positively and significantly associated with adhesive capsulitis. Effect sizes were strongest for other and unspecified osteoarthritis (O</w:t>
      </w:r>
      <w:r w:rsidR="00C9566E" w:rsidRPr="00C25C44">
        <w:t>R = 1</w:t>
      </w:r>
      <w:r w:rsidRPr="00C25C44">
        <w:t>.93), injury to the shoulder and upper arm (O</w:t>
      </w:r>
      <w:r w:rsidR="00C9566E" w:rsidRPr="00C25C44">
        <w:t>R = 1</w:t>
      </w:r>
      <w:r w:rsidRPr="00C25C44">
        <w:t>.85), and injury to the thorax (O</w:t>
      </w:r>
      <w:r w:rsidR="00C9566E" w:rsidRPr="00C25C44">
        <w:t>R = 1</w:t>
      </w:r>
      <w:r w:rsidRPr="00C25C44">
        <w:t>.47). Based on these findings, adhesive capsulitis can occur at older age, and osteoarthritis and injuries are major risk factors.</w:t>
      </w:r>
    </w:p>
    <w:p w14:paraId="7CEC5798" w14:textId="7327D902" w:rsidR="00610D7F" w:rsidRPr="00C25C44" w:rsidRDefault="003E522B" w:rsidP="003E522B">
      <w:pPr>
        <w:pStyle w:val="MDPI18keywords"/>
      </w:pPr>
      <w:r w:rsidRPr="00C25C44">
        <w:rPr>
          <w:b/>
        </w:rPr>
        <w:t>Keywords:</w:t>
      </w:r>
      <w:r w:rsidR="00610D7F" w:rsidRPr="00C25C44">
        <w:rPr>
          <w:b/>
        </w:rPr>
        <w:t xml:space="preserve"> </w:t>
      </w:r>
      <w:r w:rsidR="00610D7F" w:rsidRPr="00C25C44">
        <w:t>adhesive capsulitis; frozen shoulder; epidemiology; older adults; Germany</w:t>
      </w:r>
    </w:p>
    <w:p w14:paraId="11E9546A" w14:textId="77777777" w:rsidR="00610D7F" w:rsidRPr="00C25C44" w:rsidRDefault="00610D7F" w:rsidP="003E522B">
      <w:pPr>
        <w:pStyle w:val="MDPI19line"/>
        <w:pBdr>
          <w:bottom w:val="single" w:sz="4" w:space="1" w:color="000000"/>
        </w:pBdr>
      </w:pPr>
    </w:p>
    <w:p w14:paraId="3F581317" w14:textId="459DA436" w:rsidR="00610D7F" w:rsidRPr="00C25C44" w:rsidRDefault="003E522B" w:rsidP="003E522B">
      <w:pPr>
        <w:pStyle w:val="MDPI21heading1"/>
      </w:pPr>
      <w:r w:rsidRPr="00C25C44">
        <w:t xml:space="preserve">1. </w:t>
      </w:r>
      <w:r w:rsidR="00610D7F" w:rsidRPr="00C25C44">
        <w:t>Introduction</w:t>
      </w:r>
    </w:p>
    <w:p w14:paraId="30E1361E" w14:textId="77777777" w:rsidR="00610D7F" w:rsidRPr="00C25C44" w:rsidRDefault="00610D7F" w:rsidP="003E522B">
      <w:pPr>
        <w:pStyle w:val="MDPI31text"/>
        <w:rPr>
          <w:b/>
        </w:rPr>
      </w:pPr>
      <w:r w:rsidRPr="00C25C44">
        <w:t>Adhesive capsulitis of the shoulder (i.e., frozen shoulder) is a chronic shoulder condition characterized by pain, loss of range of motion, and decreased upper arm function [1]. Usually, adhesive capsulitis progresses through three distinct phases (i.e., painful, stiffness, and recovery phases) and lasts between one and three years [2]. The diagnosis of adhesive capsulitis relies on physical examination, and imaging studies are only necessary to exclude differential diagnoses (e.g., glenohumeral osteoarthritis, rotator cuff tendinopathy, and autoimmune disease) [3]. Adhesive capsulitis has a negative impact on mental health [4], quality of life [5], and work productivity [6]. In this context, it is of utmost importance to better understand the epidemiology of adhesive capsulitis.</w:t>
      </w:r>
    </w:p>
    <w:p w14:paraId="4AE5F1CB" w14:textId="77777777" w:rsidR="00610D7F" w:rsidRPr="00C25C44" w:rsidRDefault="00610D7F" w:rsidP="003E522B">
      <w:pPr>
        <w:pStyle w:val="MDPI31text"/>
        <w:rPr>
          <w:b/>
        </w:rPr>
      </w:pPr>
      <w:r w:rsidRPr="00C25C44">
        <w:t xml:space="preserve">The prevalence of adhesive capsulitis of the shoulder is between 3% and 5% in the general population [2]. </w:t>
      </w:r>
      <w:proofErr w:type="gramStart"/>
      <w:r w:rsidRPr="00C25C44">
        <w:t>The majority of</w:t>
      </w:r>
      <w:proofErr w:type="gramEnd"/>
      <w:r w:rsidRPr="00C25C44">
        <w:t xml:space="preserve"> patients are aged between 40 and 59 years at diagnosis [7], but some evidence suggests that adhesive capsulitis can also occur later in life. </w:t>
      </w:r>
      <w:r w:rsidRPr="00C25C44">
        <w:lastRenderedPageBreak/>
        <w:t>A study of more than 26 million people aged ≥65 years from the United States revealed that the one-year prevalence of adhesive capsulitis was 0.35% [8]. Several conditions have been identified as risk factors for adhesive capsulitis, including, for example, diabetes, disorders of thyroid gland, and cerebrovascular diseases [2]. Although the previous studies focusing on risk factors for adhesive capsulitis have advanced the field, samples were mainly constituted of middle-aged adults [9–12]. Findings obtained in middle-aged individuals may not be extrapolated to the older adult population, as the comorbidity profile of patients may change with age [13,14]. Moreover, effect sizes for the association between some chronic conditions and adhesive capsulitis may be different between middle and older age groups. For example, given that there is a positive relationship between glycated hemoglobin (HbA1c) and adhesive capsulitis in individuals with diabetes [15], and that HbA1c increases with age [16], the association between diabetes and adhesive capsulitis may be stronger in older adults compared with those of middle age. Taken together, little is known about the epidemiology of adhesive capsulitis in older adults, highlighting the need for further data on this topic.</w:t>
      </w:r>
    </w:p>
    <w:p w14:paraId="7279CADD" w14:textId="77777777" w:rsidR="00610D7F" w:rsidRPr="00C25C44" w:rsidRDefault="00610D7F" w:rsidP="003E522B">
      <w:pPr>
        <w:pStyle w:val="MDPI31text"/>
        <w:rPr>
          <w:b/>
        </w:rPr>
      </w:pPr>
      <w:r w:rsidRPr="00C25C44">
        <w:t>Therefore, the present retrospective study aimed to investigate the prevalence of and risk factors for adhesive capsulitis of the shoulder in patients aged ≥65 years from general practices in Germany.</w:t>
      </w:r>
    </w:p>
    <w:p w14:paraId="4568837C" w14:textId="6D874B0B" w:rsidR="00610D7F" w:rsidRPr="00C25C44" w:rsidRDefault="003E522B" w:rsidP="003E522B">
      <w:pPr>
        <w:pStyle w:val="MDPI21heading1"/>
      </w:pPr>
      <w:r w:rsidRPr="00C25C44">
        <w:rPr>
          <w:lang w:eastAsia="zh-CN"/>
        </w:rPr>
        <w:t xml:space="preserve">2. </w:t>
      </w:r>
      <w:r w:rsidR="00610D7F" w:rsidRPr="00C25C44">
        <w:t>Materials and Methods</w:t>
      </w:r>
    </w:p>
    <w:p w14:paraId="558907FC" w14:textId="77EB4C2A" w:rsidR="00610D7F" w:rsidRPr="00C25C44" w:rsidRDefault="003E522B" w:rsidP="003E522B">
      <w:pPr>
        <w:pStyle w:val="MDPI22heading2"/>
      </w:pPr>
      <w:r w:rsidRPr="00C25C44">
        <w:t xml:space="preserve">2.1. </w:t>
      </w:r>
      <w:r w:rsidR="00610D7F" w:rsidRPr="00C25C44">
        <w:t>Database</w:t>
      </w:r>
    </w:p>
    <w:p w14:paraId="05042385" w14:textId="77777777" w:rsidR="00610D7F" w:rsidRPr="00C25C44" w:rsidRDefault="00610D7F" w:rsidP="003E522B">
      <w:pPr>
        <w:pStyle w:val="MDPI31text"/>
      </w:pPr>
      <w:r w:rsidRPr="00C25C44">
        <w:t>This study used data from the Disease Analyzer database (IQVIA). Details on the methodology of the database have been published elsewhere [17]. Briefly, the Disease Analyzer database contains data on demographic variables, diagnoses and prescriptions obtained in general and specialized practices in Germany. The International Classification of Diseases, 10th revision (ICD-10), is used to code diagnoses, while the Anatomical Classification of Pharmaceutical Products of the European Pharmaceutical Market Research Association (</w:t>
      </w:r>
      <w:proofErr w:type="spellStart"/>
      <w:r w:rsidRPr="00C25C44">
        <w:t>EphMRA</w:t>
      </w:r>
      <w:proofErr w:type="spellEnd"/>
      <w:r w:rsidRPr="00C25C44">
        <w:t>) is used to code prescriptions. Data quality is assessed monthly based on several criteria, such as completeness of documentation and linkage between diagnoses and prescriptions. The selection of general and specialized practices to include in the Disease Analyzer database relies on the statistics of the German Medical Association, which are published every year and provide data on physician’s age, specialty group, community size category, and German federal state. Finally, the Disease Analyzer database includes approximately 3% of all practices in Germany and is representative of these practices with relatively similar characteristics (e.g., distribution of the age and sex of patients and prevalence of chronic physical conditions) [17].</w:t>
      </w:r>
    </w:p>
    <w:p w14:paraId="0AD3580C" w14:textId="5367FAED" w:rsidR="00610D7F" w:rsidRPr="00C25C44" w:rsidRDefault="003E522B" w:rsidP="003E522B">
      <w:pPr>
        <w:pStyle w:val="MDPI22heading2"/>
        <w:spacing w:before="240"/>
      </w:pPr>
      <w:r w:rsidRPr="00C25C44">
        <w:t xml:space="preserve">2.2. </w:t>
      </w:r>
      <w:r w:rsidR="00610D7F" w:rsidRPr="00C25C44">
        <w:t xml:space="preserve">Study </w:t>
      </w:r>
      <w:r w:rsidRPr="00C25C44">
        <w:t>Populations</w:t>
      </w:r>
    </w:p>
    <w:p w14:paraId="68E576B6" w14:textId="68ECC433" w:rsidR="00610D7F" w:rsidRPr="00C25C44" w:rsidRDefault="00610D7F" w:rsidP="00610D7F">
      <w:pPr>
        <w:pStyle w:val="MDPI31text"/>
        <w:rPr>
          <w:bCs/>
        </w:rPr>
      </w:pPr>
      <w:r w:rsidRPr="00C25C44">
        <w:t xml:space="preserve">Two distinct populations were included in the present retrospective study. The first population was used to estimate the one-year and lifetime prevalence of adhesive capsulitis of the shoulder in older adults from general practices in Germany in 2021. This population included all individuals aged ≥65 years with at least one visit to one of </w:t>
      </w:r>
      <w:r w:rsidR="00B0419F" w:rsidRPr="00C25C44">
        <w:t>1207</w:t>
      </w:r>
      <w:r w:rsidRPr="00C25C44">
        <w:t xml:space="preserve"> general practices in 2021. The second population was used to identify physical and psychiatric conditions significantly associated with adhesive capsulitis. This population included all patients aged ≥65 years with an initial diagnosis of adhesive capsulitis of the shoulder (ICD-10 code: M75.0) between January 2010 and December 2021 (index date; age was assessed at the index date). Additional inclusion criteria were at least five years of observation prior to the index date and at least one </w:t>
      </w:r>
      <w:proofErr w:type="gramStart"/>
      <w:r w:rsidRPr="00C25C44">
        <w:t>visit</w:t>
      </w:r>
      <w:proofErr w:type="gramEnd"/>
      <w:r w:rsidRPr="00C25C44">
        <w:t xml:space="preserve"> each year in the five years prior to the index date. After applying similar inclusion criteria, patients aged ≥65 years without adhesive capsulitis were matched (1:5) to those with adhesive capsulitis using a propensity score based on age, sex, and index year. In participants without adhesive capsulitis of the shoulder, the index date was a randomly selected visit date between January 2010 and </w:t>
      </w:r>
      <w:r w:rsidRPr="00C25C44">
        <w:lastRenderedPageBreak/>
        <w:t xml:space="preserve">December 2021. The flow diagram of the second study population is displayed in </w:t>
      </w:r>
      <w:r w:rsidRPr="00C25C44">
        <w:rPr>
          <w:bCs/>
        </w:rPr>
        <w:t>Figure 1.</w:t>
      </w:r>
    </w:p>
    <w:p w14:paraId="4608005B" w14:textId="77777777" w:rsidR="00610D7F" w:rsidRPr="00C25C44" w:rsidRDefault="00610D7F" w:rsidP="00031DE8">
      <w:pPr>
        <w:pStyle w:val="MDPI52figure"/>
        <w:ind w:left="2608"/>
        <w:jc w:val="left"/>
      </w:pPr>
      <w:r w:rsidRPr="00C25C44">
        <w:rPr>
          <w:noProof/>
        </w:rPr>
        <w:drawing>
          <wp:inline distT="0" distB="0" distL="0" distR="0" wp14:anchorId="06E306E1" wp14:editId="4E8B891B">
            <wp:extent cx="3686400" cy="7435452"/>
            <wp:effectExtent l="0" t="0" r="0" b="0"/>
            <wp:docPr id="2" name="Image 2"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图示&#10;&#10;描述已自动生成"/>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86400" cy="7435452"/>
                    </a:xfrm>
                    <a:prstGeom prst="rect">
                      <a:avLst/>
                    </a:prstGeom>
                  </pic:spPr>
                </pic:pic>
              </a:graphicData>
            </a:graphic>
          </wp:inline>
        </w:drawing>
      </w:r>
    </w:p>
    <w:p w14:paraId="3C026D8A" w14:textId="71C08CBC" w:rsidR="00031DE8" w:rsidRPr="00C25C44" w:rsidRDefault="00031DE8" w:rsidP="00031DE8">
      <w:pPr>
        <w:pStyle w:val="MDPI51figurecaption"/>
        <w:jc w:val="both"/>
      </w:pPr>
      <w:r w:rsidRPr="00C25C44">
        <w:rPr>
          <w:b/>
        </w:rPr>
        <w:t xml:space="preserve">Figure 1. </w:t>
      </w:r>
      <w:r w:rsidR="00610D7F" w:rsidRPr="00C25C44">
        <w:t>Flow diagram of study patients. Abbreviation: ICD-10, International Classification of Diseases, 10th revision.</w:t>
      </w:r>
    </w:p>
    <w:p w14:paraId="02E3F792" w14:textId="77777777" w:rsidR="00031DE8" w:rsidRPr="00C25C44" w:rsidRDefault="00031DE8">
      <w:pPr>
        <w:spacing w:line="240" w:lineRule="auto"/>
        <w:jc w:val="left"/>
        <w:rPr>
          <w:rFonts w:eastAsia="Times New Roman"/>
          <w:noProof w:val="0"/>
          <w:sz w:val="18"/>
          <w:lang w:eastAsia="de-DE" w:bidi="en-US"/>
        </w:rPr>
      </w:pPr>
      <w:r w:rsidRPr="00C25C44">
        <w:br w:type="page"/>
      </w:r>
    </w:p>
    <w:p w14:paraId="44310FBD" w14:textId="39DAAEEA" w:rsidR="00610D7F" w:rsidRPr="00C25C44" w:rsidRDefault="00610D7F" w:rsidP="00610D7F">
      <w:pPr>
        <w:pStyle w:val="MDPI22heading2"/>
        <w:spacing w:before="240"/>
      </w:pPr>
      <w:r w:rsidRPr="00C25C44">
        <w:lastRenderedPageBreak/>
        <w:t xml:space="preserve">2.3. Physical and </w:t>
      </w:r>
      <w:r w:rsidR="00031DE8" w:rsidRPr="00C25C44">
        <w:t>Psychiatric Conditions</w:t>
      </w:r>
    </w:p>
    <w:p w14:paraId="29359FE0" w14:textId="77777777" w:rsidR="00610D7F" w:rsidRPr="00C25C44" w:rsidRDefault="00610D7F" w:rsidP="006F121F">
      <w:pPr>
        <w:pStyle w:val="MDPI31text"/>
        <w:rPr>
          <w:b/>
        </w:rPr>
      </w:pPr>
      <w:r w:rsidRPr="00C25C44">
        <w:t xml:space="preserve">Physical and psychiatric conditions were documented in the five years prior to the index date. These conditions were selected based on previous literature and included: cancer (ICD-10 codes: C00-C97) [18], disorders of thyroid gland (ICD-10 codes: E00-E07) [19], diabetes (ICD-10 codes: E10-E14) [20], overweight and obesity (ICD-10 code: E66) [21], disorders of lipoprotein metabolism and other </w:t>
      </w:r>
      <w:proofErr w:type="spellStart"/>
      <w:r w:rsidRPr="00C25C44">
        <w:t>lipidemias</w:t>
      </w:r>
      <w:proofErr w:type="spellEnd"/>
      <w:r w:rsidRPr="00C25C44">
        <w:t xml:space="preserve"> (ICD-10 code: E78) [22], depression (ICD-10 codes: F32 and F33) [23], anxiety disorders (ICD-10 code: F41) [23], reaction to severe stress, and adjustment disorders (ICD-10 code: F43) [23], somatoform disorders (ICD-10 code: F45) [23], Parkinson’s disease (ICD-10 code: G20) [8], hypertension (ICD-10 code: I10) [24], ischemic heart diseases (ICD-10 codes: I20-I25) [2], cerebrovascular diseases (ICD-10 codes: I60-I69) [2], unspecified chronic bronchitis (ICD-10 code: J42) [25], gastro-esophageal reflux disease (ICD-10 code: K21) [26], rheumatoid arthritis (ICD-10 codes: M05 and M06) [24], gout (ICD-10 code: M10) [27], </w:t>
      </w:r>
      <w:proofErr w:type="spellStart"/>
      <w:r w:rsidRPr="00C25C44">
        <w:t>polyosteoarthritis</w:t>
      </w:r>
      <w:proofErr w:type="spellEnd"/>
      <w:r w:rsidRPr="00C25C44">
        <w:t xml:space="preserve"> (ICD-10 code: M15) [24], other and unspecified osteoarthritis (ICD-10 code: M19) [24], palmar fascial fibromatosis (</w:t>
      </w:r>
      <w:proofErr w:type="spellStart"/>
      <w:r w:rsidRPr="00C25C44">
        <w:t>Dupuytren’s</w:t>
      </w:r>
      <w:proofErr w:type="spellEnd"/>
      <w:r w:rsidRPr="00C25C44">
        <w:t xml:space="preserve"> disease; ICD-10 code: M72.0) [12], injuries to the thorax (ICD-10 codes: S20-S29) [24], and injuries to the shoulder and upper arm (ICD-10 codes: S40-S49) [24].</w:t>
      </w:r>
    </w:p>
    <w:p w14:paraId="09432287" w14:textId="29541906" w:rsidR="00610D7F" w:rsidRPr="00C25C44" w:rsidRDefault="006F121F" w:rsidP="006F121F">
      <w:pPr>
        <w:pStyle w:val="MDPI22heading2"/>
        <w:spacing w:before="240"/>
      </w:pPr>
      <w:r w:rsidRPr="00C25C44">
        <w:t xml:space="preserve">2.4. </w:t>
      </w:r>
      <w:r w:rsidR="00610D7F" w:rsidRPr="00C25C44">
        <w:t xml:space="preserve">Statistical </w:t>
      </w:r>
      <w:r w:rsidRPr="00C25C44">
        <w:t>Analyses</w:t>
      </w:r>
    </w:p>
    <w:p w14:paraId="6F9059D3" w14:textId="478FF6BF" w:rsidR="00610D7F" w:rsidRPr="00C25C44" w:rsidRDefault="00610D7F" w:rsidP="00610D7F">
      <w:pPr>
        <w:pStyle w:val="MDPI31text"/>
        <w:rPr>
          <w:b/>
        </w:rPr>
      </w:pPr>
      <w:r w:rsidRPr="00C25C44">
        <w:t>The one-year prevalence of adhesive capsulitis of the shoulder was estimated as the proportion of individuals diagnosed at least once with adhesive capsulitis in 2021 among patients with at least one visit to their general practice in 2021. Similarly, the lifetime prevalence of adhesive capsulitis corresponded to the proportion of individuals diagnosed at least once with adhesive capsulitis in their whole medical history among patients with at least one visit to their general practice in 2021. Demographic characteristics of patients without adhesive capsulitis in 201</w:t>
      </w:r>
      <w:r w:rsidR="00B0419F" w:rsidRPr="00C25C44">
        <w:t>0–2021</w:t>
      </w:r>
      <w:r w:rsidRPr="00C25C44">
        <w:t xml:space="preserve"> matched to those with adhesive capsulitis in 201</w:t>
      </w:r>
      <w:r w:rsidR="00B0419F" w:rsidRPr="00C25C44">
        <w:t>0–2021</w:t>
      </w:r>
      <w:r w:rsidRPr="00C25C44">
        <w:t xml:space="preserve"> were compared using the Wilcoxon signed-rank test for continuous age, the Stuart-Maxwell test for categorical age, and the </w:t>
      </w:r>
      <w:proofErr w:type="spellStart"/>
      <w:r w:rsidRPr="00C25C44">
        <w:t>McNemar</w:t>
      </w:r>
      <w:proofErr w:type="spellEnd"/>
      <w:r w:rsidRPr="00C25C44">
        <w:t xml:space="preserve"> test for sex. Finally, the associations between physical and psychiatric conditions (independent variables) and the diagnosis of adhesive capsulitis of the shoulder in 201</w:t>
      </w:r>
      <w:r w:rsidR="00B0419F" w:rsidRPr="00C25C44">
        <w:t>0–2021</w:t>
      </w:r>
      <w:r w:rsidRPr="00C25C44">
        <w:t xml:space="preserve"> (dependent variable) were studied using an adjusted logistic regression model. All physical and psychiatric diseases were simultaneously included in the logistic regression model. Results of the logistic regression model are displayed as odds ratios (ORs) and 95% confidence intervals (CIs). </w:t>
      </w:r>
      <w:r w:rsidR="007154E7" w:rsidRPr="00C25C44">
        <w:rPr>
          <w:i/>
          <w:iCs/>
        </w:rPr>
        <w:t>p</w:t>
      </w:r>
      <w:r w:rsidRPr="00C25C44">
        <w:t>-value</w:t>
      </w:r>
      <w:r w:rsidR="00C9566E" w:rsidRPr="00C25C44">
        <w:t>s &lt; 0</w:t>
      </w:r>
      <w:r w:rsidRPr="00C25C44">
        <w:t>.001 were considered statistically significant. All analyses were performed using SAS 9.4.</w:t>
      </w:r>
    </w:p>
    <w:p w14:paraId="0FD2EA1E" w14:textId="77777777" w:rsidR="00610D7F" w:rsidRPr="00C25C44" w:rsidRDefault="00610D7F" w:rsidP="00610D7F">
      <w:pPr>
        <w:pStyle w:val="MDPI21heading1"/>
      </w:pPr>
      <w:r w:rsidRPr="00C25C44">
        <w:t>3. Results</w:t>
      </w:r>
    </w:p>
    <w:p w14:paraId="296C3B1F" w14:textId="264F5307" w:rsidR="00610D7F" w:rsidRPr="00C25C44" w:rsidRDefault="00610D7F" w:rsidP="00610D7F">
      <w:pPr>
        <w:pStyle w:val="MDPI22heading2"/>
      </w:pPr>
      <w:r w:rsidRPr="00C25C44">
        <w:t>3.1. One-</w:t>
      </w:r>
      <w:r w:rsidR="006F121F" w:rsidRPr="00C25C44">
        <w:t xml:space="preserve">Year </w:t>
      </w:r>
      <w:r w:rsidRPr="00C25C44">
        <w:t xml:space="preserve">and </w:t>
      </w:r>
      <w:r w:rsidR="006F121F" w:rsidRPr="00C25C44">
        <w:t xml:space="preserve">Lifetime Prevalence </w:t>
      </w:r>
      <w:r w:rsidRPr="00C25C44">
        <w:t xml:space="preserve">of </w:t>
      </w:r>
      <w:r w:rsidR="006F121F" w:rsidRPr="00C25C44">
        <w:t xml:space="preserve">Adhesive Capsulitis </w:t>
      </w:r>
      <w:r w:rsidRPr="00C25C44">
        <w:t xml:space="preserve">of the </w:t>
      </w:r>
      <w:r w:rsidR="006F121F" w:rsidRPr="00C25C44">
        <w:t>Shoulder</w:t>
      </w:r>
    </w:p>
    <w:p w14:paraId="3824CCE9" w14:textId="796A4649" w:rsidR="00610D7F" w:rsidRPr="00C25C44" w:rsidRDefault="00610D7F" w:rsidP="00610D7F">
      <w:pPr>
        <w:pStyle w:val="MDPI31text"/>
        <w:rPr>
          <w:i/>
        </w:rPr>
      </w:pPr>
      <w:r w:rsidRPr="00C25C44">
        <w:t xml:space="preserve">The one-year and lifetime prevalence of adhesive capsulitis of the shoulder in the overall sample and by sex are displayed in Figure 2. Among 859,166 patients aged ≥65 years with at least one visit to one of </w:t>
      </w:r>
      <w:r w:rsidR="00B0419F" w:rsidRPr="00C25C44">
        <w:t>1207</w:t>
      </w:r>
      <w:r w:rsidRPr="00C25C44">
        <w:t xml:space="preserve"> general practices in Germany in 2021, the one-year and lifetime prevalence of adhesive capsulitis were 0.4% and 2.4%, respectively. Similar findings were obtained in men and women.</w:t>
      </w:r>
    </w:p>
    <w:p w14:paraId="76D5C668" w14:textId="77777777" w:rsidR="00610D7F" w:rsidRPr="00C25C44" w:rsidRDefault="00610D7F" w:rsidP="006F121F">
      <w:pPr>
        <w:pStyle w:val="MDPI52figure"/>
      </w:pPr>
      <w:r w:rsidRPr="00C25C44">
        <w:rPr>
          <w:noProof/>
        </w:rPr>
        <w:lastRenderedPageBreak/>
        <w:drawing>
          <wp:inline distT="0" distB="0" distL="0" distR="0" wp14:anchorId="5A17A075" wp14:editId="57738590">
            <wp:extent cx="5080000" cy="34798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080000" cy="3479800"/>
                    </a:xfrm>
                    <a:prstGeom prst="rect">
                      <a:avLst/>
                    </a:prstGeom>
                  </pic:spPr>
                </pic:pic>
              </a:graphicData>
            </a:graphic>
          </wp:inline>
        </w:drawing>
      </w:r>
    </w:p>
    <w:p w14:paraId="022973BA" w14:textId="53952B3E" w:rsidR="00610D7F" w:rsidRPr="00C25C44" w:rsidRDefault="006F121F" w:rsidP="006F121F">
      <w:pPr>
        <w:pStyle w:val="MDPI51figurecaption"/>
        <w:jc w:val="both"/>
      </w:pPr>
      <w:r w:rsidRPr="00C25C44">
        <w:rPr>
          <w:b/>
        </w:rPr>
        <w:t xml:space="preserve">Figure 2. </w:t>
      </w:r>
      <w:r w:rsidR="00610D7F" w:rsidRPr="00C25C44">
        <w:t>One-year and lifetime prevalence of adhesive capsulitis of the shoulder in 2021 in this sample of adults aged ≥65 years from Germany (overall and by sex). Abbreviation: ICD-10, International Classification of Diseases, 10th revision. One-year prevalence of adhesive capsulitis of the shoulder was defined as the proportion of individuals diagnosed at least once with adhesive capsulitis (ICD-10 code: M75.0) in 2021 among patients with at least one visit to their general practice in 2021. Lifetime prevalence of adhesive capsulitis of the shoulder was defined as the proportion of individuals diagnosed at least once with adhesive capsulitis in their whole medical history among patients with at least one visit to their general practice in 2021.</w:t>
      </w:r>
    </w:p>
    <w:p w14:paraId="0B496870" w14:textId="7B25ED40" w:rsidR="00610D7F" w:rsidRPr="00C25C44" w:rsidRDefault="006B504B" w:rsidP="006B504B">
      <w:pPr>
        <w:pStyle w:val="MDPI22heading2"/>
        <w:spacing w:before="240"/>
      </w:pPr>
      <w:r w:rsidRPr="00C25C44">
        <w:t xml:space="preserve">3.2. </w:t>
      </w:r>
      <w:r w:rsidR="00610D7F" w:rsidRPr="00C25C44">
        <w:t xml:space="preserve">Demographic </w:t>
      </w:r>
      <w:r w:rsidRPr="00C25C44">
        <w:t xml:space="preserve">Characteristics </w:t>
      </w:r>
      <w:r w:rsidR="00610D7F" w:rsidRPr="00C25C44">
        <w:t xml:space="preserve">at the </w:t>
      </w:r>
      <w:r w:rsidRPr="00C25C44">
        <w:t xml:space="preserve">Index Date </w:t>
      </w:r>
      <w:r w:rsidR="00610D7F" w:rsidRPr="00C25C44">
        <w:t xml:space="preserve">of </w:t>
      </w:r>
      <w:r w:rsidRPr="00C25C44">
        <w:t xml:space="preserve">Patients </w:t>
      </w:r>
      <w:r w:rsidR="00610D7F" w:rsidRPr="00C25C44">
        <w:t xml:space="preserve">with and without </w:t>
      </w:r>
      <w:r w:rsidRPr="00C25C44">
        <w:t xml:space="preserve">Adhesive Capsulitis </w:t>
      </w:r>
      <w:r w:rsidR="00610D7F" w:rsidRPr="00C25C44">
        <w:t xml:space="preserve">of the </w:t>
      </w:r>
      <w:r w:rsidRPr="00C25C44">
        <w:t>Shoulder</w:t>
      </w:r>
    </w:p>
    <w:p w14:paraId="1A383735" w14:textId="3592B927" w:rsidR="00610D7F" w:rsidRPr="00C25C44" w:rsidRDefault="00610D7F" w:rsidP="006B504B">
      <w:pPr>
        <w:pStyle w:val="MDPI31text"/>
        <w:rPr>
          <w:i/>
        </w:rPr>
      </w:pPr>
      <w:r w:rsidRPr="00C25C44">
        <w:t xml:space="preserve">After 1:5 matching of patients with adhesive capsulitis of the shoulder with those without adhesive capsulitis using a propensity score based on age, sex, and index year, there were </w:t>
      </w:r>
      <w:r w:rsidR="00B0419F" w:rsidRPr="00C25C44">
        <w:t>8439</w:t>
      </w:r>
      <w:r w:rsidRPr="00C25C44">
        <w:t xml:space="preserve"> participants in the adhesive capsulitis group and 42,195 participants in the no adhesive capsulitis group. Mean (standard deviation) age at the index date was 75.3 (6.8) years, while the prevalence of women was 57.4% (Table 1).</w:t>
      </w:r>
    </w:p>
    <w:p w14:paraId="79AA9E4B" w14:textId="55C2C0F0" w:rsidR="00610D7F" w:rsidRPr="00C25C44" w:rsidRDefault="006B504B" w:rsidP="006B504B">
      <w:pPr>
        <w:pStyle w:val="MDPI41tablecaption"/>
      </w:pPr>
      <w:r w:rsidRPr="00C25C44">
        <w:rPr>
          <w:b/>
        </w:rPr>
        <w:t xml:space="preserve">Table 1. </w:t>
      </w:r>
      <w:r w:rsidR="00610D7F" w:rsidRPr="00C25C44">
        <w:t>Demographic characteristics of the study patients after 1:5 matching.</w:t>
      </w:r>
    </w:p>
    <w:tbl>
      <w:tblPr>
        <w:tblW w:w="7857" w:type="dxa"/>
        <w:tblInd w:w="2608" w:type="dxa"/>
        <w:tblBorders>
          <w:top w:val="single" w:sz="8" w:space="0" w:color="auto"/>
          <w:bottom w:val="single" w:sz="8" w:space="0" w:color="auto"/>
        </w:tblBorders>
        <w:tblLayout w:type="fixed"/>
        <w:tblCellMar>
          <w:left w:w="0" w:type="dxa"/>
          <w:right w:w="0" w:type="dxa"/>
        </w:tblCellMar>
        <w:tblLook w:val="04A0" w:firstRow="1" w:lastRow="0" w:firstColumn="1" w:lastColumn="0" w:noHBand="0" w:noVBand="1"/>
      </w:tblPr>
      <w:tblGrid>
        <w:gridCol w:w="1413"/>
        <w:gridCol w:w="2821"/>
        <w:gridCol w:w="2797"/>
        <w:gridCol w:w="826"/>
      </w:tblGrid>
      <w:tr w:rsidR="00610D7F" w:rsidRPr="00C25C44" w14:paraId="230A551B" w14:textId="77777777" w:rsidTr="00CE04A3">
        <w:tc>
          <w:tcPr>
            <w:tcW w:w="1413" w:type="dxa"/>
            <w:tcBorders>
              <w:top w:val="single" w:sz="8" w:space="0" w:color="auto"/>
              <w:bottom w:val="single" w:sz="4" w:space="0" w:color="auto"/>
            </w:tcBorders>
            <w:shd w:val="clear" w:color="auto" w:fill="auto"/>
            <w:vAlign w:val="center"/>
          </w:tcPr>
          <w:p w14:paraId="2187A117" w14:textId="77777777" w:rsidR="00610D7F" w:rsidRPr="00C25C44" w:rsidRDefault="00610D7F" w:rsidP="00433A16">
            <w:pPr>
              <w:pStyle w:val="MDPI42tablebody"/>
              <w:autoSpaceDE w:val="0"/>
              <w:autoSpaceDN w:val="0"/>
              <w:jc w:val="left"/>
              <w:rPr>
                <w:b/>
                <w:snapToGrid/>
                <w:szCs w:val="18"/>
              </w:rPr>
            </w:pPr>
            <w:r w:rsidRPr="00C25C44">
              <w:rPr>
                <w:b/>
                <w:bCs/>
                <w:szCs w:val="18"/>
              </w:rPr>
              <w:t>Variable</w:t>
            </w:r>
          </w:p>
        </w:tc>
        <w:tc>
          <w:tcPr>
            <w:tcW w:w="2821" w:type="dxa"/>
            <w:tcBorders>
              <w:top w:val="single" w:sz="8" w:space="0" w:color="auto"/>
              <w:bottom w:val="single" w:sz="4" w:space="0" w:color="auto"/>
            </w:tcBorders>
            <w:shd w:val="clear" w:color="auto" w:fill="auto"/>
            <w:vAlign w:val="center"/>
          </w:tcPr>
          <w:p w14:paraId="6D24318B" w14:textId="77F91937" w:rsidR="00610D7F" w:rsidRPr="00C25C44" w:rsidRDefault="00610D7F" w:rsidP="00433A16">
            <w:pPr>
              <w:autoSpaceDE w:val="0"/>
              <w:autoSpaceDN w:val="0"/>
              <w:adjustRightInd w:val="0"/>
              <w:snapToGrid w:val="0"/>
              <w:spacing w:line="240" w:lineRule="auto"/>
              <w:jc w:val="left"/>
              <w:rPr>
                <w:b/>
                <w:szCs w:val="18"/>
              </w:rPr>
            </w:pPr>
            <w:r w:rsidRPr="00C25C44">
              <w:rPr>
                <w:b/>
                <w:bCs/>
                <w:noProof w:val="0"/>
                <w:szCs w:val="18"/>
              </w:rPr>
              <w:t xml:space="preserve">Adhesive </w:t>
            </w:r>
            <w:r w:rsidR="006B504B" w:rsidRPr="00C25C44">
              <w:rPr>
                <w:b/>
                <w:bCs/>
                <w:noProof w:val="0"/>
                <w:szCs w:val="18"/>
              </w:rPr>
              <w:t xml:space="preserve">Capsulitis </w:t>
            </w:r>
            <w:r w:rsidRPr="00C25C44">
              <w:rPr>
                <w:b/>
                <w:bCs/>
                <w:noProof w:val="0"/>
                <w:szCs w:val="18"/>
              </w:rPr>
              <w:t xml:space="preserve">of the </w:t>
            </w:r>
            <w:r w:rsidR="006B504B" w:rsidRPr="00C25C44">
              <w:rPr>
                <w:b/>
                <w:bCs/>
                <w:noProof w:val="0"/>
                <w:szCs w:val="18"/>
              </w:rPr>
              <w:t xml:space="preserve">Shoulder </w:t>
            </w:r>
            <w:r w:rsidR="006B504B" w:rsidRPr="00C25C44">
              <w:rPr>
                <w:b/>
                <w:bCs/>
                <w:noProof w:val="0"/>
                <w:szCs w:val="18"/>
              </w:rPr>
              <w:br/>
            </w:r>
            <w:r w:rsidRPr="00C25C44">
              <w:rPr>
                <w:b/>
                <w:bCs/>
                <w:szCs w:val="18"/>
              </w:rPr>
              <w:t>(</w:t>
            </w:r>
            <w:r w:rsidR="00C9566E" w:rsidRPr="00C25C44">
              <w:rPr>
                <w:b/>
                <w:bCs/>
                <w:szCs w:val="18"/>
              </w:rPr>
              <w:t>n = 8</w:t>
            </w:r>
            <w:r w:rsidR="00B0419F" w:rsidRPr="00C25C44">
              <w:rPr>
                <w:b/>
                <w:bCs/>
                <w:szCs w:val="18"/>
              </w:rPr>
              <w:t>439</w:t>
            </w:r>
            <w:r w:rsidRPr="00C25C44">
              <w:rPr>
                <w:b/>
                <w:bCs/>
                <w:szCs w:val="18"/>
              </w:rPr>
              <w:t>)</w:t>
            </w:r>
          </w:p>
        </w:tc>
        <w:tc>
          <w:tcPr>
            <w:tcW w:w="2797" w:type="dxa"/>
            <w:tcBorders>
              <w:top w:val="single" w:sz="8" w:space="0" w:color="auto"/>
              <w:bottom w:val="single" w:sz="4" w:space="0" w:color="auto"/>
            </w:tcBorders>
            <w:shd w:val="clear" w:color="auto" w:fill="auto"/>
            <w:vAlign w:val="center"/>
          </w:tcPr>
          <w:p w14:paraId="738FACA2" w14:textId="1B7900DC" w:rsidR="00610D7F" w:rsidRPr="00C25C44" w:rsidRDefault="00610D7F" w:rsidP="00433A16">
            <w:pPr>
              <w:autoSpaceDE w:val="0"/>
              <w:autoSpaceDN w:val="0"/>
              <w:adjustRightInd w:val="0"/>
              <w:snapToGrid w:val="0"/>
              <w:spacing w:line="240" w:lineRule="auto"/>
              <w:jc w:val="left"/>
              <w:rPr>
                <w:b/>
                <w:szCs w:val="18"/>
              </w:rPr>
            </w:pPr>
            <w:r w:rsidRPr="00C25C44">
              <w:rPr>
                <w:b/>
                <w:bCs/>
                <w:noProof w:val="0"/>
                <w:szCs w:val="18"/>
              </w:rPr>
              <w:t xml:space="preserve">No </w:t>
            </w:r>
            <w:r w:rsidR="006B504B" w:rsidRPr="00C25C44">
              <w:rPr>
                <w:b/>
                <w:bCs/>
                <w:noProof w:val="0"/>
                <w:szCs w:val="18"/>
              </w:rPr>
              <w:t xml:space="preserve">Adhesive Capsulitis </w:t>
            </w:r>
            <w:r w:rsidRPr="00C25C44">
              <w:rPr>
                <w:b/>
                <w:bCs/>
                <w:noProof w:val="0"/>
                <w:szCs w:val="18"/>
              </w:rPr>
              <w:t xml:space="preserve">of the </w:t>
            </w:r>
            <w:r w:rsidR="006B504B" w:rsidRPr="00C25C44">
              <w:rPr>
                <w:b/>
                <w:bCs/>
                <w:noProof w:val="0"/>
                <w:szCs w:val="18"/>
              </w:rPr>
              <w:t>Shoulder</w:t>
            </w:r>
            <w:r w:rsidR="00433A16" w:rsidRPr="00C25C44">
              <w:rPr>
                <w:b/>
                <w:bCs/>
                <w:noProof w:val="0"/>
                <w:szCs w:val="18"/>
              </w:rPr>
              <w:t xml:space="preserve"> </w:t>
            </w:r>
            <w:r w:rsidR="00433A16" w:rsidRPr="00C25C44">
              <w:rPr>
                <w:b/>
                <w:bCs/>
                <w:noProof w:val="0"/>
                <w:szCs w:val="18"/>
              </w:rPr>
              <w:br/>
            </w:r>
            <w:r w:rsidRPr="00C25C44">
              <w:rPr>
                <w:b/>
                <w:bCs/>
                <w:szCs w:val="18"/>
              </w:rPr>
              <w:t>(</w:t>
            </w:r>
            <w:r w:rsidR="00C9566E" w:rsidRPr="00C25C44">
              <w:rPr>
                <w:b/>
                <w:bCs/>
                <w:szCs w:val="18"/>
              </w:rPr>
              <w:t>n = 4</w:t>
            </w:r>
            <w:r w:rsidRPr="00C25C44">
              <w:rPr>
                <w:b/>
                <w:bCs/>
                <w:szCs w:val="18"/>
              </w:rPr>
              <w:t>2,195)</w:t>
            </w:r>
          </w:p>
        </w:tc>
        <w:tc>
          <w:tcPr>
            <w:tcW w:w="826" w:type="dxa"/>
            <w:tcBorders>
              <w:top w:val="single" w:sz="8" w:space="0" w:color="auto"/>
              <w:bottom w:val="single" w:sz="4" w:space="0" w:color="auto"/>
            </w:tcBorders>
            <w:shd w:val="clear" w:color="auto" w:fill="auto"/>
            <w:vAlign w:val="center"/>
          </w:tcPr>
          <w:p w14:paraId="69DECA78" w14:textId="2C24168D" w:rsidR="00610D7F" w:rsidRPr="00C25C44" w:rsidRDefault="00C9566E" w:rsidP="00433A16">
            <w:pPr>
              <w:pStyle w:val="MDPI42tablebody"/>
              <w:autoSpaceDE w:val="0"/>
              <w:autoSpaceDN w:val="0"/>
              <w:jc w:val="left"/>
              <w:rPr>
                <w:b/>
                <w:snapToGrid/>
                <w:szCs w:val="18"/>
              </w:rPr>
            </w:pPr>
            <w:r w:rsidRPr="00C25C44">
              <w:rPr>
                <w:b/>
                <w:bCs/>
                <w:i/>
                <w:szCs w:val="18"/>
              </w:rPr>
              <w:t>p</w:t>
            </w:r>
            <w:r w:rsidR="00610D7F" w:rsidRPr="00C25C44">
              <w:rPr>
                <w:b/>
                <w:bCs/>
                <w:szCs w:val="18"/>
              </w:rPr>
              <w:t>-</w:t>
            </w:r>
            <w:r w:rsidR="00433A16" w:rsidRPr="00C25C44">
              <w:rPr>
                <w:b/>
                <w:bCs/>
                <w:szCs w:val="18"/>
              </w:rPr>
              <w:t>Value</w:t>
            </w:r>
          </w:p>
        </w:tc>
      </w:tr>
      <w:tr w:rsidR="00610D7F" w:rsidRPr="00C25C44" w14:paraId="7F83D2BA" w14:textId="77777777" w:rsidTr="00CE04A3">
        <w:tc>
          <w:tcPr>
            <w:tcW w:w="7857" w:type="dxa"/>
            <w:gridSpan w:val="4"/>
            <w:shd w:val="clear" w:color="auto" w:fill="auto"/>
            <w:vAlign w:val="center"/>
          </w:tcPr>
          <w:p w14:paraId="5E6FBBC8" w14:textId="0FE096F0" w:rsidR="00610D7F" w:rsidRPr="00C25C44" w:rsidRDefault="00610D7F" w:rsidP="00433A16">
            <w:pPr>
              <w:pStyle w:val="MDPI42tablebody"/>
              <w:autoSpaceDE w:val="0"/>
              <w:autoSpaceDN w:val="0"/>
              <w:jc w:val="left"/>
              <w:rPr>
                <w:i/>
                <w:iCs/>
                <w:szCs w:val="18"/>
              </w:rPr>
            </w:pPr>
            <w:r w:rsidRPr="00C25C44">
              <w:rPr>
                <w:i/>
                <w:iCs/>
                <w:szCs w:val="18"/>
              </w:rPr>
              <w:t xml:space="preserve">Age </w:t>
            </w:r>
            <w:r w:rsidR="00C3488F" w:rsidRPr="00C25C44">
              <w:rPr>
                <w:i/>
                <w:iCs/>
                <w:szCs w:val="18"/>
              </w:rPr>
              <w:t xml:space="preserve">(In Years) At </w:t>
            </w:r>
            <w:proofErr w:type="gramStart"/>
            <w:r w:rsidR="00C3488F" w:rsidRPr="00C25C44">
              <w:rPr>
                <w:i/>
                <w:iCs/>
                <w:szCs w:val="18"/>
              </w:rPr>
              <w:t>The</w:t>
            </w:r>
            <w:proofErr w:type="gramEnd"/>
            <w:r w:rsidR="00C3488F" w:rsidRPr="00C25C44">
              <w:rPr>
                <w:i/>
                <w:iCs/>
                <w:szCs w:val="18"/>
              </w:rPr>
              <w:t xml:space="preserve"> Index Date</w:t>
            </w:r>
          </w:p>
        </w:tc>
      </w:tr>
      <w:tr w:rsidR="00610D7F" w:rsidRPr="00C25C44" w14:paraId="69E7E1F3" w14:textId="77777777" w:rsidTr="00CE04A3">
        <w:tc>
          <w:tcPr>
            <w:tcW w:w="1413" w:type="dxa"/>
            <w:shd w:val="clear" w:color="auto" w:fill="auto"/>
            <w:vAlign w:val="center"/>
          </w:tcPr>
          <w:p w14:paraId="7F38190F" w14:textId="77777777" w:rsidR="00610D7F" w:rsidRPr="00C25C44" w:rsidRDefault="00610D7F" w:rsidP="00433A16">
            <w:pPr>
              <w:pStyle w:val="MDPI42tablebody"/>
              <w:autoSpaceDE w:val="0"/>
              <w:autoSpaceDN w:val="0"/>
              <w:jc w:val="left"/>
              <w:rPr>
                <w:szCs w:val="18"/>
              </w:rPr>
            </w:pPr>
            <w:r w:rsidRPr="00C25C44">
              <w:rPr>
                <w:szCs w:val="18"/>
              </w:rPr>
              <w:t>Mean (standard deviation)</w:t>
            </w:r>
          </w:p>
        </w:tc>
        <w:tc>
          <w:tcPr>
            <w:tcW w:w="2821" w:type="dxa"/>
            <w:shd w:val="clear" w:color="auto" w:fill="auto"/>
            <w:vAlign w:val="center"/>
          </w:tcPr>
          <w:p w14:paraId="26265F71" w14:textId="77777777" w:rsidR="00610D7F" w:rsidRPr="00C25C44" w:rsidRDefault="00610D7F" w:rsidP="00433A16">
            <w:pPr>
              <w:pStyle w:val="MDPI42tablebody"/>
              <w:autoSpaceDE w:val="0"/>
              <w:autoSpaceDN w:val="0"/>
              <w:jc w:val="left"/>
              <w:rPr>
                <w:szCs w:val="18"/>
              </w:rPr>
            </w:pPr>
            <w:r w:rsidRPr="00C25C44">
              <w:rPr>
                <w:szCs w:val="18"/>
              </w:rPr>
              <w:t>75.3 (6.8)</w:t>
            </w:r>
          </w:p>
        </w:tc>
        <w:tc>
          <w:tcPr>
            <w:tcW w:w="2797" w:type="dxa"/>
            <w:shd w:val="clear" w:color="auto" w:fill="auto"/>
            <w:vAlign w:val="center"/>
          </w:tcPr>
          <w:p w14:paraId="292849CB" w14:textId="77777777" w:rsidR="00610D7F" w:rsidRPr="00C25C44" w:rsidRDefault="00610D7F" w:rsidP="00433A16">
            <w:pPr>
              <w:pStyle w:val="MDPI42tablebody"/>
              <w:autoSpaceDE w:val="0"/>
              <w:autoSpaceDN w:val="0"/>
              <w:jc w:val="left"/>
              <w:rPr>
                <w:szCs w:val="18"/>
              </w:rPr>
            </w:pPr>
            <w:r w:rsidRPr="00C25C44">
              <w:rPr>
                <w:szCs w:val="18"/>
              </w:rPr>
              <w:t>75.3 (6.8)</w:t>
            </w:r>
          </w:p>
        </w:tc>
        <w:tc>
          <w:tcPr>
            <w:tcW w:w="826" w:type="dxa"/>
            <w:shd w:val="clear" w:color="auto" w:fill="auto"/>
            <w:vAlign w:val="center"/>
          </w:tcPr>
          <w:p w14:paraId="09A3BF20" w14:textId="77777777" w:rsidR="00610D7F" w:rsidRPr="00C25C44" w:rsidRDefault="00610D7F" w:rsidP="00433A16">
            <w:pPr>
              <w:pStyle w:val="MDPI42tablebody"/>
              <w:autoSpaceDE w:val="0"/>
              <w:autoSpaceDN w:val="0"/>
              <w:jc w:val="left"/>
              <w:rPr>
                <w:szCs w:val="18"/>
              </w:rPr>
            </w:pPr>
            <w:r w:rsidRPr="00C25C44">
              <w:rPr>
                <w:szCs w:val="18"/>
              </w:rPr>
              <w:t>0.856</w:t>
            </w:r>
          </w:p>
        </w:tc>
      </w:tr>
      <w:tr w:rsidR="00610D7F" w:rsidRPr="00C25C44" w14:paraId="58394327" w14:textId="77777777" w:rsidTr="00CE04A3">
        <w:tc>
          <w:tcPr>
            <w:tcW w:w="1413" w:type="dxa"/>
            <w:shd w:val="clear" w:color="auto" w:fill="auto"/>
            <w:vAlign w:val="center"/>
          </w:tcPr>
          <w:p w14:paraId="7FD4115F" w14:textId="40B202BC" w:rsidR="00610D7F" w:rsidRPr="00C25C44" w:rsidRDefault="00610D7F" w:rsidP="00433A16">
            <w:pPr>
              <w:pStyle w:val="MDPI42tablebody"/>
              <w:autoSpaceDE w:val="0"/>
              <w:autoSpaceDN w:val="0"/>
              <w:jc w:val="left"/>
              <w:rPr>
                <w:szCs w:val="18"/>
              </w:rPr>
            </w:pPr>
            <w:r w:rsidRPr="00C25C44">
              <w:rPr>
                <w:szCs w:val="18"/>
              </w:rPr>
              <w:t>6</w:t>
            </w:r>
            <w:r w:rsidR="00B0419F" w:rsidRPr="00C25C44">
              <w:rPr>
                <w:szCs w:val="18"/>
              </w:rPr>
              <w:t>5–70</w:t>
            </w:r>
          </w:p>
        </w:tc>
        <w:tc>
          <w:tcPr>
            <w:tcW w:w="2821" w:type="dxa"/>
            <w:shd w:val="clear" w:color="auto" w:fill="auto"/>
            <w:vAlign w:val="center"/>
          </w:tcPr>
          <w:p w14:paraId="05AB7183" w14:textId="75F4EF3D" w:rsidR="00610D7F" w:rsidRPr="00C25C44" w:rsidRDefault="00B0419F" w:rsidP="00433A16">
            <w:pPr>
              <w:pStyle w:val="MDPI42tablebody"/>
              <w:autoSpaceDE w:val="0"/>
              <w:autoSpaceDN w:val="0"/>
              <w:jc w:val="left"/>
              <w:rPr>
                <w:szCs w:val="18"/>
              </w:rPr>
            </w:pPr>
            <w:r w:rsidRPr="00C25C44">
              <w:rPr>
                <w:szCs w:val="18"/>
              </w:rPr>
              <w:t>2451</w:t>
            </w:r>
            <w:r w:rsidR="00610D7F" w:rsidRPr="00C25C44">
              <w:rPr>
                <w:szCs w:val="18"/>
              </w:rPr>
              <w:t xml:space="preserve"> (29.0)</w:t>
            </w:r>
          </w:p>
        </w:tc>
        <w:tc>
          <w:tcPr>
            <w:tcW w:w="2797" w:type="dxa"/>
            <w:shd w:val="clear" w:color="auto" w:fill="auto"/>
            <w:vAlign w:val="center"/>
          </w:tcPr>
          <w:p w14:paraId="1D2E55C8" w14:textId="77777777" w:rsidR="00610D7F" w:rsidRPr="00C25C44" w:rsidRDefault="00610D7F" w:rsidP="00433A16">
            <w:pPr>
              <w:pStyle w:val="MDPI42tablebody"/>
              <w:autoSpaceDE w:val="0"/>
              <w:autoSpaceDN w:val="0"/>
              <w:jc w:val="left"/>
              <w:rPr>
                <w:szCs w:val="18"/>
              </w:rPr>
            </w:pPr>
            <w:r w:rsidRPr="00C25C44">
              <w:rPr>
                <w:szCs w:val="18"/>
              </w:rPr>
              <w:t>12,430 (29.5)</w:t>
            </w:r>
          </w:p>
        </w:tc>
        <w:tc>
          <w:tcPr>
            <w:tcW w:w="826" w:type="dxa"/>
            <w:vMerge w:val="restart"/>
            <w:shd w:val="clear" w:color="auto" w:fill="auto"/>
            <w:vAlign w:val="center"/>
          </w:tcPr>
          <w:p w14:paraId="159D8D0F" w14:textId="77777777" w:rsidR="00610D7F" w:rsidRPr="00C25C44" w:rsidRDefault="00610D7F" w:rsidP="00433A16">
            <w:pPr>
              <w:pStyle w:val="MDPI42tablebody"/>
              <w:autoSpaceDE w:val="0"/>
              <w:autoSpaceDN w:val="0"/>
              <w:jc w:val="left"/>
              <w:rPr>
                <w:szCs w:val="18"/>
              </w:rPr>
            </w:pPr>
            <w:r w:rsidRPr="00C25C44">
              <w:rPr>
                <w:szCs w:val="18"/>
              </w:rPr>
              <w:t>0.935</w:t>
            </w:r>
          </w:p>
        </w:tc>
      </w:tr>
      <w:tr w:rsidR="00610D7F" w:rsidRPr="00C25C44" w14:paraId="3A76B069" w14:textId="77777777" w:rsidTr="00CE04A3">
        <w:tc>
          <w:tcPr>
            <w:tcW w:w="1413" w:type="dxa"/>
            <w:shd w:val="clear" w:color="auto" w:fill="auto"/>
            <w:vAlign w:val="center"/>
          </w:tcPr>
          <w:p w14:paraId="27D20CAE" w14:textId="158ACF88" w:rsidR="00610D7F" w:rsidRPr="00C25C44" w:rsidRDefault="00610D7F" w:rsidP="00433A16">
            <w:pPr>
              <w:pStyle w:val="MDPI42tablebody"/>
              <w:autoSpaceDE w:val="0"/>
              <w:autoSpaceDN w:val="0"/>
              <w:jc w:val="left"/>
              <w:rPr>
                <w:szCs w:val="18"/>
              </w:rPr>
            </w:pPr>
            <w:r w:rsidRPr="00C25C44">
              <w:rPr>
                <w:szCs w:val="18"/>
              </w:rPr>
              <w:t>7</w:t>
            </w:r>
            <w:r w:rsidR="00B0419F" w:rsidRPr="00C25C44">
              <w:rPr>
                <w:szCs w:val="18"/>
              </w:rPr>
              <w:t>1–75</w:t>
            </w:r>
          </w:p>
        </w:tc>
        <w:tc>
          <w:tcPr>
            <w:tcW w:w="2821" w:type="dxa"/>
            <w:shd w:val="clear" w:color="auto" w:fill="auto"/>
            <w:vAlign w:val="center"/>
          </w:tcPr>
          <w:p w14:paraId="403D3D10" w14:textId="19306F5F" w:rsidR="00610D7F" w:rsidRPr="00C25C44" w:rsidRDefault="00B0419F" w:rsidP="00433A16">
            <w:pPr>
              <w:pStyle w:val="MDPI42tablebody"/>
              <w:autoSpaceDE w:val="0"/>
              <w:autoSpaceDN w:val="0"/>
              <w:jc w:val="left"/>
              <w:rPr>
                <w:szCs w:val="18"/>
              </w:rPr>
            </w:pPr>
            <w:r w:rsidRPr="00C25C44">
              <w:rPr>
                <w:szCs w:val="18"/>
              </w:rPr>
              <w:t>2032</w:t>
            </w:r>
            <w:r w:rsidR="00610D7F" w:rsidRPr="00C25C44">
              <w:rPr>
                <w:szCs w:val="18"/>
              </w:rPr>
              <w:t xml:space="preserve"> (24.1)</w:t>
            </w:r>
          </w:p>
        </w:tc>
        <w:tc>
          <w:tcPr>
            <w:tcW w:w="2797" w:type="dxa"/>
            <w:shd w:val="clear" w:color="auto" w:fill="auto"/>
            <w:vAlign w:val="center"/>
          </w:tcPr>
          <w:p w14:paraId="085C5E17" w14:textId="6113608F" w:rsidR="00610D7F" w:rsidRPr="00C25C44" w:rsidRDefault="00B0419F" w:rsidP="00433A16">
            <w:pPr>
              <w:pStyle w:val="MDPI42tablebody"/>
              <w:autoSpaceDE w:val="0"/>
              <w:autoSpaceDN w:val="0"/>
              <w:jc w:val="left"/>
              <w:rPr>
                <w:szCs w:val="18"/>
              </w:rPr>
            </w:pPr>
            <w:r w:rsidRPr="00C25C44">
              <w:rPr>
                <w:szCs w:val="18"/>
              </w:rPr>
              <w:t>9939</w:t>
            </w:r>
            <w:r w:rsidR="00610D7F" w:rsidRPr="00C25C44">
              <w:rPr>
                <w:szCs w:val="18"/>
              </w:rPr>
              <w:t xml:space="preserve"> (23.6)</w:t>
            </w:r>
          </w:p>
        </w:tc>
        <w:tc>
          <w:tcPr>
            <w:tcW w:w="826" w:type="dxa"/>
            <w:vMerge/>
            <w:shd w:val="clear" w:color="auto" w:fill="auto"/>
            <w:vAlign w:val="center"/>
          </w:tcPr>
          <w:p w14:paraId="5A925293" w14:textId="77777777" w:rsidR="00610D7F" w:rsidRPr="00C25C44" w:rsidRDefault="00610D7F" w:rsidP="00433A16">
            <w:pPr>
              <w:pStyle w:val="MDPI42tablebody"/>
              <w:autoSpaceDE w:val="0"/>
              <w:autoSpaceDN w:val="0"/>
              <w:jc w:val="left"/>
              <w:rPr>
                <w:szCs w:val="18"/>
              </w:rPr>
            </w:pPr>
          </w:p>
        </w:tc>
      </w:tr>
      <w:tr w:rsidR="00610D7F" w:rsidRPr="00C25C44" w14:paraId="253AE1BB" w14:textId="77777777" w:rsidTr="00CE04A3">
        <w:tc>
          <w:tcPr>
            <w:tcW w:w="1413" w:type="dxa"/>
            <w:shd w:val="clear" w:color="auto" w:fill="auto"/>
            <w:vAlign w:val="center"/>
          </w:tcPr>
          <w:p w14:paraId="765A9245" w14:textId="3FA4279E" w:rsidR="00610D7F" w:rsidRPr="00C25C44" w:rsidRDefault="00610D7F" w:rsidP="00433A16">
            <w:pPr>
              <w:pStyle w:val="MDPI42tablebody"/>
              <w:autoSpaceDE w:val="0"/>
              <w:autoSpaceDN w:val="0"/>
              <w:jc w:val="left"/>
              <w:rPr>
                <w:szCs w:val="18"/>
              </w:rPr>
            </w:pPr>
            <w:r w:rsidRPr="00C25C44">
              <w:rPr>
                <w:szCs w:val="18"/>
              </w:rPr>
              <w:t>7</w:t>
            </w:r>
            <w:r w:rsidR="00B0419F" w:rsidRPr="00C25C44">
              <w:rPr>
                <w:szCs w:val="18"/>
              </w:rPr>
              <w:t>6–80</w:t>
            </w:r>
          </w:p>
        </w:tc>
        <w:tc>
          <w:tcPr>
            <w:tcW w:w="2821" w:type="dxa"/>
            <w:shd w:val="clear" w:color="auto" w:fill="auto"/>
            <w:vAlign w:val="center"/>
          </w:tcPr>
          <w:p w14:paraId="0BAA5103" w14:textId="4DE98BBE" w:rsidR="00610D7F" w:rsidRPr="00C25C44" w:rsidRDefault="00B0419F" w:rsidP="00433A16">
            <w:pPr>
              <w:pStyle w:val="MDPI42tablebody"/>
              <w:autoSpaceDE w:val="0"/>
              <w:autoSpaceDN w:val="0"/>
              <w:jc w:val="left"/>
              <w:rPr>
                <w:szCs w:val="18"/>
              </w:rPr>
            </w:pPr>
            <w:r w:rsidRPr="00C25C44">
              <w:rPr>
                <w:szCs w:val="18"/>
              </w:rPr>
              <w:t>1955</w:t>
            </w:r>
            <w:r w:rsidR="00610D7F" w:rsidRPr="00C25C44">
              <w:rPr>
                <w:szCs w:val="18"/>
              </w:rPr>
              <w:t xml:space="preserve"> (23.2)</w:t>
            </w:r>
          </w:p>
        </w:tc>
        <w:tc>
          <w:tcPr>
            <w:tcW w:w="2797" w:type="dxa"/>
            <w:shd w:val="clear" w:color="auto" w:fill="auto"/>
            <w:vAlign w:val="center"/>
          </w:tcPr>
          <w:p w14:paraId="1FF2A1F4" w14:textId="0B7F2CEC" w:rsidR="00610D7F" w:rsidRPr="00C25C44" w:rsidRDefault="00B0419F" w:rsidP="00433A16">
            <w:pPr>
              <w:pStyle w:val="MDPI42tablebody"/>
              <w:autoSpaceDE w:val="0"/>
              <w:autoSpaceDN w:val="0"/>
              <w:jc w:val="left"/>
              <w:rPr>
                <w:szCs w:val="18"/>
              </w:rPr>
            </w:pPr>
            <w:r w:rsidRPr="00C25C44">
              <w:rPr>
                <w:szCs w:val="18"/>
              </w:rPr>
              <w:t>9739</w:t>
            </w:r>
            <w:r w:rsidR="00610D7F" w:rsidRPr="00C25C44">
              <w:rPr>
                <w:szCs w:val="18"/>
              </w:rPr>
              <w:t xml:space="preserve"> (23.1)</w:t>
            </w:r>
          </w:p>
        </w:tc>
        <w:tc>
          <w:tcPr>
            <w:tcW w:w="826" w:type="dxa"/>
            <w:vMerge/>
            <w:shd w:val="clear" w:color="auto" w:fill="auto"/>
            <w:vAlign w:val="center"/>
          </w:tcPr>
          <w:p w14:paraId="3A3BDA85" w14:textId="77777777" w:rsidR="00610D7F" w:rsidRPr="00C25C44" w:rsidRDefault="00610D7F" w:rsidP="00433A16">
            <w:pPr>
              <w:pStyle w:val="MDPI42tablebody"/>
              <w:autoSpaceDE w:val="0"/>
              <w:autoSpaceDN w:val="0"/>
              <w:jc w:val="left"/>
              <w:rPr>
                <w:szCs w:val="18"/>
              </w:rPr>
            </w:pPr>
          </w:p>
        </w:tc>
      </w:tr>
      <w:tr w:rsidR="00610D7F" w:rsidRPr="00C25C44" w14:paraId="21A1B89D" w14:textId="77777777" w:rsidTr="00CE04A3">
        <w:tc>
          <w:tcPr>
            <w:tcW w:w="1413" w:type="dxa"/>
            <w:shd w:val="clear" w:color="auto" w:fill="auto"/>
            <w:vAlign w:val="center"/>
          </w:tcPr>
          <w:p w14:paraId="5EF28C5D" w14:textId="77777777" w:rsidR="00610D7F" w:rsidRPr="00C25C44" w:rsidRDefault="00610D7F" w:rsidP="00433A16">
            <w:pPr>
              <w:pStyle w:val="MDPI42tablebody"/>
              <w:autoSpaceDE w:val="0"/>
              <w:autoSpaceDN w:val="0"/>
              <w:jc w:val="left"/>
              <w:rPr>
                <w:szCs w:val="18"/>
              </w:rPr>
            </w:pPr>
            <w:r w:rsidRPr="00C25C44">
              <w:rPr>
                <w:szCs w:val="18"/>
              </w:rPr>
              <w:t>&gt;80</w:t>
            </w:r>
          </w:p>
        </w:tc>
        <w:tc>
          <w:tcPr>
            <w:tcW w:w="2821" w:type="dxa"/>
            <w:shd w:val="clear" w:color="auto" w:fill="auto"/>
            <w:vAlign w:val="center"/>
          </w:tcPr>
          <w:p w14:paraId="19FFA5ED" w14:textId="31140ADE" w:rsidR="00610D7F" w:rsidRPr="00C25C44" w:rsidRDefault="00B0419F" w:rsidP="00433A16">
            <w:pPr>
              <w:pStyle w:val="MDPI42tablebody"/>
              <w:autoSpaceDE w:val="0"/>
              <w:autoSpaceDN w:val="0"/>
              <w:jc w:val="left"/>
              <w:rPr>
                <w:szCs w:val="18"/>
              </w:rPr>
            </w:pPr>
            <w:r w:rsidRPr="00C25C44">
              <w:rPr>
                <w:szCs w:val="18"/>
              </w:rPr>
              <w:t>2001</w:t>
            </w:r>
            <w:r w:rsidR="00610D7F" w:rsidRPr="00C25C44">
              <w:rPr>
                <w:szCs w:val="18"/>
              </w:rPr>
              <w:t xml:space="preserve"> (23.7)</w:t>
            </w:r>
          </w:p>
        </w:tc>
        <w:tc>
          <w:tcPr>
            <w:tcW w:w="2797" w:type="dxa"/>
            <w:shd w:val="clear" w:color="auto" w:fill="auto"/>
            <w:vAlign w:val="center"/>
          </w:tcPr>
          <w:p w14:paraId="7F8D3C47" w14:textId="77777777" w:rsidR="00610D7F" w:rsidRPr="00C25C44" w:rsidRDefault="00610D7F" w:rsidP="00433A16">
            <w:pPr>
              <w:pStyle w:val="MDPI42tablebody"/>
              <w:autoSpaceDE w:val="0"/>
              <w:autoSpaceDN w:val="0"/>
              <w:jc w:val="left"/>
              <w:rPr>
                <w:szCs w:val="18"/>
              </w:rPr>
            </w:pPr>
            <w:r w:rsidRPr="00C25C44">
              <w:rPr>
                <w:szCs w:val="18"/>
              </w:rPr>
              <w:t>10,087 (23.9)</w:t>
            </w:r>
          </w:p>
        </w:tc>
        <w:tc>
          <w:tcPr>
            <w:tcW w:w="826" w:type="dxa"/>
            <w:vMerge/>
            <w:shd w:val="clear" w:color="auto" w:fill="auto"/>
            <w:vAlign w:val="center"/>
          </w:tcPr>
          <w:p w14:paraId="684E5F0F" w14:textId="77777777" w:rsidR="00610D7F" w:rsidRPr="00C25C44" w:rsidRDefault="00610D7F" w:rsidP="00433A16">
            <w:pPr>
              <w:pStyle w:val="MDPI42tablebody"/>
              <w:autoSpaceDE w:val="0"/>
              <w:autoSpaceDN w:val="0"/>
              <w:jc w:val="left"/>
              <w:rPr>
                <w:szCs w:val="18"/>
              </w:rPr>
            </w:pPr>
          </w:p>
        </w:tc>
      </w:tr>
      <w:tr w:rsidR="00610D7F" w:rsidRPr="00C25C44" w14:paraId="6F493FA5" w14:textId="77777777" w:rsidTr="00CE04A3">
        <w:tc>
          <w:tcPr>
            <w:tcW w:w="7857" w:type="dxa"/>
            <w:gridSpan w:val="4"/>
            <w:shd w:val="clear" w:color="auto" w:fill="auto"/>
            <w:vAlign w:val="center"/>
          </w:tcPr>
          <w:p w14:paraId="543423AB" w14:textId="77777777" w:rsidR="00610D7F" w:rsidRPr="00C25C44" w:rsidRDefault="00610D7F" w:rsidP="00433A16">
            <w:pPr>
              <w:pStyle w:val="MDPI42tablebody"/>
              <w:autoSpaceDE w:val="0"/>
              <w:autoSpaceDN w:val="0"/>
              <w:jc w:val="left"/>
              <w:rPr>
                <w:i/>
                <w:iCs/>
                <w:szCs w:val="18"/>
              </w:rPr>
            </w:pPr>
            <w:r w:rsidRPr="00C25C44">
              <w:rPr>
                <w:i/>
                <w:iCs/>
                <w:szCs w:val="18"/>
              </w:rPr>
              <w:t>Sex</w:t>
            </w:r>
          </w:p>
        </w:tc>
      </w:tr>
      <w:tr w:rsidR="00610D7F" w:rsidRPr="00C25C44" w14:paraId="562AE1D1" w14:textId="77777777" w:rsidTr="00CE04A3">
        <w:tc>
          <w:tcPr>
            <w:tcW w:w="1413" w:type="dxa"/>
            <w:shd w:val="clear" w:color="auto" w:fill="auto"/>
            <w:vAlign w:val="center"/>
          </w:tcPr>
          <w:p w14:paraId="681B85B0" w14:textId="77777777" w:rsidR="00610D7F" w:rsidRPr="00C25C44" w:rsidRDefault="00610D7F" w:rsidP="00433A16">
            <w:pPr>
              <w:pStyle w:val="MDPI42tablebody"/>
              <w:autoSpaceDE w:val="0"/>
              <w:autoSpaceDN w:val="0"/>
              <w:jc w:val="left"/>
              <w:rPr>
                <w:szCs w:val="18"/>
              </w:rPr>
            </w:pPr>
            <w:r w:rsidRPr="00C25C44">
              <w:rPr>
                <w:szCs w:val="18"/>
              </w:rPr>
              <w:t>Female</w:t>
            </w:r>
          </w:p>
        </w:tc>
        <w:tc>
          <w:tcPr>
            <w:tcW w:w="2821" w:type="dxa"/>
            <w:shd w:val="clear" w:color="auto" w:fill="auto"/>
            <w:vAlign w:val="center"/>
          </w:tcPr>
          <w:p w14:paraId="02E4AEBF" w14:textId="159FFB57" w:rsidR="00610D7F" w:rsidRPr="00C25C44" w:rsidRDefault="00B0419F" w:rsidP="00433A16">
            <w:pPr>
              <w:pStyle w:val="MDPI42tablebody"/>
              <w:autoSpaceDE w:val="0"/>
              <w:autoSpaceDN w:val="0"/>
              <w:jc w:val="left"/>
              <w:rPr>
                <w:szCs w:val="18"/>
              </w:rPr>
            </w:pPr>
            <w:r w:rsidRPr="00C25C44">
              <w:rPr>
                <w:szCs w:val="18"/>
              </w:rPr>
              <w:t>4841</w:t>
            </w:r>
            <w:r w:rsidR="00610D7F" w:rsidRPr="00C25C44">
              <w:rPr>
                <w:szCs w:val="18"/>
              </w:rPr>
              <w:t xml:space="preserve"> (57.4)</w:t>
            </w:r>
          </w:p>
        </w:tc>
        <w:tc>
          <w:tcPr>
            <w:tcW w:w="2797" w:type="dxa"/>
            <w:shd w:val="clear" w:color="auto" w:fill="auto"/>
            <w:vAlign w:val="center"/>
          </w:tcPr>
          <w:p w14:paraId="1A1087E4" w14:textId="77777777" w:rsidR="00610D7F" w:rsidRPr="00C25C44" w:rsidRDefault="00610D7F" w:rsidP="00433A16">
            <w:pPr>
              <w:pStyle w:val="MDPI42tablebody"/>
              <w:autoSpaceDE w:val="0"/>
              <w:autoSpaceDN w:val="0"/>
              <w:jc w:val="left"/>
              <w:rPr>
                <w:szCs w:val="18"/>
              </w:rPr>
            </w:pPr>
            <w:r w:rsidRPr="00C25C44">
              <w:rPr>
                <w:szCs w:val="18"/>
              </w:rPr>
              <w:t>24,204 (57.4)</w:t>
            </w:r>
          </w:p>
        </w:tc>
        <w:tc>
          <w:tcPr>
            <w:tcW w:w="826" w:type="dxa"/>
            <w:vMerge w:val="restart"/>
            <w:shd w:val="clear" w:color="auto" w:fill="auto"/>
            <w:vAlign w:val="center"/>
          </w:tcPr>
          <w:p w14:paraId="0739F9A5" w14:textId="77777777" w:rsidR="00610D7F" w:rsidRPr="00C25C44" w:rsidRDefault="00610D7F" w:rsidP="00433A16">
            <w:pPr>
              <w:pStyle w:val="MDPI42tablebody"/>
              <w:autoSpaceDE w:val="0"/>
              <w:autoSpaceDN w:val="0"/>
              <w:jc w:val="left"/>
              <w:rPr>
                <w:szCs w:val="18"/>
              </w:rPr>
            </w:pPr>
            <w:r w:rsidRPr="00C25C44">
              <w:rPr>
                <w:szCs w:val="18"/>
              </w:rPr>
              <w:t>1.000</w:t>
            </w:r>
          </w:p>
        </w:tc>
      </w:tr>
      <w:tr w:rsidR="00610D7F" w:rsidRPr="00C25C44" w14:paraId="6DDE0ECF" w14:textId="77777777" w:rsidTr="00CE04A3">
        <w:tc>
          <w:tcPr>
            <w:tcW w:w="1413" w:type="dxa"/>
            <w:tcBorders>
              <w:bottom w:val="single" w:sz="8" w:space="0" w:color="auto"/>
            </w:tcBorders>
            <w:shd w:val="clear" w:color="auto" w:fill="auto"/>
            <w:vAlign w:val="center"/>
          </w:tcPr>
          <w:p w14:paraId="4625F594" w14:textId="77777777" w:rsidR="00610D7F" w:rsidRPr="00C25C44" w:rsidRDefault="00610D7F" w:rsidP="00433A16">
            <w:pPr>
              <w:pStyle w:val="MDPI42tablebody"/>
              <w:autoSpaceDE w:val="0"/>
              <w:autoSpaceDN w:val="0"/>
              <w:jc w:val="left"/>
              <w:rPr>
                <w:szCs w:val="18"/>
              </w:rPr>
            </w:pPr>
            <w:r w:rsidRPr="00C25C44">
              <w:rPr>
                <w:szCs w:val="18"/>
              </w:rPr>
              <w:t>Male</w:t>
            </w:r>
          </w:p>
        </w:tc>
        <w:tc>
          <w:tcPr>
            <w:tcW w:w="2821" w:type="dxa"/>
            <w:tcBorders>
              <w:bottom w:val="single" w:sz="8" w:space="0" w:color="auto"/>
            </w:tcBorders>
            <w:shd w:val="clear" w:color="auto" w:fill="auto"/>
            <w:vAlign w:val="center"/>
          </w:tcPr>
          <w:p w14:paraId="394B02C3" w14:textId="2FC89445" w:rsidR="00610D7F" w:rsidRPr="00C25C44" w:rsidRDefault="00B0419F" w:rsidP="00433A16">
            <w:pPr>
              <w:pStyle w:val="MDPI42tablebody"/>
              <w:autoSpaceDE w:val="0"/>
              <w:autoSpaceDN w:val="0"/>
              <w:jc w:val="left"/>
              <w:rPr>
                <w:szCs w:val="18"/>
              </w:rPr>
            </w:pPr>
            <w:r w:rsidRPr="00C25C44">
              <w:rPr>
                <w:szCs w:val="18"/>
              </w:rPr>
              <w:t>3598</w:t>
            </w:r>
            <w:r w:rsidR="00610D7F" w:rsidRPr="00C25C44">
              <w:rPr>
                <w:szCs w:val="18"/>
              </w:rPr>
              <w:t xml:space="preserve"> (42.6)</w:t>
            </w:r>
          </w:p>
        </w:tc>
        <w:tc>
          <w:tcPr>
            <w:tcW w:w="2797" w:type="dxa"/>
            <w:tcBorders>
              <w:bottom w:val="single" w:sz="8" w:space="0" w:color="auto"/>
            </w:tcBorders>
            <w:shd w:val="clear" w:color="auto" w:fill="auto"/>
            <w:vAlign w:val="center"/>
          </w:tcPr>
          <w:p w14:paraId="0DB5BE12" w14:textId="77777777" w:rsidR="00610D7F" w:rsidRPr="00C25C44" w:rsidRDefault="00610D7F" w:rsidP="00433A16">
            <w:pPr>
              <w:pStyle w:val="MDPI42tablebody"/>
              <w:autoSpaceDE w:val="0"/>
              <w:autoSpaceDN w:val="0"/>
              <w:jc w:val="left"/>
              <w:rPr>
                <w:szCs w:val="18"/>
              </w:rPr>
            </w:pPr>
            <w:r w:rsidRPr="00C25C44">
              <w:rPr>
                <w:szCs w:val="18"/>
              </w:rPr>
              <w:t>17,991 (42.6)</w:t>
            </w:r>
          </w:p>
        </w:tc>
        <w:tc>
          <w:tcPr>
            <w:tcW w:w="826" w:type="dxa"/>
            <w:vMerge/>
            <w:tcBorders>
              <w:bottom w:val="single" w:sz="8" w:space="0" w:color="auto"/>
            </w:tcBorders>
            <w:shd w:val="clear" w:color="auto" w:fill="auto"/>
            <w:vAlign w:val="center"/>
          </w:tcPr>
          <w:p w14:paraId="10497A1B" w14:textId="77777777" w:rsidR="00610D7F" w:rsidRPr="00C25C44" w:rsidRDefault="00610D7F" w:rsidP="00433A16">
            <w:pPr>
              <w:pStyle w:val="MDPI42tablebody"/>
              <w:autoSpaceDE w:val="0"/>
              <w:autoSpaceDN w:val="0"/>
            </w:pPr>
          </w:p>
        </w:tc>
      </w:tr>
    </w:tbl>
    <w:p w14:paraId="7AEB1375" w14:textId="27001AC2" w:rsidR="00610D7F" w:rsidRPr="00C25C44" w:rsidRDefault="00610D7F" w:rsidP="00433A16">
      <w:pPr>
        <w:pStyle w:val="MDPI43tablefooter"/>
        <w:jc w:val="left"/>
      </w:pPr>
      <w:r w:rsidRPr="00C25C44">
        <w:lastRenderedPageBreak/>
        <w:t xml:space="preserve">Data are N (%) unless otherwise stated. Patients without adhesive capsulitis of the shoulder were matched to those with adhesive capsulitis of the shoulder using a propensity score based on age, sex, and index year. </w:t>
      </w:r>
      <w:r w:rsidR="00C9566E" w:rsidRPr="00C25C44">
        <w:rPr>
          <w:i/>
        </w:rPr>
        <w:t>p</w:t>
      </w:r>
      <w:r w:rsidRPr="00C25C44">
        <w:t xml:space="preserve">-values were obtained using the Wilcoxon signed-rank test for continuous age, the Stuart-Maxwell test for categorical age, and the </w:t>
      </w:r>
      <w:proofErr w:type="spellStart"/>
      <w:r w:rsidRPr="00C25C44">
        <w:t>McNemar</w:t>
      </w:r>
      <w:proofErr w:type="spellEnd"/>
      <w:r w:rsidRPr="00C25C44">
        <w:t xml:space="preserve"> test for sex.</w:t>
      </w:r>
    </w:p>
    <w:p w14:paraId="3EB1B8DC" w14:textId="1E916F94" w:rsidR="00610D7F" w:rsidRPr="00C25C44" w:rsidRDefault="00610D7F" w:rsidP="00610D7F">
      <w:pPr>
        <w:pStyle w:val="MDPI22heading2"/>
        <w:spacing w:before="240"/>
      </w:pPr>
      <w:r w:rsidRPr="00C25C44">
        <w:t xml:space="preserve">3.3. Physical and </w:t>
      </w:r>
      <w:r w:rsidR="00AE48F6" w:rsidRPr="00C25C44">
        <w:t xml:space="preserve">Psychiatric Conditions Associated </w:t>
      </w:r>
      <w:r w:rsidRPr="00C25C44">
        <w:t xml:space="preserve">with </w:t>
      </w:r>
      <w:r w:rsidR="00AE48F6" w:rsidRPr="00C25C44">
        <w:t xml:space="preserve">Adhesive Capsulitis </w:t>
      </w:r>
      <w:r w:rsidRPr="00C25C44">
        <w:t xml:space="preserve">of the </w:t>
      </w:r>
      <w:r w:rsidR="00AE48F6" w:rsidRPr="00C25C44">
        <w:t>Shoulder</w:t>
      </w:r>
    </w:p>
    <w:p w14:paraId="430D9621" w14:textId="4F3DCD86" w:rsidR="00610D7F" w:rsidRPr="00C25C44" w:rsidRDefault="00610D7F" w:rsidP="00AE48F6">
      <w:pPr>
        <w:pStyle w:val="MDPI31text"/>
      </w:pPr>
      <w:r w:rsidRPr="00C25C44">
        <w:t>The results of the adjusted logistic regression model are shown in Table 2. There were 12 physical and psychiatric conditions positively and significantly associated with the diagnosis of adhesive capsulitis of the shoulder between 2010 and 2021. These conditions were documented in the five years prior to the index date (i.e., the first diagnosis of adhesive capsulitis), and included other and unspecified osteoarthritis (O</w:t>
      </w:r>
      <w:r w:rsidR="00C9566E" w:rsidRPr="00C25C44">
        <w:t>R = 1</w:t>
      </w:r>
      <w:r w:rsidRPr="00C25C44">
        <w:t>.93, 95% C</w:t>
      </w:r>
      <w:r w:rsidR="00C9566E" w:rsidRPr="00C25C44">
        <w:t>I = 1</w:t>
      </w:r>
      <w:r w:rsidRPr="00C25C44">
        <w:t>.7</w:t>
      </w:r>
      <w:r w:rsidR="00C9566E" w:rsidRPr="00C25C44">
        <w:t>9–2</w:t>
      </w:r>
      <w:r w:rsidRPr="00C25C44">
        <w:t>.07), injury to the shoulder and upper arm (O</w:t>
      </w:r>
      <w:r w:rsidR="00C9566E" w:rsidRPr="00C25C44">
        <w:t>R = 1</w:t>
      </w:r>
      <w:r w:rsidRPr="00C25C44">
        <w:t>.85, 95% C</w:t>
      </w:r>
      <w:r w:rsidR="00C9566E" w:rsidRPr="00C25C44">
        <w:t>I = 1</w:t>
      </w:r>
      <w:r w:rsidRPr="00C25C44">
        <w:t>.6</w:t>
      </w:r>
      <w:r w:rsidR="00C9566E" w:rsidRPr="00C25C44">
        <w:t>6–2</w:t>
      </w:r>
      <w:r w:rsidRPr="00C25C44">
        <w:t>.05), injury to the thorax (O</w:t>
      </w:r>
      <w:r w:rsidR="00C9566E" w:rsidRPr="00C25C44">
        <w:t>R = 1</w:t>
      </w:r>
      <w:r w:rsidRPr="00C25C44">
        <w:t>.47, 95% C</w:t>
      </w:r>
      <w:r w:rsidR="00C9566E" w:rsidRPr="00C25C44">
        <w:t>I = 1</w:t>
      </w:r>
      <w:r w:rsidRPr="00C25C44">
        <w:t>.3</w:t>
      </w:r>
      <w:r w:rsidR="00C9566E" w:rsidRPr="00C25C44">
        <w:t>4–1</w:t>
      </w:r>
      <w:r w:rsidRPr="00C25C44">
        <w:t xml:space="preserve">.61), </w:t>
      </w:r>
      <w:proofErr w:type="spellStart"/>
      <w:r w:rsidRPr="00C25C44">
        <w:t>polyosteoarthritis</w:t>
      </w:r>
      <w:proofErr w:type="spellEnd"/>
      <w:r w:rsidRPr="00C25C44">
        <w:t xml:space="preserve"> (O</w:t>
      </w:r>
      <w:r w:rsidR="00C9566E" w:rsidRPr="00C25C44">
        <w:t>R = 1</w:t>
      </w:r>
      <w:r w:rsidRPr="00C25C44">
        <w:t>.44, 95% C</w:t>
      </w:r>
      <w:r w:rsidR="00C9566E" w:rsidRPr="00C25C44">
        <w:t>I = 1</w:t>
      </w:r>
      <w:r w:rsidRPr="00C25C44">
        <w:t>.3</w:t>
      </w:r>
      <w:r w:rsidR="00C9566E" w:rsidRPr="00C25C44">
        <w:t>2–1</w:t>
      </w:r>
      <w:r w:rsidRPr="00C25C44">
        <w:t>.57), palmar fascial fibromatosis (</w:t>
      </w:r>
      <w:proofErr w:type="spellStart"/>
      <w:r w:rsidRPr="00C25C44">
        <w:t>Dupuytren’s</w:t>
      </w:r>
      <w:proofErr w:type="spellEnd"/>
      <w:r w:rsidRPr="00C25C44">
        <w:t xml:space="preserve"> disease; O</w:t>
      </w:r>
      <w:r w:rsidR="00C9566E" w:rsidRPr="00C25C44">
        <w:t>R = 1</w:t>
      </w:r>
      <w:r w:rsidRPr="00C25C44">
        <w:t>.41, 95% C</w:t>
      </w:r>
      <w:r w:rsidR="00C9566E" w:rsidRPr="00C25C44">
        <w:t>I = 1</w:t>
      </w:r>
      <w:r w:rsidRPr="00C25C44">
        <w:t>.1</w:t>
      </w:r>
      <w:r w:rsidR="00C9566E" w:rsidRPr="00C25C44">
        <w:t>7–1</w:t>
      </w:r>
      <w:r w:rsidRPr="00C25C44">
        <w:t>.70), gout (O</w:t>
      </w:r>
      <w:r w:rsidR="00C9566E" w:rsidRPr="00C25C44">
        <w:t>R = 1</w:t>
      </w:r>
      <w:r w:rsidRPr="00C25C44">
        <w:t>.36, 95% C</w:t>
      </w:r>
      <w:r w:rsidR="00C9566E" w:rsidRPr="00C25C44">
        <w:t>I = 1</w:t>
      </w:r>
      <w:r w:rsidRPr="00C25C44">
        <w:t>.2</w:t>
      </w:r>
      <w:r w:rsidR="00C9566E" w:rsidRPr="00C25C44">
        <w:t>6–1</w:t>
      </w:r>
      <w:r w:rsidRPr="00C25C44">
        <w:t>.47), reaction to severe stress, and adjustment disorders (O</w:t>
      </w:r>
      <w:r w:rsidR="00C9566E" w:rsidRPr="00C25C44">
        <w:t>R = 1</w:t>
      </w:r>
      <w:r w:rsidRPr="00C25C44">
        <w:t>.32, 95% C</w:t>
      </w:r>
      <w:r w:rsidR="00C9566E" w:rsidRPr="00C25C44">
        <w:t>I = 1</w:t>
      </w:r>
      <w:r w:rsidRPr="00C25C44">
        <w:t>.2</w:t>
      </w:r>
      <w:r w:rsidR="00C9566E" w:rsidRPr="00C25C44">
        <w:t>1–1</w:t>
      </w:r>
      <w:r w:rsidRPr="00C25C44">
        <w:t>.45), gastro-esophageal reflux disease (O</w:t>
      </w:r>
      <w:r w:rsidR="00C9566E" w:rsidRPr="00C25C44">
        <w:t>R = 1</w:t>
      </w:r>
      <w:r w:rsidRPr="00C25C44">
        <w:t>.29, 95% C</w:t>
      </w:r>
      <w:r w:rsidR="00C9566E" w:rsidRPr="00C25C44">
        <w:t>I = 1</w:t>
      </w:r>
      <w:r w:rsidRPr="00C25C44">
        <w:t>.2</w:t>
      </w:r>
      <w:r w:rsidR="00C9566E" w:rsidRPr="00C25C44">
        <w:t>2–1</w:t>
      </w:r>
      <w:r w:rsidRPr="00C25C44">
        <w:t>.36), somatoform disorders (O</w:t>
      </w:r>
      <w:r w:rsidR="00C9566E" w:rsidRPr="00C25C44">
        <w:t>R = 1</w:t>
      </w:r>
      <w:r w:rsidRPr="00C25C44">
        <w:t>.19, 95% C</w:t>
      </w:r>
      <w:r w:rsidR="00C9566E" w:rsidRPr="00C25C44">
        <w:t>I = 1</w:t>
      </w:r>
      <w:r w:rsidRPr="00C25C44">
        <w:t>.1</w:t>
      </w:r>
      <w:r w:rsidR="00C9566E" w:rsidRPr="00C25C44">
        <w:t>1–1</w:t>
      </w:r>
      <w:r w:rsidRPr="00C25C44">
        <w:t>.28), overweight and obesity (O</w:t>
      </w:r>
      <w:r w:rsidR="00C9566E" w:rsidRPr="00C25C44">
        <w:t>R = 1</w:t>
      </w:r>
      <w:r w:rsidRPr="00C25C44">
        <w:t>.15, 95% C</w:t>
      </w:r>
      <w:r w:rsidR="00C9566E" w:rsidRPr="00C25C44">
        <w:t>I = 1</w:t>
      </w:r>
      <w:r w:rsidRPr="00C25C44">
        <w:t>.0</w:t>
      </w:r>
      <w:r w:rsidR="00C9566E" w:rsidRPr="00C25C44">
        <w:t>6–1</w:t>
      </w:r>
      <w:r w:rsidRPr="00C25C44">
        <w:t>.24), ischemic heart diseases (O</w:t>
      </w:r>
      <w:r w:rsidR="00C9566E" w:rsidRPr="00C25C44">
        <w:t>R = 1</w:t>
      </w:r>
      <w:r w:rsidRPr="00C25C44">
        <w:t>.13, 95% C</w:t>
      </w:r>
      <w:r w:rsidR="00C9566E" w:rsidRPr="00C25C44">
        <w:t>I = 1</w:t>
      </w:r>
      <w:r w:rsidRPr="00C25C44">
        <w:t>.0</w:t>
      </w:r>
      <w:r w:rsidR="00C9566E" w:rsidRPr="00C25C44">
        <w:t>7–1</w:t>
      </w:r>
      <w:r w:rsidRPr="00C25C44">
        <w:t>.19), and disorders of thyroid gland (O</w:t>
      </w:r>
      <w:r w:rsidR="00C9566E" w:rsidRPr="00C25C44">
        <w:t>R = 1</w:t>
      </w:r>
      <w:r w:rsidRPr="00C25C44">
        <w:t>.11, 95% C</w:t>
      </w:r>
      <w:r w:rsidR="00C9566E" w:rsidRPr="00C25C44">
        <w:t>I = 1</w:t>
      </w:r>
      <w:r w:rsidRPr="00C25C44">
        <w:t>.0</w:t>
      </w:r>
      <w:r w:rsidR="00C9566E" w:rsidRPr="00C25C44">
        <w:t>6–1</w:t>
      </w:r>
      <w:r w:rsidRPr="00C25C44">
        <w:t>.17). In contrast, there was a negative and significant relationship between Parkinson’s disease (O</w:t>
      </w:r>
      <w:r w:rsidR="00C9566E" w:rsidRPr="00C25C44">
        <w:t>R = 0</w:t>
      </w:r>
      <w:r w:rsidRPr="00C25C44">
        <w:t>.71, 95% C</w:t>
      </w:r>
      <w:r w:rsidR="00C9566E" w:rsidRPr="00C25C44">
        <w:t>I = 0</w:t>
      </w:r>
      <w:r w:rsidRPr="00C25C44">
        <w:t>.6</w:t>
      </w:r>
      <w:r w:rsidR="00C9566E" w:rsidRPr="00C25C44">
        <w:t>0–0</w:t>
      </w:r>
      <w:r w:rsidRPr="00C25C44">
        <w:t>.85), hypertension (O</w:t>
      </w:r>
      <w:r w:rsidR="00C9566E" w:rsidRPr="00C25C44">
        <w:t>R = 0</w:t>
      </w:r>
      <w:r w:rsidRPr="00C25C44">
        <w:t>.81, 95% C</w:t>
      </w:r>
      <w:r w:rsidR="00C9566E" w:rsidRPr="00C25C44">
        <w:t>I = 0</w:t>
      </w:r>
      <w:r w:rsidRPr="00C25C44">
        <w:t>.7</w:t>
      </w:r>
      <w:r w:rsidR="00C9566E" w:rsidRPr="00C25C44">
        <w:t>7–0</w:t>
      </w:r>
      <w:r w:rsidRPr="00C25C44">
        <w:t>.86), and adhesive capsulitis.</w:t>
      </w:r>
    </w:p>
    <w:p w14:paraId="23D1706C" w14:textId="77777777" w:rsidR="00B5104C" w:rsidRPr="00C25C44" w:rsidRDefault="00B5104C" w:rsidP="00B5104C">
      <w:pPr>
        <w:pStyle w:val="MDPI41tablecaption"/>
        <w:jc w:val="both"/>
      </w:pPr>
      <w:r w:rsidRPr="00C25C44">
        <w:rPr>
          <w:b/>
        </w:rPr>
        <w:t xml:space="preserve">Table 2. </w:t>
      </w:r>
      <w:r w:rsidRPr="00C25C44">
        <w:t>Physical and psychiatric conditions significantly associated with adhesive capsulitis of the shoulder in patients aged ≥65 years from Germany (adjusted logistic regression model).</w:t>
      </w:r>
    </w:p>
    <w:tbl>
      <w:tblPr>
        <w:tblW w:w="7857" w:type="dxa"/>
        <w:tblInd w:w="2608" w:type="dxa"/>
        <w:tblBorders>
          <w:top w:val="single" w:sz="8" w:space="0" w:color="auto"/>
          <w:bottom w:val="single" w:sz="8" w:space="0" w:color="auto"/>
        </w:tblBorders>
        <w:tblLayout w:type="fixed"/>
        <w:tblCellMar>
          <w:left w:w="0" w:type="dxa"/>
          <w:right w:w="0" w:type="dxa"/>
        </w:tblCellMar>
        <w:tblLook w:val="04A0" w:firstRow="1" w:lastRow="0" w:firstColumn="1" w:lastColumn="0" w:noHBand="0" w:noVBand="1"/>
      </w:tblPr>
      <w:tblGrid>
        <w:gridCol w:w="1644"/>
        <w:gridCol w:w="1984"/>
        <w:gridCol w:w="1957"/>
        <w:gridCol w:w="637"/>
        <w:gridCol w:w="1080"/>
        <w:gridCol w:w="555"/>
      </w:tblGrid>
      <w:tr w:rsidR="00B5104C" w:rsidRPr="00C25C44" w14:paraId="40E5638F" w14:textId="77777777" w:rsidTr="00FC610C">
        <w:tc>
          <w:tcPr>
            <w:tcW w:w="1645" w:type="dxa"/>
            <w:tcBorders>
              <w:top w:val="single" w:sz="8" w:space="0" w:color="auto"/>
              <w:bottom w:val="single" w:sz="4" w:space="0" w:color="auto"/>
            </w:tcBorders>
            <w:shd w:val="clear" w:color="auto" w:fill="auto"/>
            <w:vAlign w:val="center"/>
          </w:tcPr>
          <w:p w14:paraId="34D2A5E5" w14:textId="77777777" w:rsidR="00B5104C" w:rsidRPr="00C25C44" w:rsidRDefault="00B5104C" w:rsidP="00FC610C">
            <w:pPr>
              <w:pStyle w:val="MDPI42tablebody"/>
              <w:autoSpaceDE w:val="0"/>
              <w:autoSpaceDN w:val="0"/>
              <w:jc w:val="left"/>
              <w:rPr>
                <w:b/>
                <w:snapToGrid/>
                <w:szCs w:val="16"/>
              </w:rPr>
            </w:pPr>
            <w:r w:rsidRPr="00C25C44">
              <w:rPr>
                <w:b/>
                <w:bCs/>
                <w:szCs w:val="16"/>
              </w:rPr>
              <w:t>Condition</w:t>
            </w:r>
          </w:p>
        </w:tc>
        <w:tc>
          <w:tcPr>
            <w:tcW w:w="1984" w:type="dxa"/>
            <w:tcBorders>
              <w:top w:val="single" w:sz="8" w:space="0" w:color="auto"/>
              <w:bottom w:val="single" w:sz="4" w:space="0" w:color="auto"/>
            </w:tcBorders>
            <w:shd w:val="clear" w:color="auto" w:fill="auto"/>
            <w:vAlign w:val="center"/>
          </w:tcPr>
          <w:p w14:paraId="103300AF" w14:textId="77777777" w:rsidR="00B5104C" w:rsidRPr="00C25C44" w:rsidRDefault="00B5104C" w:rsidP="00FC610C">
            <w:pPr>
              <w:pStyle w:val="MDPI42tablebody"/>
              <w:autoSpaceDE w:val="0"/>
              <w:autoSpaceDN w:val="0"/>
              <w:jc w:val="left"/>
              <w:rPr>
                <w:b/>
                <w:snapToGrid/>
                <w:szCs w:val="16"/>
              </w:rPr>
            </w:pPr>
            <w:r w:rsidRPr="00C25C44">
              <w:rPr>
                <w:b/>
                <w:bCs/>
                <w:szCs w:val="16"/>
              </w:rPr>
              <w:t>Patients with Adhesive Capsulitis of the Shoulder</w:t>
            </w:r>
          </w:p>
        </w:tc>
        <w:tc>
          <w:tcPr>
            <w:tcW w:w="1957" w:type="dxa"/>
            <w:tcBorders>
              <w:top w:val="single" w:sz="8" w:space="0" w:color="auto"/>
              <w:bottom w:val="single" w:sz="4" w:space="0" w:color="auto"/>
            </w:tcBorders>
            <w:shd w:val="clear" w:color="auto" w:fill="auto"/>
            <w:vAlign w:val="center"/>
          </w:tcPr>
          <w:p w14:paraId="0FADFFC9" w14:textId="77777777" w:rsidR="00B5104C" w:rsidRPr="00C25C44" w:rsidRDefault="00B5104C" w:rsidP="00FC610C">
            <w:pPr>
              <w:pStyle w:val="MDPI42tablebody"/>
              <w:autoSpaceDE w:val="0"/>
              <w:autoSpaceDN w:val="0"/>
              <w:jc w:val="left"/>
              <w:rPr>
                <w:b/>
                <w:snapToGrid/>
                <w:szCs w:val="16"/>
              </w:rPr>
            </w:pPr>
            <w:r w:rsidRPr="00C25C44">
              <w:rPr>
                <w:b/>
                <w:bCs/>
                <w:szCs w:val="16"/>
              </w:rPr>
              <w:t>Patients without Adhesive Capsulitis of the Shoulder</w:t>
            </w:r>
          </w:p>
        </w:tc>
        <w:tc>
          <w:tcPr>
            <w:tcW w:w="637" w:type="dxa"/>
            <w:tcBorders>
              <w:top w:val="single" w:sz="8" w:space="0" w:color="auto"/>
              <w:bottom w:val="single" w:sz="4" w:space="0" w:color="auto"/>
            </w:tcBorders>
            <w:shd w:val="clear" w:color="auto" w:fill="auto"/>
            <w:vAlign w:val="center"/>
          </w:tcPr>
          <w:p w14:paraId="213A7D11" w14:textId="77777777" w:rsidR="00B5104C" w:rsidRPr="00C25C44" w:rsidRDefault="00B5104C" w:rsidP="00FC610C">
            <w:pPr>
              <w:pStyle w:val="MDPI42tablebody"/>
              <w:autoSpaceDE w:val="0"/>
              <w:autoSpaceDN w:val="0"/>
              <w:jc w:val="left"/>
              <w:rPr>
                <w:b/>
                <w:snapToGrid/>
                <w:szCs w:val="16"/>
              </w:rPr>
            </w:pPr>
            <w:r w:rsidRPr="00C25C44">
              <w:rPr>
                <w:b/>
                <w:bCs/>
                <w:szCs w:val="16"/>
              </w:rPr>
              <w:t>Odds Ratio</w:t>
            </w:r>
          </w:p>
        </w:tc>
        <w:tc>
          <w:tcPr>
            <w:tcW w:w="1080" w:type="dxa"/>
            <w:tcBorders>
              <w:top w:val="single" w:sz="8" w:space="0" w:color="auto"/>
              <w:bottom w:val="single" w:sz="4" w:space="0" w:color="auto"/>
            </w:tcBorders>
            <w:shd w:val="clear" w:color="auto" w:fill="auto"/>
            <w:vAlign w:val="center"/>
          </w:tcPr>
          <w:p w14:paraId="5BDCADBF" w14:textId="77777777" w:rsidR="00B5104C" w:rsidRPr="00C25C44" w:rsidRDefault="00B5104C" w:rsidP="00FC610C">
            <w:pPr>
              <w:pStyle w:val="MDPI42tablebody"/>
              <w:autoSpaceDE w:val="0"/>
              <w:autoSpaceDN w:val="0"/>
              <w:jc w:val="left"/>
              <w:rPr>
                <w:b/>
                <w:snapToGrid/>
                <w:szCs w:val="16"/>
              </w:rPr>
            </w:pPr>
            <w:r w:rsidRPr="00C25C44">
              <w:rPr>
                <w:b/>
                <w:bCs/>
                <w:szCs w:val="16"/>
              </w:rPr>
              <w:t>95% Confidence Interval</w:t>
            </w:r>
          </w:p>
        </w:tc>
        <w:tc>
          <w:tcPr>
            <w:tcW w:w="555" w:type="dxa"/>
            <w:tcBorders>
              <w:top w:val="single" w:sz="8" w:space="0" w:color="auto"/>
              <w:bottom w:val="single" w:sz="4" w:space="0" w:color="auto"/>
            </w:tcBorders>
            <w:shd w:val="clear" w:color="auto" w:fill="auto"/>
            <w:vAlign w:val="center"/>
          </w:tcPr>
          <w:p w14:paraId="3C02578C" w14:textId="77777777" w:rsidR="00B5104C" w:rsidRPr="00C25C44" w:rsidRDefault="00B5104C" w:rsidP="00FC610C">
            <w:pPr>
              <w:pStyle w:val="MDPI42tablebody"/>
              <w:autoSpaceDE w:val="0"/>
              <w:autoSpaceDN w:val="0"/>
              <w:jc w:val="left"/>
              <w:rPr>
                <w:b/>
                <w:snapToGrid/>
                <w:szCs w:val="16"/>
              </w:rPr>
            </w:pPr>
            <w:r w:rsidRPr="00C25C44">
              <w:rPr>
                <w:b/>
                <w:bCs/>
                <w:i/>
                <w:szCs w:val="16"/>
              </w:rPr>
              <w:t>p</w:t>
            </w:r>
            <w:r w:rsidRPr="00C25C44">
              <w:rPr>
                <w:b/>
                <w:bCs/>
                <w:szCs w:val="16"/>
              </w:rPr>
              <w:t>-Value</w:t>
            </w:r>
          </w:p>
        </w:tc>
      </w:tr>
      <w:tr w:rsidR="00B5104C" w:rsidRPr="00C25C44" w14:paraId="7ECF269E" w14:textId="77777777" w:rsidTr="00FC610C">
        <w:tc>
          <w:tcPr>
            <w:tcW w:w="1645" w:type="dxa"/>
            <w:shd w:val="clear" w:color="auto" w:fill="auto"/>
            <w:vAlign w:val="center"/>
          </w:tcPr>
          <w:p w14:paraId="3B294CA7" w14:textId="77777777" w:rsidR="00B5104C" w:rsidRPr="00C25C44" w:rsidRDefault="00B5104C" w:rsidP="00FC610C">
            <w:pPr>
              <w:pStyle w:val="MDPI42tablebody"/>
              <w:autoSpaceDE w:val="0"/>
              <w:autoSpaceDN w:val="0"/>
              <w:jc w:val="left"/>
              <w:rPr>
                <w:szCs w:val="16"/>
              </w:rPr>
            </w:pPr>
            <w:r w:rsidRPr="00C25C44">
              <w:rPr>
                <w:szCs w:val="16"/>
              </w:rPr>
              <w:t>Other and unspecified osteoarthritis</w:t>
            </w:r>
          </w:p>
        </w:tc>
        <w:tc>
          <w:tcPr>
            <w:tcW w:w="1984" w:type="dxa"/>
            <w:shd w:val="clear" w:color="auto" w:fill="auto"/>
            <w:vAlign w:val="center"/>
          </w:tcPr>
          <w:p w14:paraId="3A6E6521" w14:textId="77777777" w:rsidR="00B5104C" w:rsidRPr="00C25C44" w:rsidRDefault="00B5104C" w:rsidP="00FC610C">
            <w:pPr>
              <w:pStyle w:val="MDPI42tablebody"/>
              <w:autoSpaceDE w:val="0"/>
              <w:autoSpaceDN w:val="0"/>
              <w:jc w:val="left"/>
              <w:rPr>
                <w:szCs w:val="16"/>
              </w:rPr>
            </w:pPr>
            <w:r w:rsidRPr="00C25C44">
              <w:rPr>
                <w:szCs w:val="16"/>
              </w:rPr>
              <w:t>1281 (15.2)</w:t>
            </w:r>
          </w:p>
        </w:tc>
        <w:tc>
          <w:tcPr>
            <w:tcW w:w="1957" w:type="dxa"/>
            <w:shd w:val="clear" w:color="auto" w:fill="auto"/>
            <w:vAlign w:val="center"/>
          </w:tcPr>
          <w:p w14:paraId="382A8140" w14:textId="77777777" w:rsidR="00B5104C" w:rsidRPr="00C25C44" w:rsidRDefault="00B5104C" w:rsidP="00FC610C">
            <w:pPr>
              <w:pStyle w:val="MDPI42tablebody"/>
              <w:autoSpaceDE w:val="0"/>
              <w:autoSpaceDN w:val="0"/>
              <w:jc w:val="left"/>
              <w:rPr>
                <w:szCs w:val="16"/>
              </w:rPr>
            </w:pPr>
            <w:r w:rsidRPr="00C25C44">
              <w:rPr>
                <w:szCs w:val="16"/>
              </w:rPr>
              <w:t>3163 (7.5)</w:t>
            </w:r>
          </w:p>
        </w:tc>
        <w:tc>
          <w:tcPr>
            <w:tcW w:w="637" w:type="dxa"/>
            <w:shd w:val="clear" w:color="auto" w:fill="auto"/>
            <w:vAlign w:val="center"/>
          </w:tcPr>
          <w:p w14:paraId="51AD3B0E" w14:textId="77777777" w:rsidR="00B5104C" w:rsidRPr="00C25C44" w:rsidRDefault="00B5104C" w:rsidP="00FC610C">
            <w:pPr>
              <w:pStyle w:val="MDPI42tablebody"/>
              <w:autoSpaceDE w:val="0"/>
              <w:autoSpaceDN w:val="0"/>
              <w:jc w:val="left"/>
              <w:rPr>
                <w:szCs w:val="16"/>
              </w:rPr>
            </w:pPr>
            <w:r w:rsidRPr="00C25C44">
              <w:rPr>
                <w:szCs w:val="16"/>
              </w:rPr>
              <w:t>1.93</w:t>
            </w:r>
          </w:p>
        </w:tc>
        <w:tc>
          <w:tcPr>
            <w:tcW w:w="1080" w:type="dxa"/>
            <w:shd w:val="clear" w:color="auto" w:fill="auto"/>
            <w:vAlign w:val="center"/>
          </w:tcPr>
          <w:p w14:paraId="7DBF7ADF" w14:textId="77777777" w:rsidR="00B5104C" w:rsidRPr="00C25C44" w:rsidRDefault="00B5104C" w:rsidP="00FC610C">
            <w:pPr>
              <w:pStyle w:val="MDPI42tablebody"/>
              <w:autoSpaceDE w:val="0"/>
              <w:autoSpaceDN w:val="0"/>
              <w:jc w:val="left"/>
              <w:rPr>
                <w:szCs w:val="16"/>
              </w:rPr>
            </w:pPr>
            <w:r w:rsidRPr="00C25C44">
              <w:rPr>
                <w:szCs w:val="16"/>
              </w:rPr>
              <w:t>1.79–2.07</w:t>
            </w:r>
          </w:p>
        </w:tc>
        <w:tc>
          <w:tcPr>
            <w:tcW w:w="555" w:type="dxa"/>
            <w:shd w:val="clear" w:color="auto" w:fill="auto"/>
            <w:vAlign w:val="center"/>
          </w:tcPr>
          <w:p w14:paraId="35D9C7B4" w14:textId="77777777" w:rsidR="00B5104C" w:rsidRPr="00C25C44" w:rsidRDefault="00B5104C" w:rsidP="00FC610C">
            <w:pPr>
              <w:pStyle w:val="MDPI42tablebody"/>
              <w:autoSpaceDE w:val="0"/>
              <w:autoSpaceDN w:val="0"/>
              <w:jc w:val="left"/>
              <w:rPr>
                <w:szCs w:val="16"/>
              </w:rPr>
            </w:pPr>
            <w:r w:rsidRPr="00C25C44">
              <w:rPr>
                <w:szCs w:val="16"/>
              </w:rPr>
              <w:t>&lt;0.001</w:t>
            </w:r>
          </w:p>
        </w:tc>
      </w:tr>
      <w:tr w:rsidR="00B5104C" w:rsidRPr="00C25C44" w14:paraId="2A0AE1D1" w14:textId="77777777" w:rsidTr="00FC610C">
        <w:tc>
          <w:tcPr>
            <w:tcW w:w="1645" w:type="dxa"/>
            <w:shd w:val="clear" w:color="auto" w:fill="auto"/>
            <w:vAlign w:val="center"/>
          </w:tcPr>
          <w:p w14:paraId="6C09809E" w14:textId="77777777" w:rsidR="00B5104C" w:rsidRPr="00C25C44" w:rsidRDefault="00B5104C" w:rsidP="00FC610C">
            <w:pPr>
              <w:pStyle w:val="MDPI42tablebody"/>
              <w:autoSpaceDE w:val="0"/>
              <w:autoSpaceDN w:val="0"/>
              <w:jc w:val="left"/>
              <w:rPr>
                <w:szCs w:val="16"/>
              </w:rPr>
            </w:pPr>
            <w:r w:rsidRPr="00C25C44">
              <w:rPr>
                <w:szCs w:val="16"/>
              </w:rPr>
              <w:t>Injury to the shoulder and upper arm</w:t>
            </w:r>
          </w:p>
        </w:tc>
        <w:tc>
          <w:tcPr>
            <w:tcW w:w="1984" w:type="dxa"/>
            <w:shd w:val="clear" w:color="auto" w:fill="auto"/>
            <w:vAlign w:val="center"/>
          </w:tcPr>
          <w:p w14:paraId="43982C1A" w14:textId="77777777" w:rsidR="00B5104C" w:rsidRPr="00C25C44" w:rsidRDefault="00B5104C" w:rsidP="00FC610C">
            <w:pPr>
              <w:pStyle w:val="MDPI42tablebody"/>
              <w:autoSpaceDE w:val="0"/>
              <w:autoSpaceDN w:val="0"/>
              <w:jc w:val="left"/>
              <w:rPr>
                <w:szCs w:val="16"/>
              </w:rPr>
            </w:pPr>
            <w:r w:rsidRPr="00C25C44">
              <w:rPr>
                <w:szCs w:val="16"/>
              </w:rPr>
              <w:t>554 (6.6)</w:t>
            </w:r>
          </w:p>
        </w:tc>
        <w:tc>
          <w:tcPr>
            <w:tcW w:w="1957" w:type="dxa"/>
            <w:shd w:val="clear" w:color="auto" w:fill="auto"/>
            <w:vAlign w:val="center"/>
          </w:tcPr>
          <w:p w14:paraId="3FE0C147" w14:textId="77777777" w:rsidR="00B5104C" w:rsidRPr="00C25C44" w:rsidRDefault="00B5104C" w:rsidP="00FC610C">
            <w:pPr>
              <w:pStyle w:val="MDPI42tablebody"/>
              <w:autoSpaceDE w:val="0"/>
              <w:autoSpaceDN w:val="0"/>
              <w:jc w:val="left"/>
              <w:rPr>
                <w:szCs w:val="16"/>
              </w:rPr>
            </w:pPr>
            <w:r w:rsidRPr="00C25C44">
              <w:rPr>
                <w:szCs w:val="16"/>
              </w:rPr>
              <w:t>1354 (3.2)</w:t>
            </w:r>
          </w:p>
        </w:tc>
        <w:tc>
          <w:tcPr>
            <w:tcW w:w="637" w:type="dxa"/>
            <w:shd w:val="clear" w:color="auto" w:fill="auto"/>
            <w:vAlign w:val="center"/>
          </w:tcPr>
          <w:p w14:paraId="2C63A6D9" w14:textId="77777777" w:rsidR="00B5104C" w:rsidRPr="00C25C44" w:rsidRDefault="00B5104C" w:rsidP="00FC610C">
            <w:pPr>
              <w:pStyle w:val="MDPI42tablebody"/>
              <w:autoSpaceDE w:val="0"/>
              <w:autoSpaceDN w:val="0"/>
              <w:jc w:val="left"/>
              <w:rPr>
                <w:szCs w:val="16"/>
              </w:rPr>
            </w:pPr>
            <w:r w:rsidRPr="00C25C44">
              <w:rPr>
                <w:szCs w:val="16"/>
              </w:rPr>
              <w:t>1.85</w:t>
            </w:r>
          </w:p>
        </w:tc>
        <w:tc>
          <w:tcPr>
            <w:tcW w:w="1080" w:type="dxa"/>
            <w:shd w:val="clear" w:color="auto" w:fill="auto"/>
            <w:vAlign w:val="center"/>
          </w:tcPr>
          <w:p w14:paraId="06049572" w14:textId="77777777" w:rsidR="00B5104C" w:rsidRPr="00C25C44" w:rsidRDefault="00B5104C" w:rsidP="00FC610C">
            <w:pPr>
              <w:pStyle w:val="MDPI42tablebody"/>
              <w:autoSpaceDE w:val="0"/>
              <w:autoSpaceDN w:val="0"/>
              <w:jc w:val="left"/>
              <w:rPr>
                <w:szCs w:val="16"/>
              </w:rPr>
            </w:pPr>
            <w:r w:rsidRPr="00C25C44">
              <w:rPr>
                <w:szCs w:val="16"/>
              </w:rPr>
              <w:t>1.66–2.05</w:t>
            </w:r>
          </w:p>
        </w:tc>
        <w:tc>
          <w:tcPr>
            <w:tcW w:w="555" w:type="dxa"/>
            <w:shd w:val="clear" w:color="auto" w:fill="auto"/>
            <w:vAlign w:val="center"/>
          </w:tcPr>
          <w:p w14:paraId="78E5FC3E" w14:textId="77777777" w:rsidR="00B5104C" w:rsidRPr="00C25C44" w:rsidRDefault="00B5104C" w:rsidP="00FC610C">
            <w:pPr>
              <w:pStyle w:val="MDPI42tablebody"/>
              <w:autoSpaceDE w:val="0"/>
              <w:autoSpaceDN w:val="0"/>
              <w:jc w:val="left"/>
              <w:rPr>
                <w:szCs w:val="16"/>
              </w:rPr>
            </w:pPr>
            <w:r w:rsidRPr="00C25C44">
              <w:rPr>
                <w:szCs w:val="16"/>
              </w:rPr>
              <w:t>&lt;0.001</w:t>
            </w:r>
          </w:p>
        </w:tc>
      </w:tr>
      <w:tr w:rsidR="00B5104C" w:rsidRPr="00C25C44" w14:paraId="3CC9E861" w14:textId="77777777" w:rsidTr="00FC610C">
        <w:tc>
          <w:tcPr>
            <w:tcW w:w="1645" w:type="dxa"/>
            <w:shd w:val="clear" w:color="auto" w:fill="auto"/>
            <w:vAlign w:val="center"/>
          </w:tcPr>
          <w:p w14:paraId="7E85DC2C" w14:textId="77777777" w:rsidR="00B5104C" w:rsidRPr="00C25C44" w:rsidRDefault="00B5104C" w:rsidP="00FC610C">
            <w:pPr>
              <w:pStyle w:val="MDPI42tablebody"/>
              <w:autoSpaceDE w:val="0"/>
              <w:autoSpaceDN w:val="0"/>
              <w:jc w:val="left"/>
              <w:rPr>
                <w:szCs w:val="16"/>
              </w:rPr>
            </w:pPr>
            <w:r w:rsidRPr="00C25C44">
              <w:rPr>
                <w:szCs w:val="16"/>
              </w:rPr>
              <w:t>Injury to the thorax</w:t>
            </w:r>
          </w:p>
        </w:tc>
        <w:tc>
          <w:tcPr>
            <w:tcW w:w="1984" w:type="dxa"/>
            <w:shd w:val="clear" w:color="auto" w:fill="auto"/>
            <w:vAlign w:val="center"/>
          </w:tcPr>
          <w:p w14:paraId="705C8E99" w14:textId="77777777" w:rsidR="00B5104C" w:rsidRPr="00C25C44" w:rsidRDefault="00B5104C" w:rsidP="00FC610C">
            <w:pPr>
              <w:pStyle w:val="MDPI42tablebody"/>
              <w:autoSpaceDE w:val="0"/>
              <w:autoSpaceDN w:val="0"/>
              <w:jc w:val="left"/>
              <w:rPr>
                <w:szCs w:val="16"/>
              </w:rPr>
            </w:pPr>
            <w:r w:rsidRPr="00C25C44">
              <w:rPr>
                <w:szCs w:val="16"/>
              </w:rPr>
              <w:t>702 (8.3)</w:t>
            </w:r>
          </w:p>
        </w:tc>
        <w:tc>
          <w:tcPr>
            <w:tcW w:w="1957" w:type="dxa"/>
            <w:shd w:val="clear" w:color="auto" w:fill="auto"/>
            <w:vAlign w:val="center"/>
          </w:tcPr>
          <w:p w14:paraId="29D78549" w14:textId="77777777" w:rsidR="00B5104C" w:rsidRPr="00C25C44" w:rsidRDefault="00B5104C" w:rsidP="00FC610C">
            <w:pPr>
              <w:pStyle w:val="MDPI42tablebody"/>
              <w:autoSpaceDE w:val="0"/>
              <w:autoSpaceDN w:val="0"/>
              <w:jc w:val="left"/>
              <w:rPr>
                <w:szCs w:val="16"/>
              </w:rPr>
            </w:pPr>
            <w:r w:rsidRPr="00C25C44">
              <w:rPr>
                <w:szCs w:val="16"/>
              </w:rPr>
              <w:t>2176 (5.2)</w:t>
            </w:r>
          </w:p>
        </w:tc>
        <w:tc>
          <w:tcPr>
            <w:tcW w:w="637" w:type="dxa"/>
            <w:shd w:val="clear" w:color="auto" w:fill="auto"/>
            <w:vAlign w:val="center"/>
          </w:tcPr>
          <w:p w14:paraId="4C21052E" w14:textId="77777777" w:rsidR="00B5104C" w:rsidRPr="00C25C44" w:rsidRDefault="00B5104C" w:rsidP="00FC610C">
            <w:pPr>
              <w:pStyle w:val="MDPI42tablebody"/>
              <w:autoSpaceDE w:val="0"/>
              <w:autoSpaceDN w:val="0"/>
              <w:jc w:val="left"/>
              <w:rPr>
                <w:szCs w:val="16"/>
              </w:rPr>
            </w:pPr>
            <w:r w:rsidRPr="00C25C44">
              <w:rPr>
                <w:szCs w:val="16"/>
              </w:rPr>
              <w:t>1.47</w:t>
            </w:r>
          </w:p>
        </w:tc>
        <w:tc>
          <w:tcPr>
            <w:tcW w:w="1080" w:type="dxa"/>
            <w:shd w:val="clear" w:color="auto" w:fill="auto"/>
            <w:vAlign w:val="center"/>
          </w:tcPr>
          <w:p w14:paraId="29D09060" w14:textId="77777777" w:rsidR="00B5104C" w:rsidRPr="00C25C44" w:rsidRDefault="00B5104C" w:rsidP="00FC610C">
            <w:pPr>
              <w:pStyle w:val="MDPI42tablebody"/>
              <w:autoSpaceDE w:val="0"/>
              <w:autoSpaceDN w:val="0"/>
              <w:jc w:val="left"/>
              <w:rPr>
                <w:szCs w:val="16"/>
              </w:rPr>
            </w:pPr>
            <w:r w:rsidRPr="00C25C44">
              <w:rPr>
                <w:szCs w:val="16"/>
              </w:rPr>
              <w:t>1.34–1.61</w:t>
            </w:r>
          </w:p>
        </w:tc>
        <w:tc>
          <w:tcPr>
            <w:tcW w:w="555" w:type="dxa"/>
            <w:shd w:val="clear" w:color="auto" w:fill="auto"/>
            <w:vAlign w:val="center"/>
          </w:tcPr>
          <w:p w14:paraId="413F8479" w14:textId="77777777" w:rsidR="00B5104C" w:rsidRPr="00C25C44" w:rsidRDefault="00B5104C" w:rsidP="00FC610C">
            <w:pPr>
              <w:pStyle w:val="MDPI42tablebody"/>
              <w:autoSpaceDE w:val="0"/>
              <w:autoSpaceDN w:val="0"/>
              <w:jc w:val="left"/>
              <w:rPr>
                <w:szCs w:val="16"/>
              </w:rPr>
            </w:pPr>
            <w:r w:rsidRPr="00C25C44">
              <w:rPr>
                <w:szCs w:val="16"/>
              </w:rPr>
              <w:t>&lt;0.001</w:t>
            </w:r>
          </w:p>
        </w:tc>
      </w:tr>
      <w:tr w:rsidR="00B5104C" w:rsidRPr="00C25C44" w14:paraId="3273CDA0" w14:textId="77777777" w:rsidTr="00FC610C">
        <w:tc>
          <w:tcPr>
            <w:tcW w:w="1645" w:type="dxa"/>
            <w:shd w:val="clear" w:color="auto" w:fill="auto"/>
            <w:vAlign w:val="center"/>
          </w:tcPr>
          <w:p w14:paraId="28E4A396" w14:textId="77777777" w:rsidR="00B5104C" w:rsidRPr="00C25C44" w:rsidRDefault="00B5104C" w:rsidP="00FC610C">
            <w:pPr>
              <w:pStyle w:val="MDPI42tablebody"/>
              <w:autoSpaceDE w:val="0"/>
              <w:autoSpaceDN w:val="0"/>
              <w:jc w:val="left"/>
              <w:rPr>
                <w:szCs w:val="16"/>
              </w:rPr>
            </w:pPr>
            <w:proofErr w:type="spellStart"/>
            <w:r w:rsidRPr="00C25C44">
              <w:rPr>
                <w:szCs w:val="16"/>
              </w:rPr>
              <w:t>Polyosteoarthritis</w:t>
            </w:r>
            <w:proofErr w:type="spellEnd"/>
          </w:p>
        </w:tc>
        <w:tc>
          <w:tcPr>
            <w:tcW w:w="1984" w:type="dxa"/>
            <w:shd w:val="clear" w:color="auto" w:fill="auto"/>
            <w:vAlign w:val="center"/>
          </w:tcPr>
          <w:p w14:paraId="66647CDE" w14:textId="77777777" w:rsidR="00B5104C" w:rsidRPr="00C25C44" w:rsidRDefault="00B5104C" w:rsidP="00FC610C">
            <w:pPr>
              <w:pStyle w:val="MDPI42tablebody"/>
              <w:autoSpaceDE w:val="0"/>
              <w:autoSpaceDN w:val="0"/>
              <w:jc w:val="left"/>
              <w:rPr>
                <w:szCs w:val="16"/>
              </w:rPr>
            </w:pPr>
            <w:r w:rsidRPr="00C25C44">
              <w:rPr>
                <w:szCs w:val="16"/>
              </w:rPr>
              <w:t>800 (9.5)</w:t>
            </w:r>
          </w:p>
        </w:tc>
        <w:tc>
          <w:tcPr>
            <w:tcW w:w="1957" w:type="dxa"/>
            <w:shd w:val="clear" w:color="auto" w:fill="auto"/>
            <w:vAlign w:val="center"/>
          </w:tcPr>
          <w:p w14:paraId="38174683" w14:textId="77777777" w:rsidR="00B5104C" w:rsidRPr="00C25C44" w:rsidRDefault="00B5104C" w:rsidP="00FC610C">
            <w:pPr>
              <w:pStyle w:val="MDPI42tablebody"/>
              <w:autoSpaceDE w:val="0"/>
              <w:autoSpaceDN w:val="0"/>
              <w:jc w:val="left"/>
              <w:rPr>
                <w:szCs w:val="16"/>
              </w:rPr>
            </w:pPr>
            <w:r w:rsidRPr="00C25C44">
              <w:rPr>
                <w:szCs w:val="16"/>
              </w:rPr>
              <w:t>2429 (5.8)</w:t>
            </w:r>
          </w:p>
        </w:tc>
        <w:tc>
          <w:tcPr>
            <w:tcW w:w="637" w:type="dxa"/>
            <w:shd w:val="clear" w:color="auto" w:fill="auto"/>
            <w:vAlign w:val="center"/>
          </w:tcPr>
          <w:p w14:paraId="6FF8DEB6" w14:textId="77777777" w:rsidR="00B5104C" w:rsidRPr="00C25C44" w:rsidRDefault="00B5104C" w:rsidP="00FC610C">
            <w:pPr>
              <w:pStyle w:val="MDPI42tablebody"/>
              <w:autoSpaceDE w:val="0"/>
              <w:autoSpaceDN w:val="0"/>
              <w:jc w:val="left"/>
              <w:rPr>
                <w:szCs w:val="16"/>
              </w:rPr>
            </w:pPr>
            <w:r w:rsidRPr="00C25C44">
              <w:rPr>
                <w:szCs w:val="16"/>
              </w:rPr>
              <w:t>1.44</w:t>
            </w:r>
          </w:p>
        </w:tc>
        <w:tc>
          <w:tcPr>
            <w:tcW w:w="1080" w:type="dxa"/>
            <w:shd w:val="clear" w:color="auto" w:fill="auto"/>
            <w:vAlign w:val="center"/>
          </w:tcPr>
          <w:p w14:paraId="3984E521" w14:textId="77777777" w:rsidR="00B5104C" w:rsidRPr="00C25C44" w:rsidRDefault="00B5104C" w:rsidP="00FC610C">
            <w:pPr>
              <w:pStyle w:val="MDPI42tablebody"/>
              <w:autoSpaceDE w:val="0"/>
              <w:autoSpaceDN w:val="0"/>
              <w:jc w:val="left"/>
              <w:rPr>
                <w:szCs w:val="16"/>
              </w:rPr>
            </w:pPr>
            <w:r w:rsidRPr="00C25C44">
              <w:rPr>
                <w:szCs w:val="16"/>
              </w:rPr>
              <w:t>1.32–1.57</w:t>
            </w:r>
          </w:p>
        </w:tc>
        <w:tc>
          <w:tcPr>
            <w:tcW w:w="555" w:type="dxa"/>
            <w:shd w:val="clear" w:color="auto" w:fill="auto"/>
            <w:vAlign w:val="center"/>
          </w:tcPr>
          <w:p w14:paraId="3A56E3F4" w14:textId="77777777" w:rsidR="00B5104C" w:rsidRPr="00C25C44" w:rsidRDefault="00B5104C" w:rsidP="00FC610C">
            <w:pPr>
              <w:pStyle w:val="MDPI42tablebody"/>
              <w:autoSpaceDE w:val="0"/>
              <w:autoSpaceDN w:val="0"/>
              <w:jc w:val="left"/>
              <w:rPr>
                <w:szCs w:val="16"/>
              </w:rPr>
            </w:pPr>
            <w:r w:rsidRPr="00C25C44">
              <w:rPr>
                <w:szCs w:val="16"/>
              </w:rPr>
              <w:t>&lt;0.001</w:t>
            </w:r>
          </w:p>
        </w:tc>
      </w:tr>
      <w:tr w:rsidR="00B5104C" w:rsidRPr="00C25C44" w14:paraId="0098F115" w14:textId="77777777" w:rsidTr="00FC610C">
        <w:tc>
          <w:tcPr>
            <w:tcW w:w="1645" w:type="dxa"/>
            <w:shd w:val="clear" w:color="auto" w:fill="auto"/>
            <w:vAlign w:val="center"/>
          </w:tcPr>
          <w:p w14:paraId="1FA43FA1" w14:textId="77777777" w:rsidR="00B5104C" w:rsidRPr="00C25C44" w:rsidRDefault="00B5104C" w:rsidP="00FC610C">
            <w:pPr>
              <w:pStyle w:val="MDPI42tablebody"/>
              <w:autoSpaceDE w:val="0"/>
              <w:autoSpaceDN w:val="0"/>
              <w:jc w:val="left"/>
              <w:rPr>
                <w:szCs w:val="16"/>
              </w:rPr>
            </w:pPr>
            <w:r w:rsidRPr="00C25C44">
              <w:rPr>
                <w:szCs w:val="16"/>
              </w:rPr>
              <w:t>Palmar fascial fibromatosis (</w:t>
            </w:r>
            <w:proofErr w:type="spellStart"/>
            <w:r w:rsidRPr="00C25C44">
              <w:rPr>
                <w:szCs w:val="16"/>
              </w:rPr>
              <w:t>Dupuytren’s</w:t>
            </w:r>
            <w:proofErr w:type="spellEnd"/>
            <w:r w:rsidRPr="00C25C44">
              <w:rPr>
                <w:szCs w:val="16"/>
              </w:rPr>
              <w:t xml:space="preserve"> disease)</w:t>
            </w:r>
          </w:p>
        </w:tc>
        <w:tc>
          <w:tcPr>
            <w:tcW w:w="1984" w:type="dxa"/>
            <w:shd w:val="clear" w:color="auto" w:fill="auto"/>
            <w:vAlign w:val="center"/>
          </w:tcPr>
          <w:p w14:paraId="7B29C86B" w14:textId="77777777" w:rsidR="00B5104C" w:rsidRPr="00C25C44" w:rsidRDefault="00B5104C" w:rsidP="00FC610C">
            <w:pPr>
              <w:pStyle w:val="MDPI42tablebody"/>
              <w:autoSpaceDE w:val="0"/>
              <w:autoSpaceDN w:val="0"/>
              <w:jc w:val="left"/>
              <w:rPr>
                <w:szCs w:val="16"/>
              </w:rPr>
            </w:pPr>
            <w:r w:rsidRPr="00C25C44">
              <w:rPr>
                <w:szCs w:val="16"/>
              </w:rPr>
              <w:t>154 (1.8)</w:t>
            </w:r>
          </w:p>
        </w:tc>
        <w:tc>
          <w:tcPr>
            <w:tcW w:w="1957" w:type="dxa"/>
            <w:shd w:val="clear" w:color="auto" w:fill="auto"/>
            <w:vAlign w:val="center"/>
          </w:tcPr>
          <w:p w14:paraId="0CFAB546" w14:textId="77777777" w:rsidR="00B5104C" w:rsidRPr="00C25C44" w:rsidRDefault="00B5104C" w:rsidP="00FC610C">
            <w:pPr>
              <w:pStyle w:val="MDPI42tablebody"/>
              <w:autoSpaceDE w:val="0"/>
              <w:autoSpaceDN w:val="0"/>
              <w:jc w:val="left"/>
              <w:rPr>
                <w:szCs w:val="16"/>
              </w:rPr>
            </w:pPr>
            <w:r w:rsidRPr="00C25C44">
              <w:rPr>
                <w:szCs w:val="16"/>
              </w:rPr>
              <w:t>496 (1.2)</w:t>
            </w:r>
          </w:p>
        </w:tc>
        <w:tc>
          <w:tcPr>
            <w:tcW w:w="637" w:type="dxa"/>
            <w:shd w:val="clear" w:color="auto" w:fill="auto"/>
            <w:vAlign w:val="center"/>
          </w:tcPr>
          <w:p w14:paraId="0908F069" w14:textId="77777777" w:rsidR="00B5104C" w:rsidRPr="00C25C44" w:rsidRDefault="00B5104C" w:rsidP="00FC610C">
            <w:pPr>
              <w:pStyle w:val="MDPI42tablebody"/>
              <w:autoSpaceDE w:val="0"/>
              <w:autoSpaceDN w:val="0"/>
              <w:jc w:val="left"/>
              <w:rPr>
                <w:szCs w:val="16"/>
              </w:rPr>
            </w:pPr>
            <w:r w:rsidRPr="00C25C44">
              <w:rPr>
                <w:szCs w:val="16"/>
              </w:rPr>
              <w:t>1.41</w:t>
            </w:r>
          </w:p>
        </w:tc>
        <w:tc>
          <w:tcPr>
            <w:tcW w:w="1080" w:type="dxa"/>
            <w:shd w:val="clear" w:color="auto" w:fill="auto"/>
            <w:vAlign w:val="center"/>
          </w:tcPr>
          <w:p w14:paraId="36FBA58A" w14:textId="77777777" w:rsidR="00B5104C" w:rsidRPr="00C25C44" w:rsidRDefault="00B5104C" w:rsidP="00FC610C">
            <w:pPr>
              <w:pStyle w:val="MDPI42tablebody"/>
              <w:autoSpaceDE w:val="0"/>
              <w:autoSpaceDN w:val="0"/>
              <w:jc w:val="left"/>
              <w:rPr>
                <w:szCs w:val="16"/>
              </w:rPr>
            </w:pPr>
            <w:r w:rsidRPr="00C25C44">
              <w:rPr>
                <w:szCs w:val="16"/>
              </w:rPr>
              <w:t>1.17–1.70</w:t>
            </w:r>
          </w:p>
        </w:tc>
        <w:tc>
          <w:tcPr>
            <w:tcW w:w="555" w:type="dxa"/>
            <w:shd w:val="clear" w:color="auto" w:fill="auto"/>
            <w:vAlign w:val="center"/>
          </w:tcPr>
          <w:p w14:paraId="6F0A7E37" w14:textId="77777777" w:rsidR="00B5104C" w:rsidRPr="00C25C44" w:rsidRDefault="00B5104C" w:rsidP="00FC610C">
            <w:pPr>
              <w:pStyle w:val="MDPI42tablebody"/>
              <w:autoSpaceDE w:val="0"/>
              <w:autoSpaceDN w:val="0"/>
              <w:jc w:val="left"/>
              <w:rPr>
                <w:szCs w:val="16"/>
              </w:rPr>
            </w:pPr>
            <w:r w:rsidRPr="00C25C44">
              <w:rPr>
                <w:szCs w:val="16"/>
              </w:rPr>
              <w:t>&lt;0.001</w:t>
            </w:r>
          </w:p>
        </w:tc>
      </w:tr>
      <w:tr w:rsidR="00B5104C" w:rsidRPr="00C25C44" w14:paraId="4E0605D1" w14:textId="77777777" w:rsidTr="00FC610C">
        <w:tc>
          <w:tcPr>
            <w:tcW w:w="1645" w:type="dxa"/>
            <w:shd w:val="clear" w:color="auto" w:fill="auto"/>
            <w:vAlign w:val="center"/>
          </w:tcPr>
          <w:p w14:paraId="066551BA" w14:textId="77777777" w:rsidR="00B5104C" w:rsidRPr="00C25C44" w:rsidRDefault="00B5104C" w:rsidP="00FC610C">
            <w:pPr>
              <w:pStyle w:val="MDPI42tablebody"/>
              <w:autoSpaceDE w:val="0"/>
              <w:autoSpaceDN w:val="0"/>
              <w:jc w:val="left"/>
              <w:rPr>
                <w:szCs w:val="16"/>
              </w:rPr>
            </w:pPr>
            <w:r w:rsidRPr="00C25C44">
              <w:rPr>
                <w:szCs w:val="16"/>
              </w:rPr>
              <w:t>Gout</w:t>
            </w:r>
          </w:p>
        </w:tc>
        <w:tc>
          <w:tcPr>
            <w:tcW w:w="1984" w:type="dxa"/>
            <w:shd w:val="clear" w:color="auto" w:fill="auto"/>
            <w:vAlign w:val="center"/>
          </w:tcPr>
          <w:p w14:paraId="77FD0EA8" w14:textId="77777777" w:rsidR="00B5104C" w:rsidRPr="00C25C44" w:rsidRDefault="00B5104C" w:rsidP="00FC610C">
            <w:pPr>
              <w:pStyle w:val="MDPI42tablebody"/>
              <w:autoSpaceDE w:val="0"/>
              <w:autoSpaceDN w:val="0"/>
              <w:jc w:val="left"/>
              <w:rPr>
                <w:szCs w:val="16"/>
              </w:rPr>
            </w:pPr>
            <w:r w:rsidRPr="00C25C44">
              <w:rPr>
                <w:szCs w:val="16"/>
              </w:rPr>
              <w:t>903 (10.7)</w:t>
            </w:r>
          </w:p>
        </w:tc>
        <w:tc>
          <w:tcPr>
            <w:tcW w:w="1957" w:type="dxa"/>
            <w:shd w:val="clear" w:color="auto" w:fill="auto"/>
            <w:vAlign w:val="center"/>
          </w:tcPr>
          <w:p w14:paraId="4228304F" w14:textId="77777777" w:rsidR="00B5104C" w:rsidRPr="00C25C44" w:rsidRDefault="00B5104C" w:rsidP="00FC610C">
            <w:pPr>
              <w:pStyle w:val="MDPI42tablebody"/>
              <w:autoSpaceDE w:val="0"/>
              <w:autoSpaceDN w:val="0"/>
              <w:jc w:val="left"/>
              <w:rPr>
                <w:szCs w:val="16"/>
              </w:rPr>
            </w:pPr>
            <w:r w:rsidRPr="00C25C44">
              <w:rPr>
                <w:szCs w:val="16"/>
              </w:rPr>
              <w:t>3214 (7.6)</w:t>
            </w:r>
          </w:p>
        </w:tc>
        <w:tc>
          <w:tcPr>
            <w:tcW w:w="637" w:type="dxa"/>
            <w:shd w:val="clear" w:color="auto" w:fill="auto"/>
            <w:vAlign w:val="center"/>
          </w:tcPr>
          <w:p w14:paraId="1AD2293C" w14:textId="77777777" w:rsidR="00B5104C" w:rsidRPr="00C25C44" w:rsidRDefault="00B5104C" w:rsidP="00FC610C">
            <w:pPr>
              <w:pStyle w:val="MDPI42tablebody"/>
              <w:autoSpaceDE w:val="0"/>
              <w:autoSpaceDN w:val="0"/>
              <w:jc w:val="left"/>
              <w:rPr>
                <w:szCs w:val="16"/>
              </w:rPr>
            </w:pPr>
            <w:r w:rsidRPr="00C25C44">
              <w:rPr>
                <w:szCs w:val="16"/>
              </w:rPr>
              <w:t>1.36</w:t>
            </w:r>
          </w:p>
        </w:tc>
        <w:tc>
          <w:tcPr>
            <w:tcW w:w="1080" w:type="dxa"/>
            <w:shd w:val="clear" w:color="auto" w:fill="auto"/>
            <w:vAlign w:val="center"/>
          </w:tcPr>
          <w:p w14:paraId="0B8490CE" w14:textId="77777777" w:rsidR="00B5104C" w:rsidRPr="00C25C44" w:rsidRDefault="00B5104C" w:rsidP="00FC610C">
            <w:pPr>
              <w:pStyle w:val="MDPI42tablebody"/>
              <w:autoSpaceDE w:val="0"/>
              <w:autoSpaceDN w:val="0"/>
              <w:jc w:val="left"/>
              <w:rPr>
                <w:szCs w:val="16"/>
              </w:rPr>
            </w:pPr>
            <w:r w:rsidRPr="00C25C44">
              <w:rPr>
                <w:szCs w:val="16"/>
              </w:rPr>
              <w:t>1.26–1.47</w:t>
            </w:r>
          </w:p>
        </w:tc>
        <w:tc>
          <w:tcPr>
            <w:tcW w:w="555" w:type="dxa"/>
            <w:shd w:val="clear" w:color="auto" w:fill="auto"/>
            <w:vAlign w:val="center"/>
          </w:tcPr>
          <w:p w14:paraId="77B3F68A" w14:textId="77777777" w:rsidR="00B5104C" w:rsidRPr="00C25C44" w:rsidRDefault="00B5104C" w:rsidP="00FC610C">
            <w:pPr>
              <w:pStyle w:val="MDPI42tablebody"/>
              <w:autoSpaceDE w:val="0"/>
              <w:autoSpaceDN w:val="0"/>
              <w:jc w:val="left"/>
              <w:rPr>
                <w:szCs w:val="16"/>
              </w:rPr>
            </w:pPr>
            <w:r w:rsidRPr="00C25C44">
              <w:rPr>
                <w:szCs w:val="16"/>
              </w:rPr>
              <w:t>&lt;0.001</w:t>
            </w:r>
          </w:p>
        </w:tc>
      </w:tr>
      <w:tr w:rsidR="00B5104C" w:rsidRPr="00C25C44" w14:paraId="1036465B" w14:textId="77777777" w:rsidTr="00FC610C">
        <w:tc>
          <w:tcPr>
            <w:tcW w:w="1645" w:type="dxa"/>
            <w:shd w:val="clear" w:color="auto" w:fill="auto"/>
            <w:vAlign w:val="center"/>
          </w:tcPr>
          <w:p w14:paraId="5819FC2A" w14:textId="77777777" w:rsidR="00B5104C" w:rsidRPr="00C25C44" w:rsidRDefault="00B5104C" w:rsidP="00FC610C">
            <w:pPr>
              <w:pStyle w:val="MDPI42tablebody"/>
              <w:autoSpaceDE w:val="0"/>
              <w:autoSpaceDN w:val="0"/>
              <w:jc w:val="left"/>
              <w:rPr>
                <w:szCs w:val="16"/>
              </w:rPr>
            </w:pPr>
            <w:r w:rsidRPr="00C25C44">
              <w:rPr>
                <w:szCs w:val="16"/>
              </w:rPr>
              <w:t>Reaction to severe stress, and adjustment disorders</w:t>
            </w:r>
          </w:p>
        </w:tc>
        <w:tc>
          <w:tcPr>
            <w:tcW w:w="1984" w:type="dxa"/>
            <w:shd w:val="clear" w:color="auto" w:fill="auto"/>
            <w:vAlign w:val="center"/>
          </w:tcPr>
          <w:p w14:paraId="77EBBDE8" w14:textId="77777777" w:rsidR="00B5104C" w:rsidRPr="00C25C44" w:rsidRDefault="00B5104C" w:rsidP="00FC610C">
            <w:pPr>
              <w:pStyle w:val="MDPI42tablebody"/>
              <w:autoSpaceDE w:val="0"/>
              <w:autoSpaceDN w:val="0"/>
              <w:jc w:val="left"/>
              <w:rPr>
                <w:szCs w:val="16"/>
              </w:rPr>
            </w:pPr>
            <w:r w:rsidRPr="00C25C44">
              <w:rPr>
                <w:szCs w:val="16"/>
              </w:rPr>
              <w:t>763 (9.0)</w:t>
            </w:r>
          </w:p>
        </w:tc>
        <w:tc>
          <w:tcPr>
            <w:tcW w:w="1957" w:type="dxa"/>
            <w:shd w:val="clear" w:color="auto" w:fill="auto"/>
            <w:vAlign w:val="center"/>
          </w:tcPr>
          <w:p w14:paraId="29E167A4" w14:textId="77777777" w:rsidR="00B5104C" w:rsidRPr="00C25C44" w:rsidRDefault="00B5104C" w:rsidP="00FC610C">
            <w:pPr>
              <w:pStyle w:val="MDPI42tablebody"/>
              <w:autoSpaceDE w:val="0"/>
              <w:autoSpaceDN w:val="0"/>
              <w:jc w:val="left"/>
              <w:rPr>
                <w:szCs w:val="16"/>
              </w:rPr>
            </w:pPr>
            <w:r w:rsidRPr="00C25C44">
              <w:rPr>
                <w:szCs w:val="16"/>
              </w:rPr>
              <w:t>2582 (6.1)</w:t>
            </w:r>
          </w:p>
        </w:tc>
        <w:tc>
          <w:tcPr>
            <w:tcW w:w="637" w:type="dxa"/>
            <w:shd w:val="clear" w:color="auto" w:fill="auto"/>
            <w:vAlign w:val="center"/>
          </w:tcPr>
          <w:p w14:paraId="4751C9E2" w14:textId="77777777" w:rsidR="00B5104C" w:rsidRPr="00C25C44" w:rsidRDefault="00B5104C" w:rsidP="00FC610C">
            <w:pPr>
              <w:pStyle w:val="MDPI42tablebody"/>
              <w:autoSpaceDE w:val="0"/>
              <w:autoSpaceDN w:val="0"/>
              <w:jc w:val="left"/>
              <w:rPr>
                <w:szCs w:val="16"/>
              </w:rPr>
            </w:pPr>
            <w:r w:rsidRPr="00C25C44">
              <w:rPr>
                <w:szCs w:val="16"/>
              </w:rPr>
              <w:t>1.32</w:t>
            </w:r>
          </w:p>
        </w:tc>
        <w:tc>
          <w:tcPr>
            <w:tcW w:w="1080" w:type="dxa"/>
            <w:shd w:val="clear" w:color="auto" w:fill="auto"/>
            <w:vAlign w:val="center"/>
          </w:tcPr>
          <w:p w14:paraId="27BAABA2" w14:textId="77777777" w:rsidR="00B5104C" w:rsidRPr="00C25C44" w:rsidRDefault="00B5104C" w:rsidP="00FC610C">
            <w:pPr>
              <w:pStyle w:val="MDPI42tablebody"/>
              <w:autoSpaceDE w:val="0"/>
              <w:autoSpaceDN w:val="0"/>
              <w:jc w:val="left"/>
              <w:rPr>
                <w:szCs w:val="16"/>
              </w:rPr>
            </w:pPr>
            <w:r w:rsidRPr="00C25C44">
              <w:rPr>
                <w:szCs w:val="16"/>
              </w:rPr>
              <w:t>1.21–1.45</w:t>
            </w:r>
          </w:p>
        </w:tc>
        <w:tc>
          <w:tcPr>
            <w:tcW w:w="555" w:type="dxa"/>
            <w:shd w:val="clear" w:color="auto" w:fill="auto"/>
            <w:vAlign w:val="center"/>
          </w:tcPr>
          <w:p w14:paraId="3F573919" w14:textId="77777777" w:rsidR="00B5104C" w:rsidRPr="00C25C44" w:rsidRDefault="00B5104C" w:rsidP="00FC610C">
            <w:pPr>
              <w:pStyle w:val="MDPI42tablebody"/>
              <w:autoSpaceDE w:val="0"/>
              <w:autoSpaceDN w:val="0"/>
              <w:jc w:val="left"/>
              <w:rPr>
                <w:szCs w:val="16"/>
              </w:rPr>
            </w:pPr>
            <w:r w:rsidRPr="00C25C44">
              <w:rPr>
                <w:szCs w:val="16"/>
              </w:rPr>
              <w:t>&lt;0.001</w:t>
            </w:r>
          </w:p>
        </w:tc>
      </w:tr>
      <w:tr w:rsidR="00B5104C" w:rsidRPr="00C25C44" w14:paraId="15440C68" w14:textId="77777777" w:rsidTr="00FC610C">
        <w:tc>
          <w:tcPr>
            <w:tcW w:w="1645" w:type="dxa"/>
            <w:shd w:val="clear" w:color="auto" w:fill="auto"/>
            <w:vAlign w:val="center"/>
          </w:tcPr>
          <w:p w14:paraId="0D35D579" w14:textId="77777777" w:rsidR="00B5104C" w:rsidRPr="00C25C44" w:rsidRDefault="00B5104C" w:rsidP="00FC610C">
            <w:pPr>
              <w:pStyle w:val="MDPI42tablebody"/>
              <w:autoSpaceDE w:val="0"/>
              <w:autoSpaceDN w:val="0"/>
              <w:jc w:val="left"/>
              <w:rPr>
                <w:szCs w:val="16"/>
              </w:rPr>
            </w:pPr>
            <w:r w:rsidRPr="00C25C44">
              <w:rPr>
                <w:szCs w:val="16"/>
              </w:rPr>
              <w:t>Gastro-esophageal reflux disease</w:t>
            </w:r>
          </w:p>
        </w:tc>
        <w:tc>
          <w:tcPr>
            <w:tcW w:w="1984" w:type="dxa"/>
            <w:shd w:val="clear" w:color="auto" w:fill="auto"/>
            <w:vAlign w:val="center"/>
          </w:tcPr>
          <w:p w14:paraId="654B3036" w14:textId="77777777" w:rsidR="00B5104C" w:rsidRPr="00C25C44" w:rsidRDefault="00B5104C" w:rsidP="00FC610C">
            <w:pPr>
              <w:pStyle w:val="MDPI42tablebody"/>
              <w:autoSpaceDE w:val="0"/>
              <w:autoSpaceDN w:val="0"/>
              <w:jc w:val="left"/>
              <w:rPr>
                <w:szCs w:val="16"/>
              </w:rPr>
            </w:pPr>
            <w:r w:rsidRPr="00C25C44">
              <w:rPr>
                <w:szCs w:val="16"/>
              </w:rPr>
              <w:t>2200 (26.1)</w:t>
            </w:r>
          </w:p>
        </w:tc>
        <w:tc>
          <w:tcPr>
            <w:tcW w:w="1957" w:type="dxa"/>
            <w:shd w:val="clear" w:color="auto" w:fill="auto"/>
            <w:vAlign w:val="center"/>
          </w:tcPr>
          <w:p w14:paraId="10857CBC" w14:textId="77777777" w:rsidR="00B5104C" w:rsidRPr="00C25C44" w:rsidRDefault="00B5104C" w:rsidP="00FC610C">
            <w:pPr>
              <w:pStyle w:val="MDPI42tablebody"/>
              <w:autoSpaceDE w:val="0"/>
              <w:autoSpaceDN w:val="0"/>
              <w:jc w:val="left"/>
              <w:rPr>
                <w:szCs w:val="16"/>
              </w:rPr>
            </w:pPr>
            <w:r w:rsidRPr="00C25C44">
              <w:rPr>
                <w:szCs w:val="16"/>
              </w:rPr>
              <w:t>8416 (19.9)</w:t>
            </w:r>
          </w:p>
        </w:tc>
        <w:tc>
          <w:tcPr>
            <w:tcW w:w="637" w:type="dxa"/>
            <w:shd w:val="clear" w:color="auto" w:fill="auto"/>
            <w:vAlign w:val="center"/>
          </w:tcPr>
          <w:p w14:paraId="6C0EE819" w14:textId="77777777" w:rsidR="00B5104C" w:rsidRPr="00C25C44" w:rsidRDefault="00B5104C" w:rsidP="00FC610C">
            <w:pPr>
              <w:pStyle w:val="MDPI42tablebody"/>
              <w:autoSpaceDE w:val="0"/>
              <w:autoSpaceDN w:val="0"/>
              <w:jc w:val="left"/>
              <w:rPr>
                <w:szCs w:val="16"/>
              </w:rPr>
            </w:pPr>
            <w:r w:rsidRPr="00C25C44">
              <w:rPr>
                <w:szCs w:val="16"/>
              </w:rPr>
              <w:t>1.29</w:t>
            </w:r>
          </w:p>
        </w:tc>
        <w:tc>
          <w:tcPr>
            <w:tcW w:w="1080" w:type="dxa"/>
            <w:shd w:val="clear" w:color="auto" w:fill="auto"/>
            <w:vAlign w:val="center"/>
          </w:tcPr>
          <w:p w14:paraId="12EB02F1" w14:textId="77777777" w:rsidR="00B5104C" w:rsidRPr="00C25C44" w:rsidRDefault="00B5104C" w:rsidP="00FC610C">
            <w:pPr>
              <w:pStyle w:val="MDPI42tablebody"/>
              <w:autoSpaceDE w:val="0"/>
              <w:autoSpaceDN w:val="0"/>
              <w:jc w:val="left"/>
              <w:rPr>
                <w:szCs w:val="16"/>
              </w:rPr>
            </w:pPr>
            <w:r w:rsidRPr="00C25C44">
              <w:rPr>
                <w:szCs w:val="16"/>
              </w:rPr>
              <w:t>1.22–1.36</w:t>
            </w:r>
          </w:p>
        </w:tc>
        <w:tc>
          <w:tcPr>
            <w:tcW w:w="555" w:type="dxa"/>
            <w:shd w:val="clear" w:color="auto" w:fill="auto"/>
            <w:vAlign w:val="center"/>
          </w:tcPr>
          <w:p w14:paraId="5CDC94C4" w14:textId="77777777" w:rsidR="00B5104C" w:rsidRPr="00C25C44" w:rsidRDefault="00B5104C" w:rsidP="00FC610C">
            <w:pPr>
              <w:pStyle w:val="MDPI42tablebody"/>
              <w:autoSpaceDE w:val="0"/>
              <w:autoSpaceDN w:val="0"/>
              <w:jc w:val="left"/>
              <w:rPr>
                <w:szCs w:val="16"/>
              </w:rPr>
            </w:pPr>
            <w:r w:rsidRPr="00C25C44">
              <w:rPr>
                <w:szCs w:val="16"/>
              </w:rPr>
              <w:t>&lt;0.001</w:t>
            </w:r>
          </w:p>
        </w:tc>
      </w:tr>
      <w:tr w:rsidR="00B5104C" w:rsidRPr="00C25C44" w14:paraId="04E97C49" w14:textId="77777777" w:rsidTr="00FC610C">
        <w:tc>
          <w:tcPr>
            <w:tcW w:w="1645" w:type="dxa"/>
            <w:shd w:val="clear" w:color="auto" w:fill="auto"/>
            <w:vAlign w:val="center"/>
          </w:tcPr>
          <w:p w14:paraId="6E9CA627" w14:textId="77777777" w:rsidR="00B5104C" w:rsidRPr="00C25C44" w:rsidRDefault="00B5104C" w:rsidP="00FC610C">
            <w:pPr>
              <w:pStyle w:val="MDPI42tablebody"/>
              <w:autoSpaceDE w:val="0"/>
              <w:autoSpaceDN w:val="0"/>
              <w:jc w:val="left"/>
              <w:rPr>
                <w:szCs w:val="16"/>
              </w:rPr>
            </w:pPr>
            <w:r w:rsidRPr="00C25C44">
              <w:rPr>
                <w:szCs w:val="16"/>
              </w:rPr>
              <w:t>Somatoform disorders</w:t>
            </w:r>
          </w:p>
        </w:tc>
        <w:tc>
          <w:tcPr>
            <w:tcW w:w="1984" w:type="dxa"/>
            <w:shd w:val="clear" w:color="auto" w:fill="auto"/>
            <w:vAlign w:val="center"/>
          </w:tcPr>
          <w:p w14:paraId="0A9F251A" w14:textId="77777777" w:rsidR="00B5104C" w:rsidRPr="00C25C44" w:rsidRDefault="00B5104C" w:rsidP="00FC610C">
            <w:pPr>
              <w:pStyle w:val="MDPI42tablebody"/>
              <w:autoSpaceDE w:val="0"/>
              <w:autoSpaceDN w:val="0"/>
              <w:jc w:val="left"/>
              <w:rPr>
                <w:szCs w:val="16"/>
              </w:rPr>
            </w:pPr>
            <w:r w:rsidRPr="00C25C44">
              <w:rPr>
                <w:szCs w:val="16"/>
              </w:rPr>
              <w:t>1348 (16.0)</w:t>
            </w:r>
          </w:p>
        </w:tc>
        <w:tc>
          <w:tcPr>
            <w:tcW w:w="1957" w:type="dxa"/>
            <w:shd w:val="clear" w:color="auto" w:fill="auto"/>
            <w:vAlign w:val="center"/>
          </w:tcPr>
          <w:p w14:paraId="165EFE89" w14:textId="77777777" w:rsidR="00B5104C" w:rsidRPr="00C25C44" w:rsidRDefault="00B5104C" w:rsidP="00FC610C">
            <w:pPr>
              <w:pStyle w:val="MDPI42tablebody"/>
              <w:autoSpaceDE w:val="0"/>
              <w:autoSpaceDN w:val="0"/>
              <w:jc w:val="left"/>
              <w:rPr>
                <w:szCs w:val="16"/>
              </w:rPr>
            </w:pPr>
            <w:r w:rsidRPr="00C25C44">
              <w:rPr>
                <w:szCs w:val="16"/>
              </w:rPr>
              <w:t>5030 (11.9)</w:t>
            </w:r>
          </w:p>
        </w:tc>
        <w:tc>
          <w:tcPr>
            <w:tcW w:w="637" w:type="dxa"/>
            <w:shd w:val="clear" w:color="auto" w:fill="auto"/>
            <w:vAlign w:val="center"/>
          </w:tcPr>
          <w:p w14:paraId="55578810" w14:textId="77777777" w:rsidR="00B5104C" w:rsidRPr="00C25C44" w:rsidRDefault="00B5104C" w:rsidP="00FC610C">
            <w:pPr>
              <w:pStyle w:val="MDPI42tablebody"/>
              <w:autoSpaceDE w:val="0"/>
              <w:autoSpaceDN w:val="0"/>
              <w:jc w:val="left"/>
              <w:rPr>
                <w:szCs w:val="16"/>
              </w:rPr>
            </w:pPr>
            <w:r w:rsidRPr="00C25C44">
              <w:rPr>
                <w:szCs w:val="16"/>
              </w:rPr>
              <w:t>1.19</w:t>
            </w:r>
          </w:p>
        </w:tc>
        <w:tc>
          <w:tcPr>
            <w:tcW w:w="1080" w:type="dxa"/>
            <w:shd w:val="clear" w:color="auto" w:fill="auto"/>
            <w:vAlign w:val="center"/>
          </w:tcPr>
          <w:p w14:paraId="1A0BB3CB" w14:textId="77777777" w:rsidR="00B5104C" w:rsidRPr="00C25C44" w:rsidRDefault="00B5104C" w:rsidP="00FC610C">
            <w:pPr>
              <w:pStyle w:val="MDPI42tablebody"/>
              <w:autoSpaceDE w:val="0"/>
              <w:autoSpaceDN w:val="0"/>
              <w:jc w:val="left"/>
              <w:rPr>
                <w:szCs w:val="16"/>
              </w:rPr>
            </w:pPr>
            <w:r w:rsidRPr="00C25C44">
              <w:rPr>
                <w:szCs w:val="16"/>
              </w:rPr>
              <w:t>1.11–1.28</w:t>
            </w:r>
          </w:p>
        </w:tc>
        <w:tc>
          <w:tcPr>
            <w:tcW w:w="555" w:type="dxa"/>
            <w:shd w:val="clear" w:color="auto" w:fill="auto"/>
            <w:vAlign w:val="center"/>
          </w:tcPr>
          <w:p w14:paraId="4DFD2E63" w14:textId="77777777" w:rsidR="00B5104C" w:rsidRPr="00C25C44" w:rsidRDefault="00B5104C" w:rsidP="00FC610C">
            <w:pPr>
              <w:pStyle w:val="MDPI42tablebody"/>
              <w:autoSpaceDE w:val="0"/>
              <w:autoSpaceDN w:val="0"/>
              <w:jc w:val="left"/>
              <w:rPr>
                <w:szCs w:val="16"/>
              </w:rPr>
            </w:pPr>
            <w:r w:rsidRPr="00C25C44">
              <w:rPr>
                <w:szCs w:val="16"/>
              </w:rPr>
              <w:t>&lt;0.001</w:t>
            </w:r>
          </w:p>
        </w:tc>
      </w:tr>
      <w:tr w:rsidR="00B5104C" w:rsidRPr="00C25C44" w14:paraId="22DEBE3D" w14:textId="77777777" w:rsidTr="00FC610C">
        <w:tc>
          <w:tcPr>
            <w:tcW w:w="1645" w:type="dxa"/>
            <w:shd w:val="clear" w:color="auto" w:fill="auto"/>
            <w:vAlign w:val="center"/>
          </w:tcPr>
          <w:p w14:paraId="0C51BAB7" w14:textId="77777777" w:rsidR="00B5104C" w:rsidRPr="00C25C44" w:rsidRDefault="00B5104C" w:rsidP="00FC610C">
            <w:pPr>
              <w:pStyle w:val="MDPI42tablebody"/>
              <w:autoSpaceDE w:val="0"/>
              <w:autoSpaceDN w:val="0"/>
              <w:jc w:val="left"/>
              <w:rPr>
                <w:szCs w:val="16"/>
              </w:rPr>
            </w:pPr>
            <w:r w:rsidRPr="00C25C44">
              <w:rPr>
                <w:szCs w:val="16"/>
              </w:rPr>
              <w:t>Overweight and obesity</w:t>
            </w:r>
          </w:p>
        </w:tc>
        <w:tc>
          <w:tcPr>
            <w:tcW w:w="1984" w:type="dxa"/>
            <w:shd w:val="clear" w:color="auto" w:fill="auto"/>
            <w:vAlign w:val="center"/>
          </w:tcPr>
          <w:p w14:paraId="3674A8D1" w14:textId="77777777" w:rsidR="00B5104C" w:rsidRPr="00C25C44" w:rsidRDefault="00B5104C" w:rsidP="00FC610C">
            <w:pPr>
              <w:pStyle w:val="MDPI42tablebody"/>
              <w:autoSpaceDE w:val="0"/>
              <w:autoSpaceDN w:val="0"/>
              <w:jc w:val="left"/>
              <w:rPr>
                <w:szCs w:val="16"/>
              </w:rPr>
            </w:pPr>
            <w:r w:rsidRPr="00C25C44">
              <w:rPr>
                <w:szCs w:val="16"/>
              </w:rPr>
              <w:t>982 (11.6)</w:t>
            </w:r>
          </w:p>
        </w:tc>
        <w:tc>
          <w:tcPr>
            <w:tcW w:w="1957" w:type="dxa"/>
            <w:shd w:val="clear" w:color="auto" w:fill="auto"/>
            <w:vAlign w:val="center"/>
          </w:tcPr>
          <w:p w14:paraId="347D2574" w14:textId="77777777" w:rsidR="00B5104C" w:rsidRPr="00C25C44" w:rsidRDefault="00B5104C" w:rsidP="00FC610C">
            <w:pPr>
              <w:pStyle w:val="MDPI42tablebody"/>
              <w:autoSpaceDE w:val="0"/>
              <w:autoSpaceDN w:val="0"/>
              <w:jc w:val="left"/>
              <w:rPr>
                <w:szCs w:val="16"/>
              </w:rPr>
            </w:pPr>
            <w:r w:rsidRPr="00C25C44">
              <w:rPr>
                <w:szCs w:val="16"/>
              </w:rPr>
              <w:t>3922 (9.3)</w:t>
            </w:r>
          </w:p>
        </w:tc>
        <w:tc>
          <w:tcPr>
            <w:tcW w:w="637" w:type="dxa"/>
            <w:shd w:val="clear" w:color="auto" w:fill="auto"/>
            <w:vAlign w:val="center"/>
          </w:tcPr>
          <w:p w14:paraId="4012B094" w14:textId="77777777" w:rsidR="00B5104C" w:rsidRPr="00C25C44" w:rsidRDefault="00B5104C" w:rsidP="00FC610C">
            <w:pPr>
              <w:pStyle w:val="MDPI42tablebody"/>
              <w:autoSpaceDE w:val="0"/>
              <w:autoSpaceDN w:val="0"/>
              <w:jc w:val="left"/>
              <w:rPr>
                <w:szCs w:val="16"/>
              </w:rPr>
            </w:pPr>
            <w:r w:rsidRPr="00C25C44">
              <w:rPr>
                <w:szCs w:val="16"/>
              </w:rPr>
              <w:t>1.15</w:t>
            </w:r>
          </w:p>
        </w:tc>
        <w:tc>
          <w:tcPr>
            <w:tcW w:w="1080" w:type="dxa"/>
            <w:shd w:val="clear" w:color="auto" w:fill="auto"/>
            <w:vAlign w:val="center"/>
          </w:tcPr>
          <w:p w14:paraId="280CE4A6" w14:textId="77777777" w:rsidR="00B5104C" w:rsidRPr="00C25C44" w:rsidRDefault="00B5104C" w:rsidP="00FC610C">
            <w:pPr>
              <w:pStyle w:val="MDPI42tablebody"/>
              <w:autoSpaceDE w:val="0"/>
              <w:autoSpaceDN w:val="0"/>
              <w:jc w:val="left"/>
              <w:rPr>
                <w:szCs w:val="16"/>
              </w:rPr>
            </w:pPr>
            <w:r w:rsidRPr="00C25C44">
              <w:rPr>
                <w:szCs w:val="16"/>
              </w:rPr>
              <w:t>1.06–1.24</w:t>
            </w:r>
          </w:p>
        </w:tc>
        <w:tc>
          <w:tcPr>
            <w:tcW w:w="555" w:type="dxa"/>
            <w:shd w:val="clear" w:color="auto" w:fill="auto"/>
            <w:vAlign w:val="center"/>
          </w:tcPr>
          <w:p w14:paraId="11AC87B4" w14:textId="77777777" w:rsidR="00B5104C" w:rsidRPr="00C25C44" w:rsidRDefault="00B5104C" w:rsidP="00FC610C">
            <w:pPr>
              <w:pStyle w:val="MDPI42tablebody"/>
              <w:autoSpaceDE w:val="0"/>
              <w:autoSpaceDN w:val="0"/>
              <w:jc w:val="left"/>
              <w:rPr>
                <w:szCs w:val="16"/>
              </w:rPr>
            </w:pPr>
            <w:r w:rsidRPr="00C25C44">
              <w:rPr>
                <w:szCs w:val="16"/>
              </w:rPr>
              <w:t>&lt;0.001</w:t>
            </w:r>
          </w:p>
        </w:tc>
      </w:tr>
      <w:tr w:rsidR="00B5104C" w:rsidRPr="00C25C44" w14:paraId="5A272F14" w14:textId="77777777" w:rsidTr="00FC610C">
        <w:tc>
          <w:tcPr>
            <w:tcW w:w="1645" w:type="dxa"/>
            <w:shd w:val="clear" w:color="auto" w:fill="auto"/>
            <w:vAlign w:val="center"/>
          </w:tcPr>
          <w:p w14:paraId="5634E654" w14:textId="77777777" w:rsidR="00B5104C" w:rsidRPr="00C25C44" w:rsidRDefault="00B5104C" w:rsidP="00FC610C">
            <w:pPr>
              <w:pStyle w:val="MDPI42tablebody"/>
              <w:autoSpaceDE w:val="0"/>
              <w:autoSpaceDN w:val="0"/>
              <w:jc w:val="left"/>
              <w:rPr>
                <w:szCs w:val="16"/>
              </w:rPr>
            </w:pPr>
            <w:r w:rsidRPr="00C25C44">
              <w:rPr>
                <w:szCs w:val="16"/>
              </w:rPr>
              <w:t>Rheumatoid arthritis</w:t>
            </w:r>
          </w:p>
        </w:tc>
        <w:tc>
          <w:tcPr>
            <w:tcW w:w="1984" w:type="dxa"/>
            <w:shd w:val="clear" w:color="auto" w:fill="auto"/>
            <w:vAlign w:val="center"/>
          </w:tcPr>
          <w:p w14:paraId="4674F8E3" w14:textId="77777777" w:rsidR="00B5104C" w:rsidRPr="00C25C44" w:rsidRDefault="00B5104C" w:rsidP="00FC610C">
            <w:pPr>
              <w:pStyle w:val="MDPI42tablebody"/>
              <w:autoSpaceDE w:val="0"/>
              <w:autoSpaceDN w:val="0"/>
              <w:jc w:val="left"/>
              <w:rPr>
                <w:szCs w:val="16"/>
              </w:rPr>
            </w:pPr>
            <w:r w:rsidRPr="00C25C44">
              <w:rPr>
                <w:szCs w:val="16"/>
              </w:rPr>
              <w:t>443 (5.2)</w:t>
            </w:r>
          </w:p>
        </w:tc>
        <w:tc>
          <w:tcPr>
            <w:tcW w:w="1957" w:type="dxa"/>
            <w:shd w:val="clear" w:color="auto" w:fill="auto"/>
            <w:vAlign w:val="center"/>
          </w:tcPr>
          <w:p w14:paraId="107CE42D" w14:textId="77777777" w:rsidR="00B5104C" w:rsidRPr="00C25C44" w:rsidRDefault="00B5104C" w:rsidP="00FC610C">
            <w:pPr>
              <w:pStyle w:val="MDPI42tablebody"/>
              <w:autoSpaceDE w:val="0"/>
              <w:autoSpaceDN w:val="0"/>
              <w:jc w:val="left"/>
              <w:rPr>
                <w:szCs w:val="16"/>
              </w:rPr>
            </w:pPr>
            <w:r w:rsidRPr="00C25C44">
              <w:rPr>
                <w:szCs w:val="16"/>
              </w:rPr>
              <w:t>1604 (3.8)</w:t>
            </w:r>
          </w:p>
        </w:tc>
        <w:tc>
          <w:tcPr>
            <w:tcW w:w="637" w:type="dxa"/>
            <w:shd w:val="clear" w:color="auto" w:fill="auto"/>
            <w:vAlign w:val="center"/>
          </w:tcPr>
          <w:p w14:paraId="224A3F4F" w14:textId="77777777" w:rsidR="00B5104C" w:rsidRPr="00C25C44" w:rsidRDefault="00B5104C" w:rsidP="00FC610C">
            <w:pPr>
              <w:pStyle w:val="MDPI42tablebody"/>
              <w:autoSpaceDE w:val="0"/>
              <w:autoSpaceDN w:val="0"/>
              <w:jc w:val="left"/>
              <w:rPr>
                <w:szCs w:val="16"/>
              </w:rPr>
            </w:pPr>
            <w:r w:rsidRPr="00C25C44">
              <w:rPr>
                <w:szCs w:val="16"/>
              </w:rPr>
              <w:t>1.15</w:t>
            </w:r>
          </w:p>
        </w:tc>
        <w:tc>
          <w:tcPr>
            <w:tcW w:w="1080" w:type="dxa"/>
            <w:shd w:val="clear" w:color="auto" w:fill="auto"/>
            <w:vAlign w:val="center"/>
          </w:tcPr>
          <w:p w14:paraId="156B6C94" w14:textId="77777777" w:rsidR="00B5104C" w:rsidRPr="00C25C44" w:rsidRDefault="00B5104C" w:rsidP="00FC610C">
            <w:pPr>
              <w:pStyle w:val="MDPI42tablebody"/>
              <w:autoSpaceDE w:val="0"/>
              <w:autoSpaceDN w:val="0"/>
              <w:jc w:val="left"/>
              <w:rPr>
                <w:szCs w:val="16"/>
              </w:rPr>
            </w:pPr>
            <w:r w:rsidRPr="00C25C44">
              <w:rPr>
                <w:szCs w:val="16"/>
              </w:rPr>
              <w:t>1.03–1.28</w:t>
            </w:r>
          </w:p>
        </w:tc>
        <w:tc>
          <w:tcPr>
            <w:tcW w:w="555" w:type="dxa"/>
            <w:shd w:val="clear" w:color="auto" w:fill="auto"/>
            <w:vAlign w:val="center"/>
          </w:tcPr>
          <w:p w14:paraId="55312A0E" w14:textId="77777777" w:rsidR="00B5104C" w:rsidRPr="00C25C44" w:rsidRDefault="00B5104C" w:rsidP="00FC610C">
            <w:pPr>
              <w:pStyle w:val="MDPI42tablebody"/>
              <w:autoSpaceDE w:val="0"/>
              <w:autoSpaceDN w:val="0"/>
              <w:jc w:val="left"/>
              <w:rPr>
                <w:szCs w:val="16"/>
              </w:rPr>
            </w:pPr>
            <w:r w:rsidRPr="00C25C44">
              <w:rPr>
                <w:szCs w:val="16"/>
              </w:rPr>
              <w:t>0.015</w:t>
            </w:r>
          </w:p>
        </w:tc>
      </w:tr>
      <w:tr w:rsidR="00B5104C" w:rsidRPr="00C25C44" w14:paraId="537C61BC" w14:textId="77777777" w:rsidTr="00FC610C">
        <w:tc>
          <w:tcPr>
            <w:tcW w:w="1645" w:type="dxa"/>
            <w:shd w:val="clear" w:color="auto" w:fill="auto"/>
            <w:vAlign w:val="center"/>
          </w:tcPr>
          <w:p w14:paraId="2C4603DC" w14:textId="77777777" w:rsidR="00B5104C" w:rsidRPr="00C25C44" w:rsidRDefault="00B5104C" w:rsidP="00FC610C">
            <w:pPr>
              <w:pStyle w:val="MDPI42tablebody"/>
              <w:autoSpaceDE w:val="0"/>
              <w:autoSpaceDN w:val="0"/>
              <w:jc w:val="left"/>
              <w:rPr>
                <w:szCs w:val="16"/>
              </w:rPr>
            </w:pPr>
            <w:r w:rsidRPr="00C25C44">
              <w:rPr>
                <w:szCs w:val="16"/>
              </w:rPr>
              <w:lastRenderedPageBreak/>
              <w:t>Unspecified chronic bronchitis</w:t>
            </w:r>
          </w:p>
        </w:tc>
        <w:tc>
          <w:tcPr>
            <w:tcW w:w="1984" w:type="dxa"/>
            <w:shd w:val="clear" w:color="auto" w:fill="auto"/>
            <w:vAlign w:val="center"/>
          </w:tcPr>
          <w:p w14:paraId="150ED07D" w14:textId="77777777" w:rsidR="00B5104C" w:rsidRPr="00C25C44" w:rsidRDefault="00B5104C" w:rsidP="00FC610C">
            <w:pPr>
              <w:pStyle w:val="MDPI42tablebody"/>
              <w:autoSpaceDE w:val="0"/>
              <w:autoSpaceDN w:val="0"/>
              <w:jc w:val="left"/>
              <w:rPr>
                <w:szCs w:val="16"/>
              </w:rPr>
            </w:pPr>
            <w:r w:rsidRPr="00C25C44">
              <w:rPr>
                <w:szCs w:val="16"/>
              </w:rPr>
              <w:t>314 (3.7)</w:t>
            </w:r>
          </w:p>
        </w:tc>
        <w:tc>
          <w:tcPr>
            <w:tcW w:w="1957" w:type="dxa"/>
            <w:shd w:val="clear" w:color="auto" w:fill="auto"/>
            <w:vAlign w:val="center"/>
          </w:tcPr>
          <w:p w14:paraId="7460FC69" w14:textId="77777777" w:rsidR="00B5104C" w:rsidRPr="00C25C44" w:rsidRDefault="00B5104C" w:rsidP="00FC610C">
            <w:pPr>
              <w:pStyle w:val="MDPI42tablebody"/>
              <w:autoSpaceDE w:val="0"/>
              <w:autoSpaceDN w:val="0"/>
              <w:jc w:val="left"/>
              <w:rPr>
                <w:szCs w:val="16"/>
              </w:rPr>
            </w:pPr>
            <w:r w:rsidRPr="00C25C44">
              <w:rPr>
                <w:szCs w:val="16"/>
              </w:rPr>
              <w:t>1187 (2.8)</w:t>
            </w:r>
          </w:p>
        </w:tc>
        <w:tc>
          <w:tcPr>
            <w:tcW w:w="637" w:type="dxa"/>
            <w:shd w:val="clear" w:color="auto" w:fill="auto"/>
            <w:vAlign w:val="center"/>
          </w:tcPr>
          <w:p w14:paraId="47C04067" w14:textId="77777777" w:rsidR="00B5104C" w:rsidRPr="00C25C44" w:rsidRDefault="00B5104C" w:rsidP="00FC610C">
            <w:pPr>
              <w:pStyle w:val="MDPI42tablebody"/>
              <w:autoSpaceDE w:val="0"/>
              <w:autoSpaceDN w:val="0"/>
              <w:jc w:val="left"/>
              <w:rPr>
                <w:szCs w:val="16"/>
              </w:rPr>
            </w:pPr>
            <w:r w:rsidRPr="00C25C44">
              <w:rPr>
                <w:szCs w:val="16"/>
              </w:rPr>
              <w:t>1.14</w:t>
            </w:r>
          </w:p>
        </w:tc>
        <w:tc>
          <w:tcPr>
            <w:tcW w:w="1080" w:type="dxa"/>
            <w:shd w:val="clear" w:color="auto" w:fill="auto"/>
            <w:vAlign w:val="center"/>
          </w:tcPr>
          <w:p w14:paraId="35739DCA" w14:textId="77777777" w:rsidR="00B5104C" w:rsidRPr="00C25C44" w:rsidRDefault="00B5104C" w:rsidP="00FC610C">
            <w:pPr>
              <w:pStyle w:val="MDPI42tablebody"/>
              <w:autoSpaceDE w:val="0"/>
              <w:autoSpaceDN w:val="0"/>
              <w:jc w:val="left"/>
              <w:rPr>
                <w:szCs w:val="16"/>
              </w:rPr>
            </w:pPr>
            <w:r w:rsidRPr="00C25C44">
              <w:rPr>
                <w:szCs w:val="16"/>
              </w:rPr>
              <w:t>1.00–1.30</w:t>
            </w:r>
          </w:p>
        </w:tc>
        <w:tc>
          <w:tcPr>
            <w:tcW w:w="555" w:type="dxa"/>
            <w:shd w:val="clear" w:color="auto" w:fill="auto"/>
            <w:vAlign w:val="center"/>
          </w:tcPr>
          <w:p w14:paraId="2F791737" w14:textId="77777777" w:rsidR="00B5104C" w:rsidRPr="00C25C44" w:rsidRDefault="00B5104C" w:rsidP="00FC610C">
            <w:pPr>
              <w:pStyle w:val="MDPI42tablebody"/>
              <w:autoSpaceDE w:val="0"/>
              <w:autoSpaceDN w:val="0"/>
              <w:jc w:val="left"/>
              <w:rPr>
                <w:szCs w:val="16"/>
              </w:rPr>
            </w:pPr>
            <w:r w:rsidRPr="00C25C44">
              <w:rPr>
                <w:szCs w:val="16"/>
              </w:rPr>
              <w:t>0.054</w:t>
            </w:r>
          </w:p>
        </w:tc>
      </w:tr>
      <w:tr w:rsidR="00B5104C" w:rsidRPr="00C25C44" w14:paraId="4B9E643D" w14:textId="77777777" w:rsidTr="00FC610C">
        <w:tc>
          <w:tcPr>
            <w:tcW w:w="1645" w:type="dxa"/>
            <w:shd w:val="clear" w:color="auto" w:fill="auto"/>
            <w:vAlign w:val="center"/>
          </w:tcPr>
          <w:p w14:paraId="65BE5172" w14:textId="77777777" w:rsidR="00B5104C" w:rsidRPr="00C25C44" w:rsidRDefault="00B5104C" w:rsidP="00FC610C">
            <w:pPr>
              <w:pStyle w:val="MDPI42tablebody"/>
              <w:autoSpaceDE w:val="0"/>
              <w:autoSpaceDN w:val="0"/>
              <w:jc w:val="left"/>
              <w:rPr>
                <w:szCs w:val="16"/>
              </w:rPr>
            </w:pPr>
            <w:r w:rsidRPr="00C25C44">
              <w:rPr>
                <w:szCs w:val="16"/>
              </w:rPr>
              <w:t>Ischemic heart diseases</w:t>
            </w:r>
          </w:p>
        </w:tc>
        <w:tc>
          <w:tcPr>
            <w:tcW w:w="1984" w:type="dxa"/>
            <w:shd w:val="clear" w:color="auto" w:fill="auto"/>
            <w:vAlign w:val="center"/>
          </w:tcPr>
          <w:p w14:paraId="51476EAF" w14:textId="77777777" w:rsidR="00B5104C" w:rsidRPr="00C25C44" w:rsidRDefault="00B5104C" w:rsidP="00FC610C">
            <w:pPr>
              <w:pStyle w:val="MDPI42tablebody"/>
              <w:autoSpaceDE w:val="0"/>
              <w:autoSpaceDN w:val="0"/>
              <w:jc w:val="left"/>
              <w:rPr>
                <w:szCs w:val="16"/>
              </w:rPr>
            </w:pPr>
            <w:r w:rsidRPr="00C25C44">
              <w:rPr>
                <w:szCs w:val="16"/>
              </w:rPr>
              <w:t>2866 (34.0)</w:t>
            </w:r>
          </w:p>
        </w:tc>
        <w:tc>
          <w:tcPr>
            <w:tcW w:w="1957" w:type="dxa"/>
            <w:shd w:val="clear" w:color="auto" w:fill="auto"/>
            <w:vAlign w:val="center"/>
          </w:tcPr>
          <w:p w14:paraId="3C6E1B79" w14:textId="77777777" w:rsidR="00B5104C" w:rsidRPr="00C25C44" w:rsidRDefault="00B5104C" w:rsidP="00FC610C">
            <w:pPr>
              <w:pStyle w:val="MDPI42tablebody"/>
              <w:autoSpaceDE w:val="0"/>
              <w:autoSpaceDN w:val="0"/>
              <w:jc w:val="left"/>
              <w:rPr>
                <w:szCs w:val="16"/>
              </w:rPr>
            </w:pPr>
            <w:r w:rsidRPr="00C25C44">
              <w:rPr>
                <w:szCs w:val="16"/>
              </w:rPr>
              <w:t>12,692 (30.1)</w:t>
            </w:r>
          </w:p>
        </w:tc>
        <w:tc>
          <w:tcPr>
            <w:tcW w:w="637" w:type="dxa"/>
            <w:shd w:val="clear" w:color="auto" w:fill="auto"/>
            <w:vAlign w:val="center"/>
          </w:tcPr>
          <w:p w14:paraId="6720BA03" w14:textId="77777777" w:rsidR="00B5104C" w:rsidRPr="00C25C44" w:rsidRDefault="00B5104C" w:rsidP="00FC610C">
            <w:pPr>
              <w:pStyle w:val="MDPI42tablebody"/>
              <w:autoSpaceDE w:val="0"/>
              <w:autoSpaceDN w:val="0"/>
              <w:jc w:val="left"/>
              <w:rPr>
                <w:szCs w:val="16"/>
              </w:rPr>
            </w:pPr>
            <w:r w:rsidRPr="00C25C44">
              <w:rPr>
                <w:szCs w:val="16"/>
              </w:rPr>
              <w:t>1.13</w:t>
            </w:r>
          </w:p>
        </w:tc>
        <w:tc>
          <w:tcPr>
            <w:tcW w:w="1080" w:type="dxa"/>
            <w:shd w:val="clear" w:color="auto" w:fill="auto"/>
            <w:vAlign w:val="center"/>
          </w:tcPr>
          <w:p w14:paraId="6D8CE2BF" w14:textId="77777777" w:rsidR="00B5104C" w:rsidRPr="00C25C44" w:rsidRDefault="00B5104C" w:rsidP="00FC610C">
            <w:pPr>
              <w:pStyle w:val="MDPI42tablebody"/>
              <w:autoSpaceDE w:val="0"/>
              <w:autoSpaceDN w:val="0"/>
              <w:jc w:val="left"/>
              <w:rPr>
                <w:szCs w:val="16"/>
              </w:rPr>
            </w:pPr>
            <w:r w:rsidRPr="00C25C44">
              <w:rPr>
                <w:szCs w:val="16"/>
              </w:rPr>
              <w:t>1.07–1.19</w:t>
            </w:r>
          </w:p>
        </w:tc>
        <w:tc>
          <w:tcPr>
            <w:tcW w:w="555" w:type="dxa"/>
            <w:shd w:val="clear" w:color="auto" w:fill="auto"/>
            <w:vAlign w:val="center"/>
          </w:tcPr>
          <w:p w14:paraId="50E3BB89" w14:textId="77777777" w:rsidR="00B5104C" w:rsidRPr="00C25C44" w:rsidRDefault="00B5104C" w:rsidP="00FC610C">
            <w:pPr>
              <w:pStyle w:val="MDPI42tablebody"/>
              <w:autoSpaceDE w:val="0"/>
              <w:autoSpaceDN w:val="0"/>
              <w:jc w:val="left"/>
              <w:rPr>
                <w:szCs w:val="16"/>
              </w:rPr>
            </w:pPr>
            <w:r w:rsidRPr="00C25C44">
              <w:rPr>
                <w:szCs w:val="16"/>
              </w:rPr>
              <w:t>&lt;0.001</w:t>
            </w:r>
          </w:p>
        </w:tc>
      </w:tr>
      <w:tr w:rsidR="00B5104C" w:rsidRPr="00C25C44" w14:paraId="04D7E80F" w14:textId="77777777" w:rsidTr="00FC610C">
        <w:tc>
          <w:tcPr>
            <w:tcW w:w="1645" w:type="dxa"/>
            <w:shd w:val="clear" w:color="auto" w:fill="auto"/>
            <w:vAlign w:val="center"/>
          </w:tcPr>
          <w:p w14:paraId="16786077" w14:textId="77777777" w:rsidR="00B5104C" w:rsidRPr="00C25C44" w:rsidRDefault="00B5104C" w:rsidP="00FC610C">
            <w:pPr>
              <w:pStyle w:val="MDPI42tablebody"/>
              <w:autoSpaceDE w:val="0"/>
              <w:autoSpaceDN w:val="0"/>
              <w:jc w:val="left"/>
              <w:rPr>
                <w:szCs w:val="16"/>
              </w:rPr>
            </w:pPr>
            <w:r w:rsidRPr="00C25C44">
              <w:rPr>
                <w:szCs w:val="16"/>
              </w:rPr>
              <w:t>Disorders of thyroid gland</w:t>
            </w:r>
          </w:p>
        </w:tc>
        <w:tc>
          <w:tcPr>
            <w:tcW w:w="1984" w:type="dxa"/>
            <w:shd w:val="clear" w:color="auto" w:fill="auto"/>
            <w:vAlign w:val="center"/>
          </w:tcPr>
          <w:p w14:paraId="231962B7" w14:textId="77777777" w:rsidR="00B5104C" w:rsidRPr="00C25C44" w:rsidRDefault="00B5104C" w:rsidP="00FC610C">
            <w:pPr>
              <w:pStyle w:val="MDPI42tablebody"/>
              <w:autoSpaceDE w:val="0"/>
              <w:autoSpaceDN w:val="0"/>
              <w:jc w:val="left"/>
              <w:rPr>
                <w:szCs w:val="16"/>
              </w:rPr>
            </w:pPr>
            <w:r w:rsidRPr="00C25C44">
              <w:rPr>
                <w:szCs w:val="16"/>
              </w:rPr>
              <w:t>2859 (33.9)</w:t>
            </w:r>
          </w:p>
        </w:tc>
        <w:tc>
          <w:tcPr>
            <w:tcW w:w="1957" w:type="dxa"/>
            <w:shd w:val="clear" w:color="auto" w:fill="auto"/>
            <w:vAlign w:val="center"/>
          </w:tcPr>
          <w:p w14:paraId="1FECC3C6" w14:textId="77777777" w:rsidR="00B5104C" w:rsidRPr="00C25C44" w:rsidRDefault="00B5104C" w:rsidP="00FC610C">
            <w:pPr>
              <w:pStyle w:val="MDPI42tablebody"/>
              <w:autoSpaceDE w:val="0"/>
              <w:autoSpaceDN w:val="0"/>
              <w:jc w:val="left"/>
              <w:rPr>
                <w:szCs w:val="16"/>
              </w:rPr>
            </w:pPr>
            <w:r w:rsidRPr="00C25C44">
              <w:rPr>
                <w:szCs w:val="16"/>
              </w:rPr>
              <w:t>12,741 (30.2)</w:t>
            </w:r>
          </w:p>
        </w:tc>
        <w:tc>
          <w:tcPr>
            <w:tcW w:w="637" w:type="dxa"/>
            <w:shd w:val="clear" w:color="auto" w:fill="auto"/>
            <w:vAlign w:val="center"/>
          </w:tcPr>
          <w:p w14:paraId="591F4CBC" w14:textId="77777777" w:rsidR="00B5104C" w:rsidRPr="00C25C44" w:rsidRDefault="00B5104C" w:rsidP="00FC610C">
            <w:pPr>
              <w:pStyle w:val="MDPI42tablebody"/>
              <w:autoSpaceDE w:val="0"/>
              <w:autoSpaceDN w:val="0"/>
              <w:jc w:val="left"/>
              <w:rPr>
                <w:szCs w:val="16"/>
              </w:rPr>
            </w:pPr>
            <w:r w:rsidRPr="00C25C44">
              <w:rPr>
                <w:szCs w:val="16"/>
              </w:rPr>
              <w:t>1.11</w:t>
            </w:r>
          </w:p>
        </w:tc>
        <w:tc>
          <w:tcPr>
            <w:tcW w:w="1080" w:type="dxa"/>
            <w:shd w:val="clear" w:color="auto" w:fill="auto"/>
            <w:vAlign w:val="center"/>
          </w:tcPr>
          <w:p w14:paraId="20CF9EEB" w14:textId="77777777" w:rsidR="00B5104C" w:rsidRPr="00C25C44" w:rsidRDefault="00B5104C" w:rsidP="00FC610C">
            <w:pPr>
              <w:pStyle w:val="MDPI42tablebody"/>
              <w:autoSpaceDE w:val="0"/>
              <w:autoSpaceDN w:val="0"/>
              <w:jc w:val="left"/>
              <w:rPr>
                <w:szCs w:val="16"/>
              </w:rPr>
            </w:pPr>
            <w:r w:rsidRPr="00C25C44">
              <w:rPr>
                <w:szCs w:val="16"/>
              </w:rPr>
              <w:t>1.06–1.17</w:t>
            </w:r>
          </w:p>
        </w:tc>
        <w:tc>
          <w:tcPr>
            <w:tcW w:w="555" w:type="dxa"/>
            <w:shd w:val="clear" w:color="auto" w:fill="auto"/>
            <w:vAlign w:val="center"/>
          </w:tcPr>
          <w:p w14:paraId="58104FF2" w14:textId="77777777" w:rsidR="00B5104C" w:rsidRPr="00C25C44" w:rsidRDefault="00B5104C" w:rsidP="00FC610C">
            <w:pPr>
              <w:pStyle w:val="MDPI42tablebody"/>
              <w:autoSpaceDE w:val="0"/>
              <w:autoSpaceDN w:val="0"/>
              <w:jc w:val="left"/>
              <w:rPr>
                <w:szCs w:val="16"/>
              </w:rPr>
            </w:pPr>
            <w:r w:rsidRPr="00C25C44">
              <w:rPr>
                <w:szCs w:val="16"/>
              </w:rPr>
              <w:t>&lt;0.001</w:t>
            </w:r>
          </w:p>
        </w:tc>
      </w:tr>
      <w:tr w:rsidR="00B5104C" w:rsidRPr="00C25C44" w14:paraId="55E73F86" w14:textId="77777777" w:rsidTr="00FC610C">
        <w:tc>
          <w:tcPr>
            <w:tcW w:w="1645" w:type="dxa"/>
            <w:shd w:val="clear" w:color="auto" w:fill="auto"/>
            <w:vAlign w:val="center"/>
          </w:tcPr>
          <w:p w14:paraId="69EE4590" w14:textId="77777777" w:rsidR="00B5104C" w:rsidRPr="00C25C44" w:rsidRDefault="00B5104C" w:rsidP="00FC610C">
            <w:pPr>
              <w:pStyle w:val="MDPI42tablebody"/>
              <w:autoSpaceDE w:val="0"/>
              <w:autoSpaceDN w:val="0"/>
              <w:jc w:val="left"/>
              <w:rPr>
                <w:szCs w:val="16"/>
              </w:rPr>
            </w:pPr>
            <w:r w:rsidRPr="00C25C44">
              <w:rPr>
                <w:szCs w:val="16"/>
              </w:rPr>
              <w:t>Diabetes</w:t>
            </w:r>
          </w:p>
        </w:tc>
        <w:tc>
          <w:tcPr>
            <w:tcW w:w="1984" w:type="dxa"/>
            <w:shd w:val="clear" w:color="auto" w:fill="auto"/>
            <w:vAlign w:val="center"/>
          </w:tcPr>
          <w:p w14:paraId="74EF9567" w14:textId="77777777" w:rsidR="00B5104C" w:rsidRPr="00C25C44" w:rsidRDefault="00B5104C" w:rsidP="00FC610C">
            <w:pPr>
              <w:pStyle w:val="MDPI42tablebody"/>
              <w:autoSpaceDE w:val="0"/>
              <w:autoSpaceDN w:val="0"/>
              <w:jc w:val="left"/>
              <w:rPr>
                <w:szCs w:val="16"/>
              </w:rPr>
            </w:pPr>
            <w:r w:rsidRPr="00C25C44">
              <w:rPr>
                <w:szCs w:val="16"/>
              </w:rPr>
              <w:t>3081 (36.5)</w:t>
            </w:r>
          </w:p>
        </w:tc>
        <w:tc>
          <w:tcPr>
            <w:tcW w:w="1957" w:type="dxa"/>
            <w:shd w:val="clear" w:color="auto" w:fill="auto"/>
            <w:vAlign w:val="center"/>
          </w:tcPr>
          <w:p w14:paraId="2643866F" w14:textId="77777777" w:rsidR="00B5104C" w:rsidRPr="00C25C44" w:rsidRDefault="00B5104C" w:rsidP="00FC610C">
            <w:pPr>
              <w:pStyle w:val="MDPI42tablebody"/>
              <w:autoSpaceDE w:val="0"/>
              <w:autoSpaceDN w:val="0"/>
              <w:jc w:val="left"/>
              <w:rPr>
                <w:szCs w:val="16"/>
              </w:rPr>
            </w:pPr>
            <w:r w:rsidRPr="00C25C44">
              <w:rPr>
                <w:szCs w:val="16"/>
              </w:rPr>
              <w:t>14,316 (33.9)</w:t>
            </w:r>
          </w:p>
        </w:tc>
        <w:tc>
          <w:tcPr>
            <w:tcW w:w="637" w:type="dxa"/>
            <w:shd w:val="clear" w:color="auto" w:fill="auto"/>
            <w:vAlign w:val="center"/>
          </w:tcPr>
          <w:p w14:paraId="0789071A" w14:textId="77777777" w:rsidR="00B5104C" w:rsidRPr="00C25C44" w:rsidRDefault="00B5104C" w:rsidP="00FC610C">
            <w:pPr>
              <w:pStyle w:val="MDPI42tablebody"/>
              <w:autoSpaceDE w:val="0"/>
              <w:autoSpaceDN w:val="0"/>
              <w:jc w:val="left"/>
              <w:rPr>
                <w:szCs w:val="16"/>
              </w:rPr>
            </w:pPr>
            <w:r w:rsidRPr="00C25C44">
              <w:rPr>
                <w:szCs w:val="16"/>
              </w:rPr>
              <w:t>1.06</w:t>
            </w:r>
          </w:p>
        </w:tc>
        <w:tc>
          <w:tcPr>
            <w:tcW w:w="1080" w:type="dxa"/>
            <w:shd w:val="clear" w:color="auto" w:fill="auto"/>
            <w:vAlign w:val="center"/>
          </w:tcPr>
          <w:p w14:paraId="2EE21B75" w14:textId="77777777" w:rsidR="00B5104C" w:rsidRPr="00C25C44" w:rsidRDefault="00B5104C" w:rsidP="00FC610C">
            <w:pPr>
              <w:pStyle w:val="MDPI42tablebody"/>
              <w:autoSpaceDE w:val="0"/>
              <w:autoSpaceDN w:val="0"/>
              <w:jc w:val="left"/>
              <w:rPr>
                <w:szCs w:val="16"/>
              </w:rPr>
            </w:pPr>
            <w:r w:rsidRPr="00C25C44">
              <w:rPr>
                <w:szCs w:val="16"/>
              </w:rPr>
              <w:t>1.00–1.11</w:t>
            </w:r>
          </w:p>
        </w:tc>
        <w:tc>
          <w:tcPr>
            <w:tcW w:w="555" w:type="dxa"/>
            <w:shd w:val="clear" w:color="auto" w:fill="auto"/>
            <w:vAlign w:val="center"/>
          </w:tcPr>
          <w:p w14:paraId="33441505" w14:textId="77777777" w:rsidR="00B5104C" w:rsidRPr="00C25C44" w:rsidRDefault="00B5104C" w:rsidP="00FC610C">
            <w:pPr>
              <w:pStyle w:val="MDPI42tablebody"/>
              <w:autoSpaceDE w:val="0"/>
              <w:autoSpaceDN w:val="0"/>
              <w:jc w:val="left"/>
              <w:rPr>
                <w:szCs w:val="16"/>
              </w:rPr>
            </w:pPr>
            <w:r w:rsidRPr="00C25C44">
              <w:rPr>
                <w:szCs w:val="16"/>
              </w:rPr>
              <w:t>0.042</w:t>
            </w:r>
          </w:p>
        </w:tc>
      </w:tr>
      <w:tr w:rsidR="00B5104C" w:rsidRPr="00C25C44" w14:paraId="0BFCBD31" w14:textId="77777777" w:rsidTr="00FC610C">
        <w:tc>
          <w:tcPr>
            <w:tcW w:w="1645" w:type="dxa"/>
            <w:shd w:val="clear" w:color="auto" w:fill="auto"/>
            <w:vAlign w:val="center"/>
          </w:tcPr>
          <w:p w14:paraId="237CE84D" w14:textId="77777777" w:rsidR="00B5104C" w:rsidRPr="00C25C44" w:rsidRDefault="00B5104C" w:rsidP="00FC610C">
            <w:pPr>
              <w:pStyle w:val="MDPI42tablebody"/>
              <w:autoSpaceDE w:val="0"/>
              <w:autoSpaceDN w:val="0"/>
              <w:jc w:val="left"/>
              <w:rPr>
                <w:szCs w:val="16"/>
              </w:rPr>
            </w:pPr>
            <w:r w:rsidRPr="00C25C44">
              <w:rPr>
                <w:szCs w:val="16"/>
              </w:rPr>
              <w:t>Depression</w:t>
            </w:r>
          </w:p>
        </w:tc>
        <w:tc>
          <w:tcPr>
            <w:tcW w:w="1984" w:type="dxa"/>
            <w:shd w:val="clear" w:color="auto" w:fill="auto"/>
            <w:vAlign w:val="center"/>
          </w:tcPr>
          <w:p w14:paraId="09E885AD" w14:textId="77777777" w:rsidR="00B5104C" w:rsidRPr="00C25C44" w:rsidRDefault="00B5104C" w:rsidP="00FC610C">
            <w:pPr>
              <w:pStyle w:val="MDPI42tablebody"/>
              <w:autoSpaceDE w:val="0"/>
              <w:autoSpaceDN w:val="0"/>
              <w:jc w:val="left"/>
              <w:rPr>
                <w:szCs w:val="16"/>
              </w:rPr>
            </w:pPr>
            <w:r w:rsidRPr="00C25C44">
              <w:rPr>
                <w:szCs w:val="16"/>
              </w:rPr>
              <w:t>1896 (22.5)</w:t>
            </w:r>
          </w:p>
        </w:tc>
        <w:tc>
          <w:tcPr>
            <w:tcW w:w="1957" w:type="dxa"/>
            <w:shd w:val="clear" w:color="auto" w:fill="auto"/>
            <w:vAlign w:val="center"/>
          </w:tcPr>
          <w:p w14:paraId="385CFE10" w14:textId="77777777" w:rsidR="00B5104C" w:rsidRPr="00C25C44" w:rsidRDefault="00B5104C" w:rsidP="00FC610C">
            <w:pPr>
              <w:pStyle w:val="MDPI42tablebody"/>
              <w:autoSpaceDE w:val="0"/>
              <w:autoSpaceDN w:val="0"/>
              <w:jc w:val="left"/>
              <w:rPr>
                <w:szCs w:val="16"/>
              </w:rPr>
            </w:pPr>
            <w:r w:rsidRPr="00C25C44">
              <w:rPr>
                <w:szCs w:val="16"/>
              </w:rPr>
              <w:t>8266 (19.6)</w:t>
            </w:r>
          </w:p>
        </w:tc>
        <w:tc>
          <w:tcPr>
            <w:tcW w:w="637" w:type="dxa"/>
            <w:shd w:val="clear" w:color="auto" w:fill="auto"/>
            <w:vAlign w:val="center"/>
          </w:tcPr>
          <w:p w14:paraId="628B78D6" w14:textId="77777777" w:rsidR="00B5104C" w:rsidRPr="00C25C44" w:rsidRDefault="00B5104C" w:rsidP="00FC610C">
            <w:pPr>
              <w:pStyle w:val="MDPI42tablebody"/>
              <w:autoSpaceDE w:val="0"/>
              <w:autoSpaceDN w:val="0"/>
              <w:jc w:val="left"/>
              <w:rPr>
                <w:szCs w:val="16"/>
              </w:rPr>
            </w:pPr>
            <w:r w:rsidRPr="00C25C44">
              <w:rPr>
                <w:szCs w:val="16"/>
              </w:rPr>
              <w:t>1.01</w:t>
            </w:r>
          </w:p>
        </w:tc>
        <w:tc>
          <w:tcPr>
            <w:tcW w:w="1080" w:type="dxa"/>
            <w:shd w:val="clear" w:color="auto" w:fill="auto"/>
            <w:vAlign w:val="center"/>
          </w:tcPr>
          <w:p w14:paraId="1BA79F75" w14:textId="77777777" w:rsidR="00B5104C" w:rsidRPr="00C25C44" w:rsidRDefault="00B5104C" w:rsidP="00FC610C">
            <w:pPr>
              <w:pStyle w:val="MDPI42tablebody"/>
              <w:autoSpaceDE w:val="0"/>
              <w:autoSpaceDN w:val="0"/>
              <w:jc w:val="left"/>
              <w:rPr>
                <w:szCs w:val="16"/>
              </w:rPr>
            </w:pPr>
            <w:r w:rsidRPr="00C25C44">
              <w:rPr>
                <w:szCs w:val="16"/>
              </w:rPr>
              <w:t>0.95–1.07</w:t>
            </w:r>
          </w:p>
        </w:tc>
        <w:tc>
          <w:tcPr>
            <w:tcW w:w="555" w:type="dxa"/>
            <w:shd w:val="clear" w:color="auto" w:fill="auto"/>
            <w:vAlign w:val="center"/>
          </w:tcPr>
          <w:p w14:paraId="089D0CB2" w14:textId="77777777" w:rsidR="00B5104C" w:rsidRPr="00C25C44" w:rsidRDefault="00B5104C" w:rsidP="00FC610C">
            <w:pPr>
              <w:pStyle w:val="MDPI42tablebody"/>
              <w:autoSpaceDE w:val="0"/>
              <w:autoSpaceDN w:val="0"/>
              <w:jc w:val="left"/>
              <w:rPr>
                <w:szCs w:val="16"/>
              </w:rPr>
            </w:pPr>
            <w:r w:rsidRPr="00C25C44">
              <w:rPr>
                <w:szCs w:val="16"/>
              </w:rPr>
              <w:t>0.837</w:t>
            </w:r>
          </w:p>
        </w:tc>
      </w:tr>
      <w:tr w:rsidR="00B5104C" w:rsidRPr="00C25C44" w14:paraId="3CCC9EB1" w14:textId="77777777" w:rsidTr="00FC610C">
        <w:tc>
          <w:tcPr>
            <w:tcW w:w="1645" w:type="dxa"/>
            <w:shd w:val="clear" w:color="auto" w:fill="auto"/>
            <w:vAlign w:val="center"/>
          </w:tcPr>
          <w:p w14:paraId="79F2C0F0" w14:textId="77777777" w:rsidR="00B5104C" w:rsidRPr="00C25C44" w:rsidRDefault="00B5104C" w:rsidP="00FC610C">
            <w:pPr>
              <w:pStyle w:val="MDPI42tablebody"/>
              <w:autoSpaceDE w:val="0"/>
              <w:autoSpaceDN w:val="0"/>
              <w:jc w:val="left"/>
              <w:rPr>
                <w:szCs w:val="16"/>
              </w:rPr>
            </w:pPr>
            <w:r w:rsidRPr="00C25C44">
              <w:rPr>
                <w:szCs w:val="16"/>
              </w:rPr>
              <w:t>Cancer</w:t>
            </w:r>
          </w:p>
        </w:tc>
        <w:tc>
          <w:tcPr>
            <w:tcW w:w="1984" w:type="dxa"/>
            <w:shd w:val="clear" w:color="auto" w:fill="auto"/>
            <w:vAlign w:val="center"/>
          </w:tcPr>
          <w:p w14:paraId="70E0A39B" w14:textId="77777777" w:rsidR="00B5104C" w:rsidRPr="00C25C44" w:rsidRDefault="00B5104C" w:rsidP="00FC610C">
            <w:pPr>
              <w:pStyle w:val="MDPI42tablebody"/>
              <w:autoSpaceDE w:val="0"/>
              <w:autoSpaceDN w:val="0"/>
              <w:jc w:val="left"/>
              <w:rPr>
                <w:szCs w:val="16"/>
              </w:rPr>
            </w:pPr>
            <w:r w:rsidRPr="00C25C44">
              <w:rPr>
                <w:szCs w:val="16"/>
              </w:rPr>
              <w:t>1731 (20.5)</w:t>
            </w:r>
          </w:p>
        </w:tc>
        <w:tc>
          <w:tcPr>
            <w:tcW w:w="1957" w:type="dxa"/>
            <w:shd w:val="clear" w:color="auto" w:fill="auto"/>
            <w:vAlign w:val="center"/>
          </w:tcPr>
          <w:p w14:paraId="74F16B37" w14:textId="77777777" w:rsidR="00B5104C" w:rsidRPr="00C25C44" w:rsidRDefault="00B5104C" w:rsidP="00FC610C">
            <w:pPr>
              <w:pStyle w:val="MDPI42tablebody"/>
              <w:autoSpaceDE w:val="0"/>
              <w:autoSpaceDN w:val="0"/>
              <w:jc w:val="left"/>
              <w:rPr>
                <w:szCs w:val="16"/>
              </w:rPr>
            </w:pPr>
            <w:r w:rsidRPr="00C25C44">
              <w:rPr>
                <w:szCs w:val="16"/>
              </w:rPr>
              <w:t>8167 (19.4)</w:t>
            </w:r>
          </w:p>
        </w:tc>
        <w:tc>
          <w:tcPr>
            <w:tcW w:w="637" w:type="dxa"/>
            <w:shd w:val="clear" w:color="auto" w:fill="auto"/>
            <w:vAlign w:val="center"/>
          </w:tcPr>
          <w:p w14:paraId="6CAB0B33" w14:textId="77777777" w:rsidR="00B5104C" w:rsidRPr="00C25C44" w:rsidRDefault="00B5104C" w:rsidP="00FC610C">
            <w:pPr>
              <w:pStyle w:val="MDPI42tablebody"/>
              <w:autoSpaceDE w:val="0"/>
              <w:autoSpaceDN w:val="0"/>
              <w:jc w:val="left"/>
              <w:rPr>
                <w:szCs w:val="16"/>
              </w:rPr>
            </w:pPr>
            <w:r w:rsidRPr="00C25C44">
              <w:rPr>
                <w:szCs w:val="16"/>
              </w:rPr>
              <w:t>1.00</w:t>
            </w:r>
          </w:p>
        </w:tc>
        <w:tc>
          <w:tcPr>
            <w:tcW w:w="1080" w:type="dxa"/>
            <w:shd w:val="clear" w:color="auto" w:fill="auto"/>
            <w:vAlign w:val="center"/>
          </w:tcPr>
          <w:p w14:paraId="78D984DB" w14:textId="77777777" w:rsidR="00B5104C" w:rsidRPr="00C25C44" w:rsidRDefault="00B5104C" w:rsidP="00FC610C">
            <w:pPr>
              <w:pStyle w:val="MDPI42tablebody"/>
              <w:autoSpaceDE w:val="0"/>
              <w:autoSpaceDN w:val="0"/>
              <w:jc w:val="left"/>
              <w:rPr>
                <w:szCs w:val="16"/>
              </w:rPr>
            </w:pPr>
            <w:r w:rsidRPr="00C25C44">
              <w:rPr>
                <w:szCs w:val="16"/>
              </w:rPr>
              <w:t>0.94–1.06</w:t>
            </w:r>
          </w:p>
        </w:tc>
        <w:tc>
          <w:tcPr>
            <w:tcW w:w="555" w:type="dxa"/>
            <w:shd w:val="clear" w:color="auto" w:fill="auto"/>
            <w:vAlign w:val="center"/>
          </w:tcPr>
          <w:p w14:paraId="4BCAC3F6" w14:textId="77777777" w:rsidR="00B5104C" w:rsidRPr="00C25C44" w:rsidRDefault="00B5104C" w:rsidP="00FC610C">
            <w:pPr>
              <w:pStyle w:val="MDPI42tablebody"/>
              <w:autoSpaceDE w:val="0"/>
              <w:autoSpaceDN w:val="0"/>
              <w:jc w:val="left"/>
              <w:rPr>
                <w:szCs w:val="16"/>
              </w:rPr>
            </w:pPr>
            <w:r w:rsidRPr="00C25C44">
              <w:rPr>
                <w:szCs w:val="16"/>
              </w:rPr>
              <w:t>0.960</w:t>
            </w:r>
          </w:p>
        </w:tc>
      </w:tr>
      <w:tr w:rsidR="00B5104C" w:rsidRPr="00C25C44" w14:paraId="0F92CDD7" w14:textId="77777777" w:rsidTr="00FC610C">
        <w:tc>
          <w:tcPr>
            <w:tcW w:w="1645" w:type="dxa"/>
            <w:shd w:val="clear" w:color="auto" w:fill="auto"/>
            <w:vAlign w:val="center"/>
          </w:tcPr>
          <w:p w14:paraId="10F0BC7A" w14:textId="77777777" w:rsidR="00B5104C" w:rsidRPr="00C25C44" w:rsidRDefault="00B5104C" w:rsidP="00FC610C">
            <w:pPr>
              <w:pStyle w:val="MDPI42tablebody"/>
              <w:autoSpaceDE w:val="0"/>
              <w:autoSpaceDN w:val="0"/>
              <w:jc w:val="left"/>
              <w:rPr>
                <w:szCs w:val="16"/>
              </w:rPr>
            </w:pPr>
            <w:r w:rsidRPr="00C25C44">
              <w:rPr>
                <w:szCs w:val="16"/>
              </w:rPr>
              <w:t>Anxiety disorders</w:t>
            </w:r>
          </w:p>
        </w:tc>
        <w:tc>
          <w:tcPr>
            <w:tcW w:w="1984" w:type="dxa"/>
            <w:shd w:val="clear" w:color="auto" w:fill="auto"/>
            <w:vAlign w:val="center"/>
          </w:tcPr>
          <w:p w14:paraId="7E7B556E" w14:textId="77777777" w:rsidR="00B5104C" w:rsidRPr="00C25C44" w:rsidRDefault="00B5104C" w:rsidP="00FC610C">
            <w:pPr>
              <w:pStyle w:val="MDPI42tablebody"/>
              <w:autoSpaceDE w:val="0"/>
              <w:autoSpaceDN w:val="0"/>
              <w:jc w:val="left"/>
              <w:rPr>
                <w:szCs w:val="16"/>
              </w:rPr>
            </w:pPr>
            <w:r w:rsidRPr="00C25C44">
              <w:rPr>
                <w:szCs w:val="16"/>
              </w:rPr>
              <w:t>661 (7.8)</w:t>
            </w:r>
          </w:p>
        </w:tc>
        <w:tc>
          <w:tcPr>
            <w:tcW w:w="1957" w:type="dxa"/>
            <w:shd w:val="clear" w:color="auto" w:fill="auto"/>
            <w:vAlign w:val="center"/>
          </w:tcPr>
          <w:p w14:paraId="5C89573E" w14:textId="77777777" w:rsidR="00B5104C" w:rsidRPr="00C25C44" w:rsidRDefault="00B5104C" w:rsidP="00FC610C">
            <w:pPr>
              <w:pStyle w:val="MDPI42tablebody"/>
              <w:autoSpaceDE w:val="0"/>
              <w:autoSpaceDN w:val="0"/>
              <w:jc w:val="left"/>
              <w:rPr>
                <w:szCs w:val="16"/>
              </w:rPr>
            </w:pPr>
            <w:r w:rsidRPr="00C25C44">
              <w:rPr>
                <w:szCs w:val="16"/>
              </w:rPr>
              <w:t>2717 (6.4)</w:t>
            </w:r>
          </w:p>
        </w:tc>
        <w:tc>
          <w:tcPr>
            <w:tcW w:w="637" w:type="dxa"/>
            <w:shd w:val="clear" w:color="auto" w:fill="auto"/>
            <w:vAlign w:val="center"/>
          </w:tcPr>
          <w:p w14:paraId="1BE4D026" w14:textId="77777777" w:rsidR="00B5104C" w:rsidRPr="00C25C44" w:rsidRDefault="00B5104C" w:rsidP="00FC610C">
            <w:pPr>
              <w:pStyle w:val="MDPI42tablebody"/>
              <w:autoSpaceDE w:val="0"/>
              <w:autoSpaceDN w:val="0"/>
              <w:jc w:val="left"/>
              <w:rPr>
                <w:szCs w:val="16"/>
              </w:rPr>
            </w:pPr>
            <w:r w:rsidRPr="00C25C44">
              <w:rPr>
                <w:szCs w:val="16"/>
              </w:rPr>
              <w:t>1.00</w:t>
            </w:r>
          </w:p>
        </w:tc>
        <w:tc>
          <w:tcPr>
            <w:tcW w:w="1080" w:type="dxa"/>
            <w:shd w:val="clear" w:color="auto" w:fill="auto"/>
            <w:vAlign w:val="center"/>
          </w:tcPr>
          <w:p w14:paraId="3412077D" w14:textId="77777777" w:rsidR="00B5104C" w:rsidRPr="00C25C44" w:rsidRDefault="00B5104C" w:rsidP="00FC610C">
            <w:pPr>
              <w:pStyle w:val="MDPI42tablebody"/>
              <w:autoSpaceDE w:val="0"/>
              <w:autoSpaceDN w:val="0"/>
              <w:jc w:val="left"/>
              <w:rPr>
                <w:szCs w:val="16"/>
              </w:rPr>
            </w:pPr>
            <w:r w:rsidRPr="00C25C44">
              <w:rPr>
                <w:szCs w:val="16"/>
              </w:rPr>
              <w:t>0.91–1.10</w:t>
            </w:r>
          </w:p>
        </w:tc>
        <w:tc>
          <w:tcPr>
            <w:tcW w:w="555" w:type="dxa"/>
            <w:shd w:val="clear" w:color="auto" w:fill="auto"/>
            <w:vAlign w:val="center"/>
          </w:tcPr>
          <w:p w14:paraId="32B61D67" w14:textId="77777777" w:rsidR="00B5104C" w:rsidRPr="00C25C44" w:rsidRDefault="00B5104C" w:rsidP="00FC610C">
            <w:pPr>
              <w:pStyle w:val="MDPI42tablebody"/>
              <w:autoSpaceDE w:val="0"/>
              <w:autoSpaceDN w:val="0"/>
              <w:jc w:val="left"/>
              <w:rPr>
                <w:szCs w:val="16"/>
              </w:rPr>
            </w:pPr>
            <w:r w:rsidRPr="00C25C44">
              <w:rPr>
                <w:szCs w:val="16"/>
              </w:rPr>
              <w:t>0.975</w:t>
            </w:r>
          </w:p>
        </w:tc>
      </w:tr>
      <w:tr w:rsidR="00B5104C" w:rsidRPr="00C25C44" w14:paraId="5643D03A" w14:textId="77777777" w:rsidTr="00FC610C">
        <w:tc>
          <w:tcPr>
            <w:tcW w:w="1645" w:type="dxa"/>
            <w:shd w:val="clear" w:color="auto" w:fill="auto"/>
            <w:vAlign w:val="center"/>
          </w:tcPr>
          <w:p w14:paraId="0DEF6748" w14:textId="77777777" w:rsidR="00B5104C" w:rsidRPr="00C25C44" w:rsidRDefault="00B5104C" w:rsidP="00FC610C">
            <w:pPr>
              <w:pStyle w:val="MDPI42tablebody"/>
              <w:autoSpaceDE w:val="0"/>
              <w:autoSpaceDN w:val="0"/>
              <w:jc w:val="left"/>
              <w:rPr>
                <w:szCs w:val="16"/>
              </w:rPr>
            </w:pPr>
            <w:r w:rsidRPr="00C25C44">
              <w:rPr>
                <w:szCs w:val="16"/>
              </w:rPr>
              <w:t xml:space="preserve">Disorders of lipoprotein metabolism and other </w:t>
            </w:r>
            <w:proofErr w:type="spellStart"/>
            <w:r w:rsidRPr="00C25C44">
              <w:rPr>
                <w:szCs w:val="16"/>
              </w:rPr>
              <w:t>lipidemias</w:t>
            </w:r>
            <w:proofErr w:type="spellEnd"/>
          </w:p>
        </w:tc>
        <w:tc>
          <w:tcPr>
            <w:tcW w:w="1984" w:type="dxa"/>
            <w:shd w:val="clear" w:color="auto" w:fill="auto"/>
            <w:vAlign w:val="center"/>
          </w:tcPr>
          <w:p w14:paraId="3459F525" w14:textId="77777777" w:rsidR="00B5104C" w:rsidRPr="00C25C44" w:rsidRDefault="00B5104C" w:rsidP="00FC610C">
            <w:pPr>
              <w:pStyle w:val="MDPI42tablebody"/>
              <w:autoSpaceDE w:val="0"/>
              <w:autoSpaceDN w:val="0"/>
              <w:jc w:val="left"/>
              <w:rPr>
                <w:szCs w:val="16"/>
              </w:rPr>
            </w:pPr>
            <w:r w:rsidRPr="00C25C44">
              <w:rPr>
                <w:szCs w:val="16"/>
              </w:rPr>
              <w:t>3729 (44.2)</w:t>
            </w:r>
          </w:p>
        </w:tc>
        <w:tc>
          <w:tcPr>
            <w:tcW w:w="1957" w:type="dxa"/>
            <w:shd w:val="clear" w:color="auto" w:fill="auto"/>
            <w:vAlign w:val="center"/>
          </w:tcPr>
          <w:p w14:paraId="7A1E6AEC" w14:textId="77777777" w:rsidR="00B5104C" w:rsidRPr="00C25C44" w:rsidRDefault="00B5104C" w:rsidP="00FC610C">
            <w:pPr>
              <w:pStyle w:val="MDPI42tablebody"/>
              <w:autoSpaceDE w:val="0"/>
              <w:autoSpaceDN w:val="0"/>
              <w:jc w:val="left"/>
              <w:rPr>
                <w:szCs w:val="16"/>
              </w:rPr>
            </w:pPr>
            <w:r w:rsidRPr="00C25C44">
              <w:rPr>
                <w:szCs w:val="16"/>
              </w:rPr>
              <w:t>18,144 (43.0)</w:t>
            </w:r>
          </w:p>
        </w:tc>
        <w:tc>
          <w:tcPr>
            <w:tcW w:w="637" w:type="dxa"/>
            <w:shd w:val="clear" w:color="auto" w:fill="auto"/>
            <w:vAlign w:val="center"/>
          </w:tcPr>
          <w:p w14:paraId="7BF8E1CE" w14:textId="77777777" w:rsidR="00B5104C" w:rsidRPr="00C25C44" w:rsidRDefault="00B5104C" w:rsidP="00FC610C">
            <w:pPr>
              <w:pStyle w:val="MDPI42tablebody"/>
              <w:autoSpaceDE w:val="0"/>
              <w:autoSpaceDN w:val="0"/>
              <w:jc w:val="left"/>
              <w:rPr>
                <w:szCs w:val="16"/>
              </w:rPr>
            </w:pPr>
            <w:r w:rsidRPr="00C25C44">
              <w:rPr>
                <w:szCs w:val="16"/>
              </w:rPr>
              <w:t>0.97</w:t>
            </w:r>
          </w:p>
        </w:tc>
        <w:tc>
          <w:tcPr>
            <w:tcW w:w="1080" w:type="dxa"/>
            <w:shd w:val="clear" w:color="auto" w:fill="auto"/>
            <w:vAlign w:val="center"/>
          </w:tcPr>
          <w:p w14:paraId="15FBA8A1" w14:textId="77777777" w:rsidR="00B5104C" w:rsidRPr="00C25C44" w:rsidRDefault="00B5104C" w:rsidP="00FC610C">
            <w:pPr>
              <w:pStyle w:val="MDPI42tablebody"/>
              <w:autoSpaceDE w:val="0"/>
              <w:autoSpaceDN w:val="0"/>
              <w:jc w:val="left"/>
              <w:rPr>
                <w:szCs w:val="16"/>
              </w:rPr>
            </w:pPr>
            <w:r w:rsidRPr="00C25C44">
              <w:rPr>
                <w:szCs w:val="16"/>
              </w:rPr>
              <w:t>0.92–1.02</w:t>
            </w:r>
          </w:p>
        </w:tc>
        <w:tc>
          <w:tcPr>
            <w:tcW w:w="555" w:type="dxa"/>
            <w:shd w:val="clear" w:color="auto" w:fill="auto"/>
            <w:vAlign w:val="center"/>
          </w:tcPr>
          <w:p w14:paraId="7280E7A6" w14:textId="77777777" w:rsidR="00B5104C" w:rsidRPr="00C25C44" w:rsidRDefault="00B5104C" w:rsidP="00FC610C">
            <w:pPr>
              <w:pStyle w:val="MDPI42tablebody"/>
              <w:autoSpaceDE w:val="0"/>
              <w:autoSpaceDN w:val="0"/>
              <w:jc w:val="left"/>
              <w:rPr>
                <w:szCs w:val="16"/>
              </w:rPr>
            </w:pPr>
            <w:r w:rsidRPr="00C25C44">
              <w:rPr>
                <w:szCs w:val="16"/>
              </w:rPr>
              <w:t>0.212</w:t>
            </w:r>
          </w:p>
        </w:tc>
      </w:tr>
      <w:tr w:rsidR="00B5104C" w:rsidRPr="00C25C44" w14:paraId="3E1CA3AD" w14:textId="77777777" w:rsidTr="00FC610C">
        <w:tc>
          <w:tcPr>
            <w:tcW w:w="1645" w:type="dxa"/>
            <w:shd w:val="clear" w:color="auto" w:fill="auto"/>
            <w:vAlign w:val="center"/>
          </w:tcPr>
          <w:p w14:paraId="029823E8" w14:textId="77777777" w:rsidR="00B5104C" w:rsidRPr="00C25C44" w:rsidRDefault="00B5104C" w:rsidP="00FC610C">
            <w:pPr>
              <w:pStyle w:val="MDPI42tablebody"/>
              <w:autoSpaceDE w:val="0"/>
              <w:autoSpaceDN w:val="0"/>
              <w:jc w:val="left"/>
              <w:rPr>
                <w:szCs w:val="16"/>
              </w:rPr>
            </w:pPr>
            <w:r w:rsidRPr="00C25C44">
              <w:rPr>
                <w:szCs w:val="16"/>
              </w:rPr>
              <w:t>Cerebrovascular diseases</w:t>
            </w:r>
          </w:p>
        </w:tc>
        <w:tc>
          <w:tcPr>
            <w:tcW w:w="1984" w:type="dxa"/>
            <w:shd w:val="clear" w:color="auto" w:fill="auto"/>
            <w:vAlign w:val="center"/>
          </w:tcPr>
          <w:p w14:paraId="21A61ECD" w14:textId="77777777" w:rsidR="00B5104C" w:rsidRPr="00C25C44" w:rsidRDefault="00B5104C" w:rsidP="00FC610C">
            <w:pPr>
              <w:pStyle w:val="MDPI42tablebody"/>
              <w:autoSpaceDE w:val="0"/>
              <w:autoSpaceDN w:val="0"/>
              <w:jc w:val="left"/>
              <w:rPr>
                <w:szCs w:val="16"/>
              </w:rPr>
            </w:pPr>
            <w:r w:rsidRPr="00C25C44">
              <w:rPr>
                <w:szCs w:val="16"/>
              </w:rPr>
              <w:t>1386 (16.4)</w:t>
            </w:r>
          </w:p>
        </w:tc>
        <w:tc>
          <w:tcPr>
            <w:tcW w:w="1957" w:type="dxa"/>
            <w:shd w:val="clear" w:color="auto" w:fill="auto"/>
            <w:vAlign w:val="center"/>
          </w:tcPr>
          <w:p w14:paraId="7CF855B2" w14:textId="77777777" w:rsidR="00B5104C" w:rsidRPr="00C25C44" w:rsidRDefault="00B5104C" w:rsidP="00FC610C">
            <w:pPr>
              <w:pStyle w:val="MDPI42tablebody"/>
              <w:autoSpaceDE w:val="0"/>
              <w:autoSpaceDN w:val="0"/>
              <w:jc w:val="left"/>
              <w:rPr>
                <w:szCs w:val="16"/>
              </w:rPr>
            </w:pPr>
            <w:r w:rsidRPr="00C25C44">
              <w:rPr>
                <w:szCs w:val="16"/>
              </w:rPr>
              <w:t>6606 (15.7)</w:t>
            </w:r>
          </w:p>
        </w:tc>
        <w:tc>
          <w:tcPr>
            <w:tcW w:w="637" w:type="dxa"/>
            <w:shd w:val="clear" w:color="auto" w:fill="auto"/>
            <w:vAlign w:val="center"/>
          </w:tcPr>
          <w:p w14:paraId="5DFC797C" w14:textId="77777777" w:rsidR="00B5104C" w:rsidRPr="00C25C44" w:rsidRDefault="00B5104C" w:rsidP="00FC610C">
            <w:pPr>
              <w:pStyle w:val="MDPI42tablebody"/>
              <w:autoSpaceDE w:val="0"/>
              <w:autoSpaceDN w:val="0"/>
              <w:jc w:val="left"/>
              <w:rPr>
                <w:szCs w:val="16"/>
              </w:rPr>
            </w:pPr>
            <w:r w:rsidRPr="00C25C44">
              <w:rPr>
                <w:szCs w:val="16"/>
              </w:rPr>
              <w:t>0.97</w:t>
            </w:r>
          </w:p>
        </w:tc>
        <w:tc>
          <w:tcPr>
            <w:tcW w:w="1080" w:type="dxa"/>
            <w:shd w:val="clear" w:color="auto" w:fill="auto"/>
            <w:vAlign w:val="center"/>
          </w:tcPr>
          <w:p w14:paraId="39CD7293" w14:textId="77777777" w:rsidR="00B5104C" w:rsidRPr="00C25C44" w:rsidRDefault="00B5104C" w:rsidP="00FC610C">
            <w:pPr>
              <w:pStyle w:val="MDPI42tablebody"/>
              <w:autoSpaceDE w:val="0"/>
              <w:autoSpaceDN w:val="0"/>
              <w:jc w:val="left"/>
              <w:rPr>
                <w:szCs w:val="16"/>
              </w:rPr>
            </w:pPr>
            <w:r w:rsidRPr="00C25C44">
              <w:rPr>
                <w:szCs w:val="16"/>
              </w:rPr>
              <w:t>0.91–1.04</w:t>
            </w:r>
          </w:p>
        </w:tc>
        <w:tc>
          <w:tcPr>
            <w:tcW w:w="555" w:type="dxa"/>
            <w:shd w:val="clear" w:color="auto" w:fill="auto"/>
            <w:vAlign w:val="center"/>
          </w:tcPr>
          <w:p w14:paraId="19B133CB" w14:textId="77777777" w:rsidR="00B5104C" w:rsidRPr="00C25C44" w:rsidRDefault="00B5104C" w:rsidP="00FC610C">
            <w:pPr>
              <w:pStyle w:val="MDPI42tablebody"/>
              <w:autoSpaceDE w:val="0"/>
              <w:autoSpaceDN w:val="0"/>
              <w:jc w:val="left"/>
              <w:rPr>
                <w:szCs w:val="16"/>
              </w:rPr>
            </w:pPr>
            <w:r w:rsidRPr="00C25C44">
              <w:rPr>
                <w:szCs w:val="16"/>
              </w:rPr>
              <w:t>0.414</w:t>
            </w:r>
          </w:p>
        </w:tc>
      </w:tr>
      <w:tr w:rsidR="00B5104C" w:rsidRPr="00C25C44" w14:paraId="15A14711" w14:textId="77777777" w:rsidTr="00FC610C">
        <w:tc>
          <w:tcPr>
            <w:tcW w:w="1645" w:type="dxa"/>
            <w:shd w:val="clear" w:color="auto" w:fill="auto"/>
            <w:vAlign w:val="center"/>
          </w:tcPr>
          <w:p w14:paraId="6BBFEEC6" w14:textId="77777777" w:rsidR="00B5104C" w:rsidRPr="00C25C44" w:rsidRDefault="00B5104C" w:rsidP="00FC610C">
            <w:pPr>
              <w:pStyle w:val="MDPI42tablebody"/>
              <w:autoSpaceDE w:val="0"/>
              <w:autoSpaceDN w:val="0"/>
              <w:jc w:val="left"/>
              <w:rPr>
                <w:szCs w:val="16"/>
              </w:rPr>
            </w:pPr>
            <w:r w:rsidRPr="00C25C44">
              <w:rPr>
                <w:szCs w:val="16"/>
              </w:rPr>
              <w:t>Hypertension</w:t>
            </w:r>
          </w:p>
        </w:tc>
        <w:tc>
          <w:tcPr>
            <w:tcW w:w="1984" w:type="dxa"/>
            <w:shd w:val="clear" w:color="auto" w:fill="auto"/>
            <w:vAlign w:val="center"/>
          </w:tcPr>
          <w:p w14:paraId="3D381458" w14:textId="77777777" w:rsidR="00B5104C" w:rsidRPr="00C25C44" w:rsidRDefault="00B5104C" w:rsidP="00FC610C">
            <w:pPr>
              <w:pStyle w:val="MDPI42tablebody"/>
              <w:autoSpaceDE w:val="0"/>
              <w:autoSpaceDN w:val="0"/>
              <w:jc w:val="left"/>
              <w:rPr>
                <w:szCs w:val="16"/>
              </w:rPr>
            </w:pPr>
            <w:r w:rsidRPr="00C25C44">
              <w:rPr>
                <w:szCs w:val="16"/>
              </w:rPr>
              <w:t>5926 (70.2)</w:t>
            </w:r>
          </w:p>
        </w:tc>
        <w:tc>
          <w:tcPr>
            <w:tcW w:w="1957" w:type="dxa"/>
            <w:shd w:val="clear" w:color="auto" w:fill="auto"/>
            <w:vAlign w:val="center"/>
          </w:tcPr>
          <w:p w14:paraId="2B715BE5" w14:textId="77777777" w:rsidR="00B5104C" w:rsidRPr="00C25C44" w:rsidRDefault="00B5104C" w:rsidP="00FC610C">
            <w:pPr>
              <w:pStyle w:val="MDPI42tablebody"/>
              <w:autoSpaceDE w:val="0"/>
              <w:autoSpaceDN w:val="0"/>
              <w:jc w:val="left"/>
              <w:rPr>
                <w:szCs w:val="16"/>
              </w:rPr>
            </w:pPr>
            <w:r w:rsidRPr="00C25C44">
              <w:rPr>
                <w:szCs w:val="16"/>
              </w:rPr>
              <w:t>30,487 (72.3)</w:t>
            </w:r>
          </w:p>
        </w:tc>
        <w:tc>
          <w:tcPr>
            <w:tcW w:w="637" w:type="dxa"/>
            <w:shd w:val="clear" w:color="auto" w:fill="auto"/>
            <w:vAlign w:val="center"/>
          </w:tcPr>
          <w:p w14:paraId="36DF378F" w14:textId="77777777" w:rsidR="00B5104C" w:rsidRPr="00C25C44" w:rsidRDefault="00B5104C" w:rsidP="00FC610C">
            <w:pPr>
              <w:pStyle w:val="MDPI42tablebody"/>
              <w:autoSpaceDE w:val="0"/>
              <w:autoSpaceDN w:val="0"/>
              <w:jc w:val="left"/>
              <w:rPr>
                <w:szCs w:val="16"/>
              </w:rPr>
            </w:pPr>
            <w:r w:rsidRPr="00C25C44">
              <w:rPr>
                <w:szCs w:val="16"/>
              </w:rPr>
              <w:t>0.81</w:t>
            </w:r>
          </w:p>
        </w:tc>
        <w:tc>
          <w:tcPr>
            <w:tcW w:w="1080" w:type="dxa"/>
            <w:shd w:val="clear" w:color="auto" w:fill="auto"/>
            <w:vAlign w:val="center"/>
          </w:tcPr>
          <w:p w14:paraId="2C633AD9" w14:textId="77777777" w:rsidR="00B5104C" w:rsidRPr="00C25C44" w:rsidRDefault="00B5104C" w:rsidP="00FC610C">
            <w:pPr>
              <w:pStyle w:val="MDPI42tablebody"/>
              <w:autoSpaceDE w:val="0"/>
              <w:autoSpaceDN w:val="0"/>
              <w:jc w:val="left"/>
              <w:rPr>
                <w:szCs w:val="16"/>
              </w:rPr>
            </w:pPr>
            <w:r w:rsidRPr="00C25C44">
              <w:rPr>
                <w:szCs w:val="16"/>
              </w:rPr>
              <w:t>0.77–0.86</w:t>
            </w:r>
          </w:p>
        </w:tc>
        <w:tc>
          <w:tcPr>
            <w:tcW w:w="555" w:type="dxa"/>
            <w:shd w:val="clear" w:color="auto" w:fill="auto"/>
            <w:vAlign w:val="center"/>
          </w:tcPr>
          <w:p w14:paraId="75D55EC3" w14:textId="77777777" w:rsidR="00B5104C" w:rsidRPr="00C25C44" w:rsidRDefault="00B5104C" w:rsidP="00FC610C">
            <w:pPr>
              <w:pStyle w:val="MDPI42tablebody"/>
              <w:autoSpaceDE w:val="0"/>
              <w:autoSpaceDN w:val="0"/>
              <w:jc w:val="left"/>
              <w:rPr>
                <w:szCs w:val="16"/>
              </w:rPr>
            </w:pPr>
            <w:r w:rsidRPr="00C25C44">
              <w:rPr>
                <w:szCs w:val="16"/>
              </w:rPr>
              <w:t>&lt;0.001</w:t>
            </w:r>
          </w:p>
        </w:tc>
      </w:tr>
      <w:tr w:rsidR="00B5104C" w:rsidRPr="00C25C44" w14:paraId="5C7DF711" w14:textId="77777777" w:rsidTr="00FC610C">
        <w:tc>
          <w:tcPr>
            <w:tcW w:w="1645" w:type="dxa"/>
            <w:tcBorders>
              <w:bottom w:val="single" w:sz="8" w:space="0" w:color="auto"/>
            </w:tcBorders>
            <w:shd w:val="clear" w:color="auto" w:fill="auto"/>
            <w:vAlign w:val="center"/>
          </w:tcPr>
          <w:p w14:paraId="67302420" w14:textId="77777777" w:rsidR="00B5104C" w:rsidRPr="00C25C44" w:rsidRDefault="00B5104C" w:rsidP="00FC610C">
            <w:pPr>
              <w:pStyle w:val="MDPI42tablebody"/>
              <w:autoSpaceDE w:val="0"/>
              <w:autoSpaceDN w:val="0"/>
              <w:jc w:val="left"/>
              <w:rPr>
                <w:szCs w:val="16"/>
              </w:rPr>
            </w:pPr>
            <w:r w:rsidRPr="00C25C44">
              <w:rPr>
                <w:szCs w:val="16"/>
              </w:rPr>
              <w:t>Parkinson’s disease</w:t>
            </w:r>
          </w:p>
        </w:tc>
        <w:tc>
          <w:tcPr>
            <w:tcW w:w="1984" w:type="dxa"/>
            <w:tcBorders>
              <w:bottom w:val="single" w:sz="8" w:space="0" w:color="auto"/>
            </w:tcBorders>
            <w:shd w:val="clear" w:color="auto" w:fill="auto"/>
            <w:vAlign w:val="center"/>
          </w:tcPr>
          <w:p w14:paraId="3CE6CE5F" w14:textId="77777777" w:rsidR="00B5104C" w:rsidRPr="00C25C44" w:rsidRDefault="00B5104C" w:rsidP="00FC610C">
            <w:pPr>
              <w:pStyle w:val="MDPI42tablebody"/>
              <w:autoSpaceDE w:val="0"/>
              <w:autoSpaceDN w:val="0"/>
              <w:jc w:val="left"/>
              <w:rPr>
                <w:szCs w:val="16"/>
              </w:rPr>
            </w:pPr>
            <w:r w:rsidRPr="00C25C44">
              <w:rPr>
                <w:szCs w:val="16"/>
              </w:rPr>
              <w:t>165 (2.0)</w:t>
            </w:r>
          </w:p>
        </w:tc>
        <w:tc>
          <w:tcPr>
            <w:tcW w:w="1957" w:type="dxa"/>
            <w:tcBorders>
              <w:bottom w:val="single" w:sz="8" w:space="0" w:color="auto"/>
            </w:tcBorders>
            <w:shd w:val="clear" w:color="auto" w:fill="auto"/>
            <w:vAlign w:val="center"/>
          </w:tcPr>
          <w:p w14:paraId="7D87D7D1" w14:textId="77777777" w:rsidR="00B5104C" w:rsidRPr="00C25C44" w:rsidRDefault="00B5104C" w:rsidP="00FC610C">
            <w:pPr>
              <w:pStyle w:val="MDPI42tablebody"/>
              <w:autoSpaceDE w:val="0"/>
              <w:autoSpaceDN w:val="0"/>
              <w:jc w:val="left"/>
              <w:rPr>
                <w:szCs w:val="16"/>
              </w:rPr>
            </w:pPr>
            <w:r w:rsidRPr="00C25C44">
              <w:rPr>
                <w:szCs w:val="16"/>
              </w:rPr>
              <w:t>1032 (2.4)</w:t>
            </w:r>
          </w:p>
        </w:tc>
        <w:tc>
          <w:tcPr>
            <w:tcW w:w="637" w:type="dxa"/>
            <w:tcBorders>
              <w:bottom w:val="single" w:sz="8" w:space="0" w:color="auto"/>
            </w:tcBorders>
            <w:shd w:val="clear" w:color="auto" w:fill="auto"/>
            <w:vAlign w:val="center"/>
          </w:tcPr>
          <w:p w14:paraId="5F6F6DCD" w14:textId="77777777" w:rsidR="00B5104C" w:rsidRPr="00C25C44" w:rsidRDefault="00B5104C" w:rsidP="00FC610C">
            <w:pPr>
              <w:pStyle w:val="MDPI42tablebody"/>
              <w:autoSpaceDE w:val="0"/>
              <w:autoSpaceDN w:val="0"/>
              <w:jc w:val="left"/>
              <w:rPr>
                <w:szCs w:val="16"/>
              </w:rPr>
            </w:pPr>
            <w:r w:rsidRPr="00C25C44">
              <w:rPr>
                <w:szCs w:val="16"/>
              </w:rPr>
              <w:t>0.71</w:t>
            </w:r>
          </w:p>
        </w:tc>
        <w:tc>
          <w:tcPr>
            <w:tcW w:w="1080" w:type="dxa"/>
            <w:tcBorders>
              <w:bottom w:val="single" w:sz="8" w:space="0" w:color="auto"/>
            </w:tcBorders>
            <w:shd w:val="clear" w:color="auto" w:fill="auto"/>
            <w:vAlign w:val="center"/>
          </w:tcPr>
          <w:p w14:paraId="50D43B7F" w14:textId="77777777" w:rsidR="00B5104C" w:rsidRPr="00C25C44" w:rsidRDefault="00B5104C" w:rsidP="00FC610C">
            <w:pPr>
              <w:pStyle w:val="MDPI42tablebody"/>
              <w:autoSpaceDE w:val="0"/>
              <w:autoSpaceDN w:val="0"/>
              <w:jc w:val="left"/>
              <w:rPr>
                <w:szCs w:val="16"/>
              </w:rPr>
            </w:pPr>
            <w:r w:rsidRPr="00C25C44">
              <w:rPr>
                <w:szCs w:val="16"/>
              </w:rPr>
              <w:t>0.60–0.85</w:t>
            </w:r>
          </w:p>
        </w:tc>
        <w:tc>
          <w:tcPr>
            <w:tcW w:w="555" w:type="dxa"/>
            <w:tcBorders>
              <w:bottom w:val="single" w:sz="8" w:space="0" w:color="auto"/>
            </w:tcBorders>
            <w:shd w:val="clear" w:color="auto" w:fill="auto"/>
            <w:vAlign w:val="center"/>
          </w:tcPr>
          <w:p w14:paraId="78FB51CC" w14:textId="77777777" w:rsidR="00B5104C" w:rsidRPr="00C25C44" w:rsidRDefault="00B5104C" w:rsidP="00FC610C">
            <w:pPr>
              <w:pStyle w:val="MDPI42tablebody"/>
              <w:autoSpaceDE w:val="0"/>
              <w:autoSpaceDN w:val="0"/>
              <w:jc w:val="left"/>
              <w:rPr>
                <w:szCs w:val="16"/>
              </w:rPr>
            </w:pPr>
            <w:r w:rsidRPr="00C25C44">
              <w:rPr>
                <w:szCs w:val="16"/>
              </w:rPr>
              <w:t>&lt;0.001</w:t>
            </w:r>
          </w:p>
        </w:tc>
      </w:tr>
    </w:tbl>
    <w:p w14:paraId="677C4008" w14:textId="77777777" w:rsidR="00B5104C" w:rsidRPr="00C25C44" w:rsidRDefault="00B5104C" w:rsidP="00B5104C">
      <w:pPr>
        <w:pStyle w:val="MDPI43tablefooter"/>
        <w:jc w:val="left"/>
      </w:pPr>
      <w:r w:rsidRPr="00C25C44">
        <w:t xml:space="preserve">Data are N (%) unless otherwise stated. The associations between physical and psychiatric conditions and adhesive capsulitis of the shoulder were studied using an adjusted logistic regression model. All physical and psychiatric diseases were simultaneously included in the logistic regression model. </w:t>
      </w:r>
      <w:r w:rsidRPr="00C25C44">
        <w:rPr>
          <w:i/>
        </w:rPr>
        <w:t>p</w:t>
      </w:r>
      <w:r w:rsidRPr="00C25C44">
        <w:t>-values &lt; 0.001 were considered statistically significant.</w:t>
      </w:r>
    </w:p>
    <w:p w14:paraId="7B455164" w14:textId="4D443ACC" w:rsidR="00610D7F" w:rsidRPr="00C25C44" w:rsidRDefault="00AE48F6" w:rsidP="00AE48F6">
      <w:pPr>
        <w:pStyle w:val="MDPI21heading1"/>
      </w:pPr>
      <w:r w:rsidRPr="00C25C44">
        <w:t xml:space="preserve">4. </w:t>
      </w:r>
      <w:r w:rsidR="00610D7F" w:rsidRPr="00C25C44">
        <w:t>Discussion</w:t>
      </w:r>
    </w:p>
    <w:p w14:paraId="2D506EA1" w14:textId="2C02E0D6" w:rsidR="00610D7F" w:rsidRPr="00C25C44" w:rsidRDefault="00AE48F6" w:rsidP="00AE48F6">
      <w:pPr>
        <w:pStyle w:val="MDPI22heading2"/>
      </w:pPr>
      <w:r w:rsidRPr="00C25C44">
        <w:t xml:space="preserve">4.1. </w:t>
      </w:r>
      <w:r w:rsidR="00610D7F" w:rsidRPr="00C25C44">
        <w:t xml:space="preserve">Main </w:t>
      </w:r>
      <w:r w:rsidRPr="00C25C44">
        <w:t>Findings</w:t>
      </w:r>
    </w:p>
    <w:p w14:paraId="01B0CF5D" w14:textId="765010C4" w:rsidR="00610D7F" w:rsidRPr="00C25C44" w:rsidRDefault="00610D7F" w:rsidP="00AE48F6">
      <w:pPr>
        <w:pStyle w:val="MDPI31text"/>
        <w:rPr>
          <w:b/>
        </w:rPr>
      </w:pPr>
      <w:r w:rsidRPr="00C25C44">
        <w:t xml:space="preserve">The one-year and lifetime prevalence of adhesive capsulitis of the shoulder in adults aged ≥65 years from general practices in Germany in 2021 were 0.4% and 2.4%, respectively. The adjusted logistic regression model conducted on </w:t>
      </w:r>
      <w:r w:rsidR="00B0419F" w:rsidRPr="00C25C44">
        <w:t>8439</w:t>
      </w:r>
      <w:r w:rsidRPr="00C25C44">
        <w:t xml:space="preserve"> adults with and 42,195 adults without adhesive capsulitis further revealed that 12 physical and psychiatric conditions were positively and significantly associated with the diagnosis of adhesive capsulitis in 201</w:t>
      </w:r>
      <w:r w:rsidR="00C9566E" w:rsidRPr="00C25C44">
        <w:t>0–2021</w:t>
      </w:r>
      <w:r w:rsidRPr="00C25C44">
        <w:t>. These conditions were other and unspecified osteoarthritis (O</w:t>
      </w:r>
      <w:r w:rsidR="00C9566E" w:rsidRPr="00C25C44">
        <w:t>R = 1</w:t>
      </w:r>
      <w:r w:rsidRPr="00C25C44">
        <w:t>.93), injury to the shoulder and upper arm (O</w:t>
      </w:r>
      <w:r w:rsidR="00C9566E" w:rsidRPr="00C25C44">
        <w:t>R = 1</w:t>
      </w:r>
      <w:r w:rsidRPr="00C25C44">
        <w:t>.85), injury to the thorax (O</w:t>
      </w:r>
      <w:r w:rsidR="00C9566E" w:rsidRPr="00C25C44">
        <w:t>R = 1</w:t>
      </w:r>
      <w:r w:rsidRPr="00C25C44">
        <w:t xml:space="preserve">.47), </w:t>
      </w:r>
      <w:proofErr w:type="spellStart"/>
      <w:r w:rsidRPr="00C25C44">
        <w:t>polyosteoarthritis</w:t>
      </w:r>
      <w:proofErr w:type="spellEnd"/>
      <w:r w:rsidRPr="00C25C44">
        <w:t xml:space="preserve"> (O</w:t>
      </w:r>
      <w:r w:rsidR="00C9566E" w:rsidRPr="00C25C44">
        <w:t>R = 1</w:t>
      </w:r>
      <w:r w:rsidRPr="00C25C44">
        <w:t>.44), palmar fascial fibromatosis (</w:t>
      </w:r>
      <w:proofErr w:type="spellStart"/>
      <w:r w:rsidRPr="00C25C44">
        <w:t>Dupuytren’s</w:t>
      </w:r>
      <w:proofErr w:type="spellEnd"/>
      <w:r w:rsidRPr="00C25C44">
        <w:t xml:space="preserve"> disease; O</w:t>
      </w:r>
      <w:r w:rsidR="00C9566E" w:rsidRPr="00C25C44">
        <w:t>R = 1</w:t>
      </w:r>
      <w:r w:rsidRPr="00C25C44">
        <w:t>.41), gout (O</w:t>
      </w:r>
      <w:r w:rsidR="00C9566E" w:rsidRPr="00C25C44">
        <w:t>R = 1</w:t>
      </w:r>
      <w:r w:rsidRPr="00C25C44">
        <w:t>.36), reaction to severe stress, and adjustment disorders (O</w:t>
      </w:r>
      <w:r w:rsidR="00C9566E" w:rsidRPr="00C25C44">
        <w:t>R = 1</w:t>
      </w:r>
      <w:r w:rsidRPr="00C25C44">
        <w:t>.32), gastro-esophageal reflux disease (O</w:t>
      </w:r>
      <w:r w:rsidR="00C9566E" w:rsidRPr="00C25C44">
        <w:t>R = 1</w:t>
      </w:r>
      <w:r w:rsidRPr="00C25C44">
        <w:t>.29), somatoform disorders (O</w:t>
      </w:r>
      <w:r w:rsidR="00C9566E" w:rsidRPr="00C25C44">
        <w:t>R = 1</w:t>
      </w:r>
      <w:r w:rsidRPr="00C25C44">
        <w:t>.19), overweight and obesity (O</w:t>
      </w:r>
      <w:r w:rsidR="00C9566E" w:rsidRPr="00C25C44">
        <w:t>R = 1</w:t>
      </w:r>
      <w:r w:rsidRPr="00C25C44">
        <w:t>.15), ischemic heart diseases (O</w:t>
      </w:r>
      <w:r w:rsidR="00C9566E" w:rsidRPr="00C25C44">
        <w:t>R = 1</w:t>
      </w:r>
      <w:r w:rsidRPr="00C25C44">
        <w:t>.13), and disorders of thyroid gland (O</w:t>
      </w:r>
      <w:r w:rsidR="00C9566E" w:rsidRPr="00C25C44">
        <w:t>R = 1</w:t>
      </w:r>
      <w:r w:rsidRPr="00C25C44">
        <w:t>.11). Finally, there was a negative and significant relationship between adhesive capsulitis and Parkinson’s disease (O</w:t>
      </w:r>
      <w:r w:rsidR="00C9566E" w:rsidRPr="00C25C44">
        <w:t>R = 0</w:t>
      </w:r>
      <w:r w:rsidRPr="00C25C44">
        <w:t>.71) and hypertension (O</w:t>
      </w:r>
      <w:r w:rsidR="00C9566E" w:rsidRPr="00C25C44">
        <w:t>R = 0</w:t>
      </w:r>
      <w:r w:rsidRPr="00C25C44">
        <w:t xml:space="preserve">.81). To the best of the authors’ knowledge, this is only the second study to investigate the epidemiology of adhesive capsulitis in the older population, while this research is the first to analyze the effects of </w:t>
      </w:r>
      <w:proofErr w:type="gramStart"/>
      <w:r w:rsidRPr="00C25C44">
        <w:t>a large number of</w:t>
      </w:r>
      <w:proofErr w:type="gramEnd"/>
      <w:r w:rsidRPr="00C25C44">
        <w:t xml:space="preserve"> physical and psychiatric disorders on adhesive capsulitis, particularly in older age.</w:t>
      </w:r>
    </w:p>
    <w:p w14:paraId="770FD116" w14:textId="54B73808" w:rsidR="00610D7F" w:rsidRPr="00C25C44" w:rsidRDefault="00610D7F" w:rsidP="00610D7F">
      <w:pPr>
        <w:pStyle w:val="MDPI22heading2"/>
        <w:spacing w:before="240"/>
      </w:pPr>
      <w:r w:rsidRPr="00C25C44">
        <w:t xml:space="preserve">4.2. Interpretation of </w:t>
      </w:r>
      <w:r w:rsidR="00AE48F6" w:rsidRPr="00C25C44">
        <w:t>Findings</w:t>
      </w:r>
    </w:p>
    <w:p w14:paraId="34D542F0" w14:textId="77777777" w:rsidR="00610D7F" w:rsidRPr="00C25C44" w:rsidRDefault="00610D7F" w:rsidP="000C233C">
      <w:pPr>
        <w:pStyle w:val="MDPI31text"/>
        <w:rPr>
          <w:b/>
        </w:rPr>
      </w:pPr>
      <w:r w:rsidRPr="00C25C44">
        <w:t xml:space="preserve">In this retrospective study of older patients followed in general practices in Germany, the one-year prevalence of adhesive capsulitis of the shoulder was 0.4%. The finding was corroborated in the sex-stratified analyses. This finding is in line with the sole study on the epidemiology of adhesive capsulitis in older adults, which reported a one-year prevalence of 0.35% in the United States [8]. Given that approximately 18.4 million people were aged ≥65 years in Germany in 2021 [28], the present proportion translates into more than 73,000 new diagnoses of adhesive capsulitis each year in the older population living in </w:t>
      </w:r>
      <w:r w:rsidRPr="00C25C44">
        <w:lastRenderedPageBreak/>
        <w:t>Germany. These data clearly show that adhesive capsulitis affects not only working-age adults but also their older counterparts, highlighting the need for tailored treatment and management of this shoulder disorder in later life.</w:t>
      </w:r>
    </w:p>
    <w:p w14:paraId="7475CB06" w14:textId="46093621" w:rsidR="00610D7F" w:rsidRPr="00C25C44" w:rsidRDefault="00610D7F" w:rsidP="000C233C">
      <w:pPr>
        <w:pStyle w:val="MDPI31text"/>
        <w:rPr>
          <w:b/>
        </w:rPr>
      </w:pPr>
      <w:r w:rsidRPr="00C25C44">
        <w:t xml:space="preserve">There was a positive and significant association between several physical and psychiatric conditions and adhesive capsulitis of the shoulder. Osteoarthritis (i.e., </w:t>
      </w:r>
      <w:proofErr w:type="gramStart"/>
      <w:r w:rsidRPr="00C25C44">
        <w:t>other</w:t>
      </w:r>
      <w:proofErr w:type="gramEnd"/>
      <w:r w:rsidRPr="00C25C44">
        <w:t xml:space="preserve"> and unspecified osteoarthritis and </w:t>
      </w:r>
      <w:proofErr w:type="spellStart"/>
      <w:r w:rsidRPr="00C25C44">
        <w:t>polyosteoarthritis</w:t>
      </w:r>
      <w:proofErr w:type="spellEnd"/>
      <w:r w:rsidRPr="00C25C44">
        <w:t>) was strongly associated with adhesive capsulitis. Although it was not possible in this study to differentiate shoulder osteoarthritis from osteoarthritis of other regions of the body (e.g., elbow osteoarthritis), it is likely that the observed associations are largely explained by shoulder osteoarthritis. Interestingly, in a population-based nested case-control study of 24,414 individuals with and 97,656 individuals without adhesive capsulitis from Taiwan, osteoarthritis was associated with a 4.27-fold increase in the odds of adhesive capsulitis after adjusting for multiple confounding variables [24]. It was suggested that osteoarthritis-related shoulder function impairments might partially explain the osteoarthritis-adhesive capsulitis relationship. There was also a substantial association between injury to the shoulder and upper arm, injury to the thorax, and adhesive capsulitis, corroborating the findings of previous literature [24]. As for osteoarthritis, injuries may lead to shoulder dysfunction, which may, in turn, favor the occurrence of adhesive capsulitis.</w:t>
      </w:r>
    </w:p>
    <w:p w14:paraId="65FA9D36" w14:textId="0A9D39CD" w:rsidR="00610D7F" w:rsidRPr="00C25C44" w:rsidRDefault="00610D7F" w:rsidP="000C233C">
      <w:pPr>
        <w:pStyle w:val="MDPI31text"/>
        <w:rPr>
          <w:b/>
        </w:rPr>
      </w:pPr>
      <w:r w:rsidRPr="00C25C44">
        <w:t xml:space="preserve">Palmar fascial fibromatosis, also known as </w:t>
      </w:r>
      <w:proofErr w:type="spellStart"/>
      <w:r w:rsidRPr="00C25C44">
        <w:t>Dupuytren’s</w:t>
      </w:r>
      <w:proofErr w:type="spellEnd"/>
      <w:r w:rsidRPr="00C25C44">
        <w:t xml:space="preserve"> disease, was positively and significantly associated with adhesive capsulitis. Palmar fascial fibromatosis, which corresponds to the benign proliferation of fibroblasts and myofibroblasts, involves nodules and contractures on the palmar crease [29]. A case-control study, including 263 patients presenting to a single center in Australia, found that palmar fascial fibromatosis tended to be more frequent in the adhesive capsulitis than in the no adhesive capsulitis group (8% versus 3%, </w:t>
      </w:r>
      <w:r w:rsidR="00C9566E" w:rsidRPr="00C25C44">
        <w:rPr>
          <w:i/>
        </w:rPr>
        <w:t>p</w:t>
      </w:r>
      <w:r w:rsidRPr="00C25C44">
        <w:t>-valu</w:t>
      </w:r>
      <w:r w:rsidR="00C9566E" w:rsidRPr="00C25C44">
        <w:t>e = 0</w:t>
      </w:r>
      <w:r w:rsidRPr="00C25C44">
        <w:t>.068), the lack of statistical significance potentially being related to the small sample size [12]. In addition, a recent genome-wide association study based on data from the UK Biobank identified multiple loci significantly associated with both palmar fascial fibromatosis and adhesive capsulitis, suggesting that the two disorders may have a shared genetic architecture [30].</w:t>
      </w:r>
    </w:p>
    <w:p w14:paraId="5A6E2085" w14:textId="7673179B" w:rsidR="00610D7F" w:rsidRPr="00C25C44" w:rsidRDefault="00610D7F" w:rsidP="000C233C">
      <w:pPr>
        <w:pStyle w:val="MDPI31text"/>
        <w:rPr>
          <w:b/>
        </w:rPr>
      </w:pPr>
      <w:r w:rsidRPr="00C25C44">
        <w:t>The present retrospective study from Germany further showed a significant association between gout and adhesive capsulitis of the shoulder. Findings pointing to the same direction were obtained in a Taiwanese nationwide population-based matched-cohort study of 117,282 adults aged 4</w:t>
      </w:r>
      <w:r w:rsidR="00C9566E" w:rsidRPr="00C25C44">
        <w:t>0–70</w:t>
      </w:r>
      <w:r w:rsidRPr="00C25C44">
        <w:t xml:space="preserve"> years, as gout led to a 1.71-fold increase in the adjusted risk of adhesive capsulitis [27]. Gout is a common inflammatory arthritis caused by the deposition of monosodium urate crystals within joints [31]. The relationship between gout and adhesive capsulitis likely involves several mediators, such as low-grade inflammation of the shoulder, hyperuricemia, and several chronic conditions (e.g., cardiovascular diseases). Another physical condition significantly associated with adhesive capsulitis was gastro-esophageal reflux disease. It was observed in an Italian sample of 237 patients undergoing arthroscopic rotator cuff repair that the presence of gastro-esophageal reflux disease positively predicted the occurrence of postoperative shoulder stiffness [26]. The effects of gastro-esophageal reflux disease on adhesive capsulitis may be partially explained by inflammation and the malabsorption of retinoids, with retinoid metabolism being potentially disrupted in the capsule of individuals with adhesive capsulitis [32].</w:t>
      </w:r>
    </w:p>
    <w:p w14:paraId="4DE26A7A" w14:textId="1DBC1608" w:rsidR="00610D7F" w:rsidRPr="00C25C44" w:rsidRDefault="00610D7F" w:rsidP="000C233C">
      <w:pPr>
        <w:pStyle w:val="MDPI31text"/>
        <w:rPr>
          <w:b/>
        </w:rPr>
      </w:pPr>
      <w:r w:rsidRPr="00C25C44">
        <w:t xml:space="preserve">This research also showed that participants with overweight and obesity were more likely to be diagnosed with adhesive capsulitis of the shoulder than their counterparts without overweight and obesity. This result is in line with another study of </w:t>
      </w:r>
      <w:r w:rsidR="00B0419F" w:rsidRPr="00C25C44">
        <w:t>4380</w:t>
      </w:r>
      <w:r w:rsidRPr="00C25C44">
        <w:t xml:space="preserve"> patients from the United States, as obesity was significantly more frequent in people with than in those without adhesive capsulitis [21]. Although the mechanisms underlying the obesity-adhesive capsulitis relationship are insufficiently understood, one hypothesis is that low-grade inflammation plays a decisive role in the association. Finally, ischemic heart diseases and disorders of thyroid gland were identified as predictors of adhesive capsulitis, corroborating a solid body of literature on the topic [2]. Ischemic heart diseases may increase the risk of adhesive capsulitis via impaired circulation [7], while proinflammatory </w:t>
      </w:r>
      <w:r w:rsidRPr="00C25C44">
        <w:lastRenderedPageBreak/>
        <w:t>cytokines and fibroblast proliferation may mediate the association between thyroid gland disorders and adhesive capsulitis [33].</w:t>
      </w:r>
    </w:p>
    <w:p w14:paraId="021BB433" w14:textId="77777777" w:rsidR="00610D7F" w:rsidRPr="00C25C44" w:rsidRDefault="00610D7F" w:rsidP="000C233C">
      <w:pPr>
        <w:pStyle w:val="MDPI31text"/>
        <w:rPr>
          <w:b/>
        </w:rPr>
      </w:pPr>
      <w:r w:rsidRPr="00C25C44">
        <w:t>In terms of psychiatric conditions, two disorders (i.e., reaction to severe stress, and adjustment disorders, and somatoform disorders) were positively and significantly associated with adhesive capsulitis of the shoulder. This finding is relatively new and should be interpreted with caution. Interestingly, previous research has reported a high prevalence of psychiatric conditions in patients with adhesive capsulitis compared with the general population [4]. The present result adds to the literature by showing that poor mental health may predispose to adhesive capsulitis. Furthermore, although the level of evidence is low, multiple psychological factors (e.g., emotional distress, somatization, and fear-avoidance beliefs) may play a key role in the perpetuation of pain intensity and disability among individuals with chronic shoulder pain [23].</w:t>
      </w:r>
    </w:p>
    <w:p w14:paraId="7BDCAEE3" w14:textId="5D231804" w:rsidR="00610D7F" w:rsidRPr="00C25C44" w:rsidRDefault="00610D7F" w:rsidP="000C233C">
      <w:pPr>
        <w:pStyle w:val="MDPI31text"/>
        <w:rPr>
          <w:b/>
        </w:rPr>
      </w:pPr>
      <w:r w:rsidRPr="00C25C44">
        <w:t xml:space="preserve">Finally, there was a negative and significant association between Parkinson’s disease, hypertension, and adhesive capsulitis, while no statistically significant relationships were observed for diabetes and cerebrovascular diseases. The negative Parkinson’s disease-adhesive capsulitis relationship is unexpected, as a previous review article has obtained opposite findings [34]. Given that patients with Parkinson’s disease may have also been followed in neurological practices, one may hypothesize that adhesive capsulitis was documented in neurological and not in general practices, potentially biasing the present association. The relationship between hypertension and adhesive capsulitis remains under debate, as previous studies have reported positive [24] and null associations </w:t>
      </w:r>
      <w:r w:rsidR="00601AE3" w:rsidRPr="00C25C44">
        <w:t>[8,11,35]</w:t>
      </w:r>
      <w:r w:rsidRPr="00C25C44">
        <w:t>. In this context, more data are warranted on the potential hypertension-adhesive capsulitis relationship. The lack of significant association between diabetes, cerebrovascular diseases, and adhesive capsulitis should also be pointed out. In the case of diabetes, the effect size was almost significant, and significant results might have been obtained with a larger sample size. In addition, patients with diabetes included in this study might display a mild form of the disease, and those with moderate and severe forms, who are at particular risk for adhesive capsulitis [15], might have been followed in specialized practices (e.g., diabetology practices). In the case of cerebrovascular diseases, this is one of the first studies to include a large number of physical and psychiatric conditions, and the cerebrovascular disease-adhesive capsulitis relationship reported in the literature [2] may largely be explained by comorbidities of cerebrovascular diseases.</w:t>
      </w:r>
    </w:p>
    <w:p w14:paraId="5C2E3AAB" w14:textId="5DB86582" w:rsidR="00610D7F" w:rsidRPr="00C25C44" w:rsidRDefault="000C233C" w:rsidP="000C233C">
      <w:pPr>
        <w:pStyle w:val="MDPI22heading2"/>
        <w:spacing w:before="240"/>
      </w:pPr>
      <w:r w:rsidRPr="00C25C44">
        <w:t xml:space="preserve">4.3. </w:t>
      </w:r>
      <w:r w:rsidR="00610D7F" w:rsidRPr="00C25C44">
        <w:t xml:space="preserve">Clinical </w:t>
      </w:r>
      <w:r w:rsidRPr="00C25C44">
        <w:t xml:space="preserve">Implications </w:t>
      </w:r>
      <w:r w:rsidR="00610D7F" w:rsidRPr="00C25C44">
        <w:t xml:space="preserve">and </w:t>
      </w:r>
      <w:r w:rsidRPr="00C25C44">
        <w:t xml:space="preserve">Directions </w:t>
      </w:r>
      <w:r w:rsidR="00610D7F" w:rsidRPr="00C25C44">
        <w:t xml:space="preserve">for </w:t>
      </w:r>
      <w:r w:rsidRPr="00C25C44">
        <w:t>Future Research</w:t>
      </w:r>
    </w:p>
    <w:p w14:paraId="748D9ACB" w14:textId="6A6E69D3" w:rsidR="00610D7F" w:rsidRPr="00C25C44" w:rsidRDefault="00610D7F" w:rsidP="000C233C">
      <w:pPr>
        <w:pStyle w:val="MDPI31text"/>
        <w:rPr>
          <w:b/>
        </w:rPr>
      </w:pPr>
      <w:r w:rsidRPr="00C25C44">
        <w:t xml:space="preserve">Based on these findings, adhesive capsulitis of the shoulder affects not only middle-aged but also older adults. Conditions </w:t>
      </w:r>
      <w:proofErr w:type="gramStart"/>
      <w:r w:rsidRPr="00C25C44">
        <w:t>the most</w:t>
      </w:r>
      <w:proofErr w:type="gramEnd"/>
      <w:r w:rsidRPr="00C25C44">
        <w:t xml:space="preserve"> strongly associated with adhesive capsulitis were osteoarthritis and injuries to the shoulder, upper arm, and thorax. When these conditions are present, shoulder pain, range of motion, and function should be regularly assessed by general practitioners. The first-line treatment of adhesive capsulitis is physiotherapy, and several physiotherapy interventions (e.g., stretching exercises, mobilization, and strengthening of muscles) are recommended for the management of this shoulder condition [36]. Corticosteroid injections should be prescribed with caution in older patients, as several disorders (e.g., uncontrolled diabetes, uncontrolled hypertension, and urinary infection) may counter-indicate these injections. In terms of future research, more studies are warranted to corroborate or invalidate the present results in other countries and settings.</w:t>
      </w:r>
    </w:p>
    <w:p w14:paraId="7778546E" w14:textId="1280F9AB" w:rsidR="00610D7F" w:rsidRPr="00C25C44" w:rsidRDefault="00610D7F" w:rsidP="00610D7F">
      <w:pPr>
        <w:pStyle w:val="MDPI22heading2"/>
        <w:spacing w:before="240"/>
      </w:pPr>
      <w:r w:rsidRPr="00C25C44">
        <w:t xml:space="preserve">4.4. Strengths and </w:t>
      </w:r>
      <w:r w:rsidR="000C233C" w:rsidRPr="00C25C44">
        <w:t>Limitations</w:t>
      </w:r>
    </w:p>
    <w:p w14:paraId="5E4BF55F" w14:textId="65D30C84" w:rsidR="00610D7F" w:rsidRPr="00C25C44" w:rsidRDefault="00610D7F" w:rsidP="000C233C">
      <w:pPr>
        <w:pStyle w:val="MDPI31text"/>
      </w:pPr>
      <w:r w:rsidRPr="00C25C44">
        <w:t xml:space="preserve">Strengths of the study are the large sample size, the use of data collected in general practices, and the inclusion of a wide range of physical and psychiatric conditions. Nonetheless, the </w:t>
      </w:r>
      <w:proofErr w:type="gramStart"/>
      <w:r w:rsidRPr="00C25C44">
        <w:t>study</w:t>
      </w:r>
      <w:proofErr w:type="gramEnd"/>
      <w:r w:rsidRPr="00C25C44">
        <w:t xml:space="preserve"> findings should be interpreted </w:t>
      </w:r>
      <w:proofErr w:type="gramStart"/>
      <w:r w:rsidRPr="00C25C44">
        <w:t>in light of</w:t>
      </w:r>
      <w:proofErr w:type="gramEnd"/>
      <w:r w:rsidRPr="00C25C44">
        <w:t xml:space="preserve"> several limitations. First, the diagnosis of adhesive capsulitis exclusively relied on the ICD-10 classification. More data on adhesive capsulitis (e.g., severity and duration of symptoms) would have allowed </w:t>
      </w:r>
      <w:r w:rsidRPr="00C25C44">
        <w:lastRenderedPageBreak/>
        <w:t xml:space="preserve">more detailed analyses. Second, adhesive capsulitis may have been diagnosed in rheumatology practices, and the prevalence of this shoulder condition may have been underestimated. Third, there was no information on prolonged immobilization of the shoulder and HLA-B27 </w:t>
      </w:r>
      <w:r w:rsidR="00827B91" w:rsidRPr="00C25C44">
        <w:t>status and</w:t>
      </w:r>
      <w:r w:rsidRPr="00C25C44">
        <w:t xml:space="preserve"> given that these factors may be associated with adhesive capsulitis of the shoulder [25,37], residual confounding may exist. Fourth, patients living in institutions were not included in the study, and the findings cannot, therefore, be generalized to this setting.</w:t>
      </w:r>
    </w:p>
    <w:p w14:paraId="23112FA1" w14:textId="0B68D61D" w:rsidR="00610D7F" w:rsidRPr="00C25C44" w:rsidRDefault="000C233C" w:rsidP="000C233C">
      <w:pPr>
        <w:pStyle w:val="MDPI21heading1"/>
      </w:pPr>
      <w:r w:rsidRPr="00C25C44">
        <w:t xml:space="preserve">5. </w:t>
      </w:r>
      <w:r w:rsidR="00610D7F" w:rsidRPr="00C25C44">
        <w:t>Conclusions</w:t>
      </w:r>
    </w:p>
    <w:p w14:paraId="655CFF77" w14:textId="28DEBBB0" w:rsidR="00610D7F" w:rsidRPr="00C25C44" w:rsidRDefault="00610D7F" w:rsidP="000C233C">
      <w:pPr>
        <w:pStyle w:val="MDPI31text"/>
        <w:rPr>
          <w:b/>
        </w:rPr>
      </w:pPr>
      <w:r w:rsidRPr="00C25C44">
        <w:t>This retrospective study, including older adults followed in general practices in Germany, found that the one-year and lifetime prevalence of adhesive capsulitis of the shoulder were 0.4% and 2.4%, respectively. Multiple physical and psychiatric conditions were significantly associated with adhesive capsulitis, and effect sizes were the strongest for osteoarthritis and injuries to the shoulder, upper arm, and thorax. More studies on the epidemiology of adhesive capsulitis in older adults are needed to confirm the present results.</w:t>
      </w:r>
    </w:p>
    <w:p w14:paraId="3BC1591D" w14:textId="721743ED" w:rsidR="00610D7F" w:rsidRPr="00C25C44" w:rsidRDefault="00082E31" w:rsidP="00082E31">
      <w:pPr>
        <w:pStyle w:val="MDPI62BackMatter"/>
        <w:spacing w:before="240"/>
        <w:rPr>
          <w:szCs w:val="18"/>
        </w:rPr>
      </w:pPr>
      <w:r w:rsidRPr="00C25C44">
        <w:rPr>
          <w:b/>
          <w:szCs w:val="18"/>
        </w:rPr>
        <w:t>Author Contribution</w:t>
      </w:r>
      <w:r w:rsidR="00610D7F" w:rsidRPr="00C25C44">
        <w:rPr>
          <w:b/>
          <w:szCs w:val="18"/>
        </w:rPr>
        <w:t xml:space="preserve">s: </w:t>
      </w:r>
      <w:r w:rsidR="00610D7F" w:rsidRPr="00C25C44">
        <w:rPr>
          <w:szCs w:val="18"/>
        </w:rPr>
        <w:t>Conceptualization, L.J</w:t>
      </w:r>
      <w:r w:rsidR="00716340" w:rsidRPr="00C25C44">
        <w:rPr>
          <w:szCs w:val="18"/>
        </w:rPr>
        <w:t xml:space="preserve">. and </w:t>
      </w:r>
      <w:r w:rsidR="00610D7F" w:rsidRPr="00C25C44">
        <w:rPr>
          <w:szCs w:val="18"/>
        </w:rPr>
        <w:t>K.K.; formal analysis, K.K.; writing—original draft preparation, L.J.; writing—review and editing, L.J., R.M.G., A.K., J.M.H., L.S.</w:t>
      </w:r>
      <w:r w:rsidR="00716340" w:rsidRPr="00C25C44">
        <w:rPr>
          <w:szCs w:val="18"/>
        </w:rPr>
        <w:t xml:space="preserve"> and</w:t>
      </w:r>
      <w:r w:rsidR="00610D7F" w:rsidRPr="00C25C44">
        <w:rPr>
          <w:szCs w:val="18"/>
        </w:rPr>
        <w:t xml:space="preserve"> K.K.; supervision, L.J.</w:t>
      </w:r>
      <w:r w:rsidR="00716340" w:rsidRPr="00C25C44">
        <w:rPr>
          <w:szCs w:val="18"/>
        </w:rPr>
        <w:t xml:space="preserve"> and</w:t>
      </w:r>
      <w:r w:rsidR="00610D7F" w:rsidRPr="00C25C44">
        <w:rPr>
          <w:szCs w:val="18"/>
        </w:rPr>
        <w:t xml:space="preserve"> K.K. All authors have read and agreed to the published version of the manuscript.</w:t>
      </w:r>
    </w:p>
    <w:p w14:paraId="0384820F" w14:textId="77777777" w:rsidR="00610D7F" w:rsidRPr="00C25C44" w:rsidRDefault="00610D7F" w:rsidP="00082E31">
      <w:pPr>
        <w:pStyle w:val="MDPI62BackMatter"/>
        <w:rPr>
          <w:szCs w:val="18"/>
        </w:rPr>
      </w:pPr>
      <w:r w:rsidRPr="00C25C44">
        <w:rPr>
          <w:b/>
          <w:szCs w:val="18"/>
        </w:rPr>
        <w:t xml:space="preserve">Funding: </w:t>
      </w:r>
      <w:r w:rsidRPr="00C25C44">
        <w:rPr>
          <w:szCs w:val="18"/>
        </w:rPr>
        <w:t>This research received no external funding.</w:t>
      </w:r>
    </w:p>
    <w:p w14:paraId="0D7E28BB" w14:textId="32BFB211" w:rsidR="00610D7F" w:rsidRPr="00C25C44" w:rsidRDefault="00610D7F" w:rsidP="000C233C">
      <w:pPr>
        <w:pStyle w:val="MDPI62BackMatter"/>
        <w:rPr>
          <w:szCs w:val="18"/>
        </w:rPr>
      </w:pPr>
      <w:bookmarkStart w:id="0" w:name="_Hlk89945590"/>
      <w:bookmarkStart w:id="1" w:name="_Hlk60054323"/>
      <w:r w:rsidRPr="00C25C44">
        <w:rPr>
          <w:b/>
          <w:szCs w:val="18"/>
        </w:rPr>
        <w:t xml:space="preserve">Institutional Review Board Statement and informed consent statement: </w:t>
      </w:r>
      <w:r w:rsidRPr="00C25C44">
        <w:rPr>
          <w:szCs w:val="18"/>
        </w:rPr>
        <w:t>German law allows the use of anonymous electronic medical records for research purposes under certain conditions. According to this legislation, it is not necessary to obtain approval from a medical ethics committee or informed consent from patients for this type of observational study that contains no directly identifiable data.</w:t>
      </w:r>
    </w:p>
    <w:p w14:paraId="7F1F0EBD" w14:textId="7F8F38A9" w:rsidR="00BD0EDF" w:rsidRPr="00C25C44" w:rsidRDefault="00541B76" w:rsidP="00541B76">
      <w:pPr>
        <w:pStyle w:val="MDPI62BackMatter"/>
      </w:pPr>
      <w:r w:rsidRPr="00C25C44">
        <w:rPr>
          <w:b/>
        </w:rPr>
        <w:t>Informed Consent Statement:</w:t>
      </w:r>
      <w:r w:rsidRPr="00C25C44">
        <w:t xml:space="preserve"> </w:t>
      </w:r>
    </w:p>
    <w:bookmarkEnd w:id="0"/>
    <w:p w14:paraId="3BED5903" w14:textId="77777777" w:rsidR="00610D7F" w:rsidRPr="00C25C44" w:rsidRDefault="00610D7F" w:rsidP="000C233C">
      <w:pPr>
        <w:pStyle w:val="MDPI62BackMatter"/>
        <w:rPr>
          <w:szCs w:val="18"/>
        </w:rPr>
      </w:pPr>
      <w:r w:rsidRPr="00C25C44">
        <w:rPr>
          <w:b/>
          <w:szCs w:val="18"/>
        </w:rPr>
        <w:t xml:space="preserve">Data Availability Statement: </w:t>
      </w:r>
      <w:r w:rsidRPr="00C25C44">
        <w:rPr>
          <w:szCs w:val="18"/>
        </w:rPr>
        <w:t>The data that support the findings of this study are available from the corresponding author upon reasonable request.</w:t>
      </w:r>
    </w:p>
    <w:bookmarkEnd w:id="1"/>
    <w:p w14:paraId="1B7CA215" w14:textId="77777777" w:rsidR="00610D7F" w:rsidRPr="00C25C44" w:rsidRDefault="00610D7F" w:rsidP="000C233C">
      <w:pPr>
        <w:pStyle w:val="MDPI62BackMatter"/>
        <w:rPr>
          <w:szCs w:val="18"/>
        </w:rPr>
      </w:pPr>
      <w:r w:rsidRPr="00C25C44">
        <w:rPr>
          <w:b/>
          <w:szCs w:val="18"/>
        </w:rPr>
        <w:t>Acknowledgments:</w:t>
      </w:r>
      <w:r w:rsidRPr="00C25C44">
        <w:rPr>
          <w:szCs w:val="18"/>
        </w:rPr>
        <w:t xml:space="preserve"> None.</w:t>
      </w:r>
    </w:p>
    <w:p w14:paraId="1762B8E0" w14:textId="77777777" w:rsidR="00610D7F" w:rsidRPr="00C25C44" w:rsidRDefault="00610D7F" w:rsidP="000C233C">
      <w:pPr>
        <w:pStyle w:val="MDPI62BackMatter"/>
        <w:rPr>
          <w:szCs w:val="18"/>
        </w:rPr>
      </w:pPr>
      <w:r w:rsidRPr="00C25C44">
        <w:rPr>
          <w:b/>
          <w:szCs w:val="18"/>
        </w:rPr>
        <w:t xml:space="preserve">Conflicts of Interest: </w:t>
      </w:r>
      <w:r w:rsidRPr="00C25C44">
        <w:rPr>
          <w:szCs w:val="18"/>
        </w:rPr>
        <w:t xml:space="preserve">Karel </w:t>
      </w:r>
      <w:proofErr w:type="spellStart"/>
      <w:r w:rsidRPr="00C25C44">
        <w:rPr>
          <w:szCs w:val="18"/>
        </w:rPr>
        <w:t>Kostev</w:t>
      </w:r>
      <w:proofErr w:type="spellEnd"/>
      <w:r w:rsidRPr="00C25C44">
        <w:rPr>
          <w:szCs w:val="18"/>
        </w:rPr>
        <w:t xml:space="preserve"> is an employee of IQVIA but has no conflict of </w:t>
      </w:r>
      <w:proofErr w:type="spellStart"/>
      <w:proofErr w:type="gramStart"/>
      <w:r w:rsidRPr="00C25C44">
        <w:rPr>
          <w:szCs w:val="18"/>
        </w:rPr>
        <w:t>interest</w:t>
      </w:r>
      <w:r w:rsidRPr="00C25C44">
        <w:rPr>
          <w:rFonts w:eastAsia="SimSun" w:cs="SimSun"/>
          <w:szCs w:val="18"/>
          <w:lang w:eastAsia="zh-CN"/>
        </w:rPr>
        <w:t>.T</w:t>
      </w:r>
      <w:r w:rsidRPr="00C25C44">
        <w:rPr>
          <w:szCs w:val="18"/>
        </w:rPr>
        <w:t>he</w:t>
      </w:r>
      <w:proofErr w:type="spellEnd"/>
      <w:proofErr w:type="gramEnd"/>
      <w:r w:rsidRPr="00C25C44">
        <w:rPr>
          <w:szCs w:val="18"/>
        </w:rPr>
        <w:t xml:space="preserve"> other authors declare no conflict of interest.</w:t>
      </w:r>
    </w:p>
    <w:p w14:paraId="375ED620" w14:textId="77777777" w:rsidR="002C0DE8" w:rsidRPr="00C25C44" w:rsidRDefault="002C0DE8" w:rsidP="002C0DE8">
      <w:pPr>
        <w:pStyle w:val="MDPI21heading1"/>
        <w:ind w:left="0"/>
      </w:pPr>
      <w:r w:rsidRPr="00C25C44">
        <w:t>References</w:t>
      </w:r>
    </w:p>
    <w:p w14:paraId="4C495FF1" w14:textId="77777777" w:rsidR="002C0DE8" w:rsidRPr="00C25C44" w:rsidRDefault="002C0DE8" w:rsidP="002C0DE8">
      <w:pPr>
        <w:pStyle w:val="MDPI71References"/>
        <w:numPr>
          <w:ilvl w:val="0"/>
          <w:numId w:val="23"/>
        </w:numPr>
      </w:pPr>
      <w:r w:rsidRPr="00C25C44">
        <w:t xml:space="preserve">Ramirez, J. Adhesive Capsulitis: Diagnosis and Management. </w:t>
      </w:r>
      <w:r w:rsidRPr="00C25C44">
        <w:rPr>
          <w:i/>
          <w:iCs/>
        </w:rPr>
        <w:t>Am. Fam. Physician</w:t>
      </w:r>
      <w:r w:rsidRPr="00C25C44">
        <w:t xml:space="preserve"> </w:t>
      </w:r>
      <w:r w:rsidRPr="00C25C44">
        <w:rPr>
          <w:b/>
          <w:bCs/>
        </w:rPr>
        <w:t>2019</w:t>
      </w:r>
      <w:r w:rsidRPr="00C25C44">
        <w:rPr>
          <w:bCs/>
        </w:rPr>
        <w:t xml:space="preserve">, </w:t>
      </w:r>
      <w:r w:rsidRPr="00C25C44">
        <w:rPr>
          <w:bCs/>
          <w:i/>
        </w:rPr>
        <w:t>99</w:t>
      </w:r>
      <w:r w:rsidRPr="00C25C44">
        <w:rPr>
          <w:bCs/>
        </w:rPr>
        <w:t>, 297–300</w:t>
      </w:r>
      <w:r w:rsidRPr="00C25C44">
        <w:t>.</w:t>
      </w:r>
    </w:p>
    <w:p w14:paraId="35F283FB" w14:textId="77777777" w:rsidR="002C0DE8" w:rsidRPr="00C25C44" w:rsidRDefault="002C0DE8" w:rsidP="002C0DE8">
      <w:pPr>
        <w:pStyle w:val="MDPI71References"/>
        <w:numPr>
          <w:ilvl w:val="0"/>
          <w:numId w:val="23"/>
        </w:numPr>
      </w:pPr>
      <w:r w:rsidRPr="00C25C44">
        <w:t xml:space="preserve">Le, H.V.; Lee, S.J.; Nazarian, A.; Rodriguez, E.K. Adhesive Capsulitis of the Shoulder: Review of Pathophysiology and Current Clinical Treatments. </w:t>
      </w:r>
      <w:r w:rsidRPr="00C25C44">
        <w:rPr>
          <w:i/>
          <w:iCs/>
        </w:rPr>
        <w:t xml:space="preserve">Shoulder </w:t>
      </w:r>
      <w:proofErr w:type="spellStart"/>
      <w:r w:rsidRPr="00C25C44">
        <w:rPr>
          <w:i/>
          <w:iCs/>
        </w:rPr>
        <w:t>Elb</w:t>
      </w:r>
      <w:proofErr w:type="spellEnd"/>
      <w:r w:rsidRPr="00C25C44">
        <w:rPr>
          <w:i/>
          <w:iCs/>
        </w:rPr>
        <w:t xml:space="preserve">. </w:t>
      </w:r>
      <w:r w:rsidRPr="00C25C44">
        <w:rPr>
          <w:b/>
          <w:bCs/>
        </w:rPr>
        <w:t>2017</w:t>
      </w:r>
      <w:r w:rsidRPr="00C25C44">
        <w:rPr>
          <w:bCs/>
        </w:rPr>
        <w:t xml:space="preserve">, </w:t>
      </w:r>
      <w:r w:rsidRPr="00C25C44">
        <w:rPr>
          <w:bCs/>
          <w:i/>
        </w:rPr>
        <w:t>9</w:t>
      </w:r>
      <w:r w:rsidRPr="00C25C44">
        <w:rPr>
          <w:bCs/>
        </w:rPr>
        <w:t>, 75–84</w:t>
      </w:r>
      <w:r w:rsidRPr="00C25C44">
        <w:t>. https://doi.org/10.1177/1758573216676786.</w:t>
      </w:r>
    </w:p>
    <w:p w14:paraId="33BE0F73" w14:textId="77777777" w:rsidR="002C0DE8" w:rsidRPr="00C25C44" w:rsidRDefault="002C0DE8" w:rsidP="002C0DE8">
      <w:pPr>
        <w:pStyle w:val="MDPI71References"/>
        <w:numPr>
          <w:ilvl w:val="0"/>
          <w:numId w:val="23"/>
        </w:numPr>
      </w:pPr>
      <w:r w:rsidRPr="00C25C44">
        <w:t xml:space="preserve">Ewald, A. Adhesive Capsulitis: A Review. </w:t>
      </w:r>
      <w:r w:rsidRPr="00C25C44">
        <w:rPr>
          <w:i/>
          <w:iCs/>
        </w:rPr>
        <w:t>Am. Fam. Physician</w:t>
      </w:r>
      <w:r w:rsidRPr="00C25C44">
        <w:t xml:space="preserve"> </w:t>
      </w:r>
      <w:r w:rsidRPr="00C25C44">
        <w:rPr>
          <w:b/>
          <w:bCs/>
        </w:rPr>
        <w:t>2011</w:t>
      </w:r>
      <w:r w:rsidRPr="00C25C44">
        <w:rPr>
          <w:bCs/>
        </w:rPr>
        <w:t xml:space="preserve">, </w:t>
      </w:r>
      <w:r w:rsidRPr="00C25C44">
        <w:rPr>
          <w:bCs/>
          <w:i/>
        </w:rPr>
        <w:t>83</w:t>
      </w:r>
      <w:r w:rsidRPr="00C25C44">
        <w:rPr>
          <w:bCs/>
        </w:rPr>
        <w:t>, 417–422</w:t>
      </w:r>
      <w:r w:rsidRPr="00C25C44">
        <w:t>.</w:t>
      </w:r>
    </w:p>
    <w:p w14:paraId="1D636B66" w14:textId="77777777" w:rsidR="002C0DE8" w:rsidRPr="00C25C44" w:rsidRDefault="002C0DE8" w:rsidP="002C0DE8">
      <w:pPr>
        <w:pStyle w:val="MDPI71References"/>
        <w:numPr>
          <w:ilvl w:val="0"/>
          <w:numId w:val="23"/>
        </w:numPr>
      </w:pPr>
      <w:r w:rsidRPr="00C25C44">
        <w:t xml:space="preserve">Ding, H.; Tang, Y.; </w:t>
      </w:r>
      <w:proofErr w:type="spellStart"/>
      <w:r w:rsidRPr="00C25C44">
        <w:t>Xue</w:t>
      </w:r>
      <w:proofErr w:type="spellEnd"/>
      <w:r w:rsidRPr="00C25C44">
        <w:t xml:space="preserve">, Y.; Yang, Z.; Li, Z.; He, D.; Zhao, Y.; </w:t>
      </w:r>
      <w:proofErr w:type="spellStart"/>
      <w:r w:rsidRPr="00C25C44">
        <w:t>Zong</w:t>
      </w:r>
      <w:proofErr w:type="spellEnd"/>
      <w:r w:rsidRPr="00C25C44">
        <w:t xml:space="preserve">, Y. A Report on the Prevalence of Depression and Anxiety in Patients with Frozen Shoulder and Their Relations to Disease Status. </w:t>
      </w:r>
      <w:r w:rsidRPr="00C25C44">
        <w:rPr>
          <w:i/>
          <w:iCs/>
        </w:rPr>
        <w:t>Psychol. Health Med.</w:t>
      </w:r>
      <w:r w:rsidRPr="00C25C44">
        <w:t xml:space="preserve"> </w:t>
      </w:r>
      <w:r w:rsidRPr="00C25C44">
        <w:rPr>
          <w:b/>
          <w:bCs/>
        </w:rPr>
        <w:t>2014</w:t>
      </w:r>
      <w:r w:rsidRPr="00C25C44">
        <w:rPr>
          <w:bCs/>
        </w:rPr>
        <w:t xml:space="preserve">, </w:t>
      </w:r>
      <w:r w:rsidRPr="00C25C44">
        <w:rPr>
          <w:bCs/>
          <w:i/>
        </w:rPr>
        <w:t>19</w:t>
      </w:r>
      <w:r w:rsidRPr="00C25C44">
        <w:rPr>
          <w:bCs/>
        </w:rPr>
        <w:t>, 730–737</w:t>
      </w:r>
      <w:r w:rsidRPr="00C25C44">
        <w:t>. https://doi.org/10.1080/13548506.2013.873814.</w:t>
      </w:r>
    </w:p>
    <w:p w14:paraId="0A1BD983" w14:textId="77777777" w:rsidR="002C0DE8" w:rsidRPr="00C25C44" w:rsidRDefault="002C0DE8" w:rsidP="002C0DE8">
      <w:pPr>
        <w:pStyle w:val="MDPI71References"/>
        <w:numPr>
          <w:ilvl w:val="0"/>
          <w:numId w:val="23"/>
        </w:numPr>
      </w:pPr>
      <w:r w:rsidRPr="00C25C44">
        <w:t xml:space="preserve">Gupta, S.; Raja, K.; Manikandan, N. Impact of Adhesive Capsulitis on Quality of Life in Elderly Subjects with Diabetes: A Cross Sectional Study. </w:t>
      </w:r>
      <w:r w:rsidRPr="00C25C44">
        <w:rPr>
          <w:i/>
          <w:iCs/>
        </w:rPr>
        <w:t xml:space="preserve">Int. J. Diabetes Dev. </w:t>
      </w:r>
      <w:proofErr w:type="spellStart"/>
      <w:r w:rsidRPr="00C25C44">
        <w:rPr>
          <w:i/>
          <w:iCs/>
        </w:rPr>
        <w:t>Ctries</w:t>
      </w:r>
      <w:proofErr w:type="spellEnd"/>
      <w:r w:rsidRPr="00C25C44">
        <w:rPr>
          <w:i/>
          <w:iCs/>
        </w:rPr>
        <w:t>.</w:t>
      </w:r>
      <w:r w:rsidRPr="00C25C44">
        <w:t xml:space="preserve"> </w:t>
      </w:r>
      <w:r w:rsidRPr="00C25C44">
        <w:rPr>
          <w:b/>
          <w:bCs/>
        </w:rPr>
        <w:t>2008</w:t>
      </w:r>
      <w:r w:rsidRPr="00C25C44">
        <w:rPr>
          <w:bCs/>
        </w:rPr>
        <w:t xml:space="preserve">, </w:t>
      </w:r>
      <w:r w:rsidRPr="00C25C44">
        <w:rPr>
          <w:bCs/>
          <w:i/>
        </w:rPr>
        <w:t>28</w:t>
      </w:r>
      <w:r w:rsidRPr="00C25C44">
        <w:rPr>
          <w:bCs/>
        </w:rPr>
        <w:t>, 125–129</w:t>
      </w:r>
      <w:r w:rsidRPr="00C25C44">
        <w:t>. https://doi.org/10.4103/0973-3930.45272.</w:t>
      </w:r>
    </w:p>
    <w:p w14:paraId="69742591" w14:textId="77777777" w:rsidR="002C0DE8" w:rsidRPr="00C25C44" w:rsidRDefault="002C0DE8" w:rsidP="002C0DE8">
      <w:pPr>
        <w:pStyle w:val="MDPI71References"/>
        <w:numPr>
          <w:ilvl w:val="0"/>
          <w:numId w:val="23"/>
        </w:numPr>
      </w:pPr>
      <w:proofErr w:type="spellStart"/>
      <w:r w:rsidRPr="00C25C44">
        <w:t>Bouaicha</w:t>
      </w:r>
      <w:proofErr w:type="spellEnd"/>
      <w:r w:rsidRPr="00C25C44">
        <w:t xml:space="preserve">, S.; </w:t>
      </w:r>
      <w:proofErr w:type="spellStart"/>
      <w:r w:rsidRPr="00C25C44">
        <w:t>Wieser</w:t>
      </w:r>
      <w:proofErr w:type="spellEnd"/>
      <w:r w:rsidRPr="00C25C44">
        <w:t xml:space="preserve">, K.; </w:t>
      </w:r>
      <w:proofErr w:type="spellStart"/>
      <w:r w:rsidRPr="00C25C44">
        <w:t>Kriechling</w:t>
      </w:r>
      <w:proofErr w:type="spellEnd"/>
      <w:r w:rsidRPr="00C25C44">
        <w:t>, P.; Scholz-</w:t>
      </w:r>
      <w:proofErr w:type="spellStart"/>
      <w:r w:rsidRPr="00C25C44">
        <w:t>Odermatt</w:t>
      </w:r>
      <w:proofErr w:type="spellEnd"/>
      <w:r w:rsidRPr="00C25C44">
        <w:t xml:space="preserve">, S.M. A Large-Scale Assessment of the Healthcare Burden of Adhesive Capsulitis of the Shoulder Joint. </w:t>
      </w:r>
      <w:r w:rsidRPr="00C25C44">
        <w:rPr>
          <w:i/>
          <w:iCs/>
        </w:rPr>
        <w:t>Swiss Med. Wkly.</w:t>
      </w:r>
      <w:r w:rsidRPr="00C25C44">
        <w:t xml:space="preserve"> </w:t>
      </w:r>
      <w:r w:rsidRPr="00C25C44">
        <w:rPr>
          <w:b/>
          <w:bCs/>
        </w:rPr>
        <w:t>2020</w:t>
      </w:r>
      <w:r w:rsidRPr="00C25C44">
        <w:rPr>
          <w:bCs/>
        </w:rPr>
        <w:t xml:space="preserve">, </w:t>
      </w:r>
      <w:r w:rsidRPr="00C25C44">
        <w:rPr>
          <w:bCs/>
          <w:i/>
        </w:rPr>
        <w:t>150</w:t>
      </w:r>
      <w:r w:rsidRPr="00C25C44">
        <w:rPr>
          <w:bCs/>
        </w:rPr>
        <w:t>, w20188</w:t>
      </w:r>
      <w:r w:rsidRPr="00C25C44">
        <w:t>. https://doi.org/10.4414/smw.2020.20188.</w:t>
      </w:r>
    </w:p>
    <w:p w14:paraId="27D2279C" w14:textId="77777777" w:rsidR="002C0DE8" w:rsidRPr="00C25C44" w:rsidRDefault="002C0DE8" w:rsidP="002C0DE8">
      <w:pPr>
        <w:pStyle w:val="MDPI71References"/>
        <w:numPr>
          <w:ilvl w:val="0"/>
          <w:numId w:val="23"/>
        </w:numPr>
      </w:pPr>
      <w:r w:rsidRPr="00C25C44">
        <w:t xml:space="preserve">Boyle-Walker, K.L.; </w:t>
      </w:r>
      <w:proofErr w:type="spellStart"/>
      <w:r w:rsidRPr="00C25C44">
        <w:t>Gabard</w:t>
      </w:r>
      <w:proofErr w:type="spellEnd"/>
      <w:r w:rsidRPr="00C25C44">
        <w:t xml:space="preserve">, D.L.; </w:t>
      </w:r>
      <w:proofErr w:type="spellStart"/>
      <w:r w:rsidRPr="00C25C44">
        <w:t>Bietsch</w:t>
      </w:r>
      <w:proofErr w:type="spellEnd"/>
      <w:r w:rsidRPr="00C25C44">
        <w:t xml:space="preserve">, E.; </w:t>
      </w:r>
      <w:proofErr w:type="spellStart"/>
      <w:r w:rsidRPr="00C25C44">
        <w:t>Masek-VanArsdale</w:t>
      </w:r>
      <w:proofErr w:type="spellEnd"/>
      <w:r w:rsidRPr="00C25C44">
        <w:t xml:space="preserve">, D.M.; Robinson, B.L. A Profile of Patients with Adhesive Capsulitis. </w:t>
      </w:r>
      <w:r w:rsidRPr="00C25C44">
        <w:rPr>
          <w:i/>
          <w:iCs/>
        </w:rPr>
        <w:t xml:space="preserve">J. Hand </w:t>
      </w:r>
      <w:proofErr w:type="spellStart"/>
      <w:r w:rsidRPr="00C25C44">
        <w:rPr>
          <w:i/>
          <w:iCs/>
        </w:rPr>
        <w:t>Ther</w:t>
      </w:r>
      <w:proofErr w:type="spellEnd"/>
      <w:r w:rsidRPr="00C25C44">
        <w:rPr>
          <w:i/>
          <w:iCs/>
        </w:rPr>
        <w:t>.</w:t>
      </w:r>
      <w:r w:rsidRPr="00C25C44">
        <w:t xml:space="preserve"> </w:t>
      </w:r>
      <w:r w:rsidRPr="00C25C44">
        <w:rPr>
          <w:b/>
          <w:bCs/>
        </w:rPr>
        <w:t>1997</w:t>
      </w:r>
      <w:r w:rsidRPr="00C25C44">
        <w:rPr>
          <w:bCs/>
        </w:rPr>
        <w:t xml:space="preserve">, </w:t>
      </w:r>
      <w:r w:rsidRPr="00C25C44">
        <w:rPr>
          <w:bCs/>
          <w:i/>
        </w:rPr>
        <w:t>10</w:t>
      </w:r>
      <w:r w:rsidRPr="00C25C44">
        <w:rPr>
          <w:bCs/>
        </w:rPr>
        <w:t>, 222–228</w:t>
      </w:r>
      <w:r w:rsidRPr="00C25C44">
        <w:t>. https://doi.org/10.1016/s0894-1130(97)80025-7.</w:t>
      </w:r>
    </w:p>
    <w:p w14:paraId="44464FC8" w14:textId="77777777" w:rsidR="002C0DE8" w:rsidRPr="00C25C44" w:rsidRDefault="002C0DE8" w:rsidP="002C0DE8">
      <w:pPr>
        <w:pStyle w:val="MDPI71References"/>
        <w:numPr>
          <w:ilvl w:val="0"/>
          <w:numId w:val="23"/>
        </w:numPr>
      </w:pPr>
      <w:proofErr w:type="spellStart"/>
      <w:r w:rsidRPr="00C25C44">
        <w:t>Sarasua</w:t>
      </w:r>
      <w:proofErr w:type="spellEnd"/>
      <w:r w:rsidRPr="00C25C44">
        <w:t xml:space="preserve">, S.M.; Floyd, S.; Bridges, W.C.; Pill, S.G. The Epidemiology and Etiology of Adhesive Capsulitis in the U.S. Medicare Population. </w:t>
      </w:r>
      <w:r w:rsidRPr="00C25C44">
        <w:rPr>
          <w:i/>
          <w:iCs/>
        </w:rPr>
        <w:t xml:space="preserve">BMC </w:t>
      </w:r>
      <w:proofErr w:type="spellStart"/>
      <w:r w:rsidRPr="00C25C44">
        <w:rPr>
          <w:i/>
          <w:iCs/>
        </w:rPr>
        <w:t>Musculoskelet</w:t>
      </w:r>
      <w:proofErr w:type="spellEnd"/>
      <w:r w:rsidRPr="00C25C44">
        <w:rPr>
          <w:i/>
          <w:iCs/>
        </w:rPr>
        <w:t xml:space="preserve">. </w:t>
      </w:r>
      <w:proofErr w:type="spellStart"/>
      <w:r w:rsidRPr="00C25C44">
        <w:rPr>
          <w:i/>
          <w:iCs/>
        </w:rPr>
        <w:t>Disord</w:t>
      </w:r>
      <w:proofErr w:type="spellEnd"/>
      <w:r w:rsidRPr="00C25C44">
        <w:rPr>
          <w:i/>
          <w:iCs/>
        </w:rPr>
        <w:t>.</w:t>
      </w:r>
      <w:r w:rsidRPr="00C25C44">
        <w:t xml:space="preserve"> </w:t>
      </w:r>
      <w:r w:rsidRPr="00C25C44">
        <w:rPr>
          <w:b/>
          <w:bCs/>
        </w:rPr>
        <w:t>2021</w:t>
      </w:r>
      <w:r w:rsidRPr="00C25C44">
        <w:rPr>
          <w:bCs/>
        </w:rPr>
        <w:t xml:space="preserve">, </w:t>
      </w:r>
      <w:r w:rsidRPr="00C25C44">
        <w:rPr>
          <w:bCs/>
          <w:i/>
        </w:rPr>
        <w:t>22</w:t>
      </w:r>
      <w:r w:rsidRPr="00C25C44">
        <w:rPr>
          <w:bCs/>
        </w:rPr>
        <w:t>, 828</w:t>
      </w:r>
      <w:r w:rsidRPr="00C25C44">
        <w:t>. https://doi.org/10.1186/s12891-021-04704-9.</w:t>
      </w:r>
    </w:p>
    <w:p w14:paraId="586F89C4" w14:textId="77777777" w:rsidR="002C0DE8" w:rsidRPr="00C25C44" w:rsidRDefault="002C0DE8" w:rsidP="002C0DE8">
      <w:pPr>
        <w:pStyle w:val="MDPI71References"/>
        <w:numPr>
          <w:ilvl w:val="0"/>
          <w:numId w:val="23"/>
        </w:numPr>
      </w:pPr>
      <w:r w:rsidRPr="00C25C44">
        <w:t xml:space="preserve">Li, W.; Lu, N.; Xu, H.; Wang, H.; Huang, J. Case Control Study of Risk Factors for Frozen Shoulder in China. </w:t>
      </w:r>
      <w:r w:rsidRPr="00C25C44">
        <w:rPr>
          <w:i/>
          <w:iCs/>
        </w:rPr>
        <w:t>Int. J. Rheum. Dis.</w:t>
      </w:r>
      <w:r w:rsidRPr="00C25C44">
        <w:t xml:space="preserve"> </w:t>
      </w:r>
      <w:r w:rsidRPr="00C25C44">
        <w:rPr>
          <w:b/>
          <w:bCs/>
        </w:rPr>
        <w:t>2015</w:t>
      </w:r>
      <w:r w:rsidRPr="00C25C44">
        <w:rPr>
          <w:bCs/>
        </w:rPr>
        <w:t xml:space="preserve">, </w:t>
      </w:r>
      <w:r w:rsidRPr="00C25C44">
        <w:rPr>
          <w:bCs/>
          <w:i/>
        </w:rPr>
        <w:t>18</w:t>
      </w:r>
      <w:r w:rsidRPr="00C25C44">
        <w:rPr>
          <w:bCs/>
        </w:rPr>
        <w:t>, 508–513</w:t>
      </w:r>
      <w:r w:rsidRPr="00C25C44">
        <w:t>. https://doi.org/10.1111/1756-185X.12246.</w:t>
      </w:r>
    </w:p>
    <w:p w14:paraId="4A050370" w14:textId="77777777" w:rsidR="002C0DE8" w:rsidRPr="00C25C44" w:rsidRDefault="002C0DE8" w:rsidP="002C0DE8">
      <w:pPr>
        <w:pStyle w:val="MDPI71References"/>
        <w:numPr>
          <w:ilvl w:val="0"/>
          <w:numId w:val="23"/>
        </w:numPr>
      </w:pPr>
      <w:r w:rsidRPr="00C25C44">
        <w:t xml:space="preserve">Milgrom, C.; Novack, V.; Weil, Y.; Jaber, S.; </w:t>
      </w:r>
      <w:proofErr w:type="spellStart"/>
      <w:r w:rsidRPr="00C25C44">
        <w:t>Radeva</w:t>
      </w:r>
      <w:proofErr w:type="spellEnd"/>
      <w:r w:rsidRPr="00C25C44">
        <w:t xml:space="preserve">-Petrova, D.R.; </w:t>
      </w:r>
      <w:proofErr w:type="spellStart"/>
      <w:r w:rsidRPr="00C25C44">
        <w:t>Finestone</w:t>
      </w:r>
      <w:proofErr w:type="spellEnd"/>
      <w:r w:rsidRPr="00C25C44">
        <w:t xml:space="preserve">, A. Risk Factors for Idiopathic Frozen Shoulder. </w:t>
      </w:r>
      <w:r w:rsidRPr="00C25C44">
        <w:rPr>
          <w:i/>
          <w:iCs/>
        </w:rPr>
        <w:t xml:space="preserve">Isr. Med. Assoc. J. </w:t>
      </w:r>
      <w:r w:rsidRPr="00C25C44">
        <w:rPr>
          <w:b/>
          <w:bCs/>
        </w:rPr>
        <w:t>2008</w:t>
      </w:r>
      <w:r w:rsidRPr="00C25C44">
        <w:rPr>
          <w:bCs/>
        </w:rPr>
        <w:t xml:space="preserve">, </w:t>
      </w:r>
      <w:r w:rsidRPr="00C25C44">
        <w:rPr>
          <w:bCs/>
          <w:i/>
        </w:rPr>
        <w:t>10</w:t>
      </w:r>
      <w:r w:rsidRPr="00C25C44">
        <w:rPr>
          <w:bCs/>
        </w:rPr>
        <w:t>, 361–364</w:t>
      </w:r>
      <w:r w:rsidRPr="00C25C44">
        <w:t>.</w:t>
      </w:r>
    </w:p>
    <w:p w14:paraId="3D61B45B" w14:textId="77777777" w:rsidR="002C0DE8" w:rsidRPr="00C25C44" w:rsidRDefault="002C0DE8" w:rsidP="002C0DE8">
      <w:pPr>
        <w:pStyle w:val="MDPI71References"/>
        <w:numPr>
          <w:ilvl w:val="0"/>
          <w:numId w:val="23"/>
        </w:numPr>
      </w:pPr>
      <w:proofErr w:type="spellStart"/>
      <w:r w:rsidRPr="00C25C44">
        <w:lastRenderedPageBreak/>
        <w:t>Selley</w:t>
      </w:r>
      <w:proofErr w:type="spellEnd"/>
      <w:r w:rsidRPr="00C25C44">
        <w:t xml:space="preserve">, R.S.; Johnson, D.J.; Nicolay, R.W.; Ravi, K.; Lawton, C.D.; </w:t>
      </w:r>
      <w:proofErr w:type="spellStart"/>
      <w:r w:rsidRPr="00C25C44">
        <w:t>Tjong</w:t>
      </w:r>
      <w:proofErr w:type="spellEnd"/>
      <w:r w:rsidRPr="00C25C44">
        <w:t xml:space="preserve">, V.K.; Terry, M.A. Risk Factors for Adhesive Capsulitis Requiring Shoulder Arthroscopy: A Clinical Retrospective Case Series Study. </w:t>
      </w:r>
      <w:r w:rsidRPr="00C25C44">
        <w:rPr>
          <w:i/>
          <w:iCs/>
        </w:rPr>
        <w:t xml:space="preserve">J. </w:t>
      </w:r>
      <w:proofErr w:type="spellStart"/>
      <w:r w:rsidRPr="00C25C44">
        <w:rPr>
          <w:i/>
          <w:iCs/>
        </w:rPr>
        <w:t>Orthop</w:t>
      </w:r>
      <w:proofErr w:type="spellEnd"/>
      <w:r w:rsidRPr="00C25C44">
        <w:rPr>
          <w:i/>
          <w:iCs/>
        </w:rPr>
        <w:t>.</w:t>
      </w:r>
      <w:r w:rsidRPr="00C25C44">
        <w:t xml:space="preserve"> </w:t>
      </w:r>
      <w:r w:rsidRPr="00C25C44">
        <w:rPr>
          <w:b/>
          <w:bCs/>
        </w:rPr>
        <w:t>2020</w:t>
      </w:r>
      <w:r w:rsidRPr="00C25C44">
        <w:rPr>
          <w:bCs/>
        </w:rPr>
        <w:t xml:space="preserve">, </w:t>
      </w:r>
      <w:r w:rsidRPr="00C25C44">
        <w:rPr>
          <w:bCs/>
          <w:i/>
        </w:rPr>
        <w:t>19</w:t>
      </w:r>
      <w:r w:rsidRPr="00C25C44">
        <w:rPr>
          <w:bCs/>
        </w:rPr>
        <w:t>, 14–16</w:t>
      </w:r>
      <w:r w:rsidRPr="00C25C44">
        <w:t>. https://doi.org/10.1016/j.jor.2019.11.024.</w:t>
      </w:r>
    </w:p>
    <w:p w14:paraId="6850EAA3" w14:textId="77777777" w:rsidR="002C0DE8" w:rsidRPr="00C25C44" w:rsidRDefault="002C0DE8" w:rsidP="002C0DE8">
      <w:pPr>
        <w:pStyle w:val="MDPI71References"/>
        <w:numPr>
          <w:ilvl w:val="0"/>
          <w:numId w:val="23"/>
        </w:numPr>
      </w:pPr>
      <w:r w:rsidRPr="00C25C44">
        <w:t xml:space="preserve">Wang, K.; Ho, V.; Hunter-Smith, D.J.; </w:t>
      </w:r>
      <w:proofErr w:type="spellStart"/>
      <w:r w:rsidRPr="00C25C44">
        <w:t>Beh</w:t>
      </w:r>
      <w:proofErr w:type="spellEnd"/>
      <w:r w:rsidRPr="00C25C44">
        <w:t xml:space="preserve">, P.S.; Smith, K.M.; Weber, A.B. Risk Factors in Idiopathic Adhesive Capsulitis: A Case Control Study. </w:t>
      </w:r>
      <w:r w:rsidRPr="00C25C44">
        <w:rPr>
          <w:i/>
          <w:iCs/>
        </w:rPr>
        <w:t xml:space="preserve">J. Shoulder </w:t>
      </w:r>
      <w:proofErr w:type="spellStart"/>
      <w:r w:rsidRPr="00C25C44">
        <w:rPr>
          <w:i/>
          <w:iCs/>
        </w:rPr>
        <w:t>Elb</w:t>
      </w:r>
      <w:proofErr w:type="spellEnd"/>
      <w:r w:rsidRPr="00C25C44">
        <w:rPr>
          <w:i/>
          <w:iCs/>
        </w:rPr>
        <w:t>. Surg.</w:t>
      </w:r>
      <w:r w:rsidRPr="00C25C44">
        <w:t xml:space="preserve"> </w:t>
      </w:r>
      <w:r w:rsidRPr="00C25C44">
        <w:rPr>
          <w:b/>
          <w:bCs/>
        </w:rPr>
        <w:t>2013</w:t>
      </w:r>
      <w:r w:rsidRPr="00C25C44">
        <w:rPr>
          <w:bCs/>
        </w:rPr>
        <w:t xml:space="preserve">, </w:t>
      </w:r>
      <w:r w:rsidRPr="00C25C44">
        <w:rPr>
          <w:bCs/>
          <w:i/>
        </w:rPr>
        <w:t>22</w:t>
      </w:r>
      <w:r w:rsidRPr="00C25C44">
        <w:rPr>
          <w:bCs/>
        </w:rPr>
        <w:t>, e24–e29</w:t>
      </w:r>
      <w:r w:rsidRPr="00C25C44">
        <w:t>. https://doi.org/10.1016/j.jse.2012.10.049.</w:t>
      </w:r>
    </w:p>
    <w:p w14:paraId="0346586B" w14:textId="77777777" w:rsidR="002C0DE8" w:rsidRPr="00C25C44" w:rsidRDefault="002C0DE8" w:rsidP="002C0DE8">
      <w:pPr>
        <w:pStyle w:val="MDPI71References"/>
        <w:numPr>
          <w:ilvl w:val="0"/>
          <w:numId w:val="23"/>
        </w:numPr>
      </w:pPr>
      <w:r w:rsidRPr="00C25C44">
        <w:t xml:space="preserve">Fan, Z.-Y.; Yang, Y.; Zhang, C.-H.; Yin, R.-Y.; Tang, L.; Zhang, F. Prevalence and Patterns of Comorbidity Among Middle-Aged and Elderly People in China: A Cross-Sectional Study Based on CHARLS Data. </w:t>
      </w:r>
      <w:r w:rsidRPr="00C25C44">
        <w:rPr>
          <w:i/>
          <w:iCs/>
        </w:rPr>
        <w:t>Int. J. Gen. Med.</w:t>
      </w:r>
      <w:r w:rsidRPr="00C25C44">
        <w:t xml:space="preserve"> </w:t>
      </w:r>
      <w:r w:rsidRPr="00C25C44">
        <w:rPr>
          <w:b/>
          <w:bCs/>
        </w:rPr>
        <w:t>2021</w:t>
      </w:r>
      <w:r w:rsidRPr="00C25C44">
        <w:rPr>
          <w:bCs/>
        </w:rPr>
        <w:t xml:space="preserve">, </w:t>
      </w:r>
      <w:r w:rsidRPr="00C25C44">
        <w:rPr>
          <w:bCs/>
          <w:i/>
        </w:rPr>
        <w:t>14</w:t>
      </w:r>
      <w:r w:rsidRPr="00C25C44">
        <w:rPr>
          <w:bCs/>
        </w:rPr>
        <w:t>, 1449–1455</w:t>
      </w:r>
      <w:r w:rsidRPr="00C25C44">
        <w:t>. https://doi.org/10.2147/IJGM.S309783.</w:t>
      </w:r>
    </w:p>
    <w:p w14:paraId="3CBAB53F" w14:textId="77777777" w:rsidR="002C0DE8" w:rsidRPr="00C25C44" w:rsidRDefault="002C0DE8" w:rsidP="002C0DE8">
      <w:pPr>
        <w:pStyle w:val="MDPI71References"/>
        <w:numPr>
          <w:ilvl w:val="0"/>
          <w:numId w:val="23"/>
        </w:numPr>
      </w:pPr>
      <w:r w:rsidRPr="00C25C44">
        <w:t xml:space="preserve">McGrath, R.; Al </w:t>
      </w:r>
      <w:proofErr w:type="spellStart"/>
      <w:r w:rsidRPr="00C25C44">
        <w:t>Snih</w:t>
      </w:r>
      <w:proofErr w:type="spellEnd"/>
      <w:r w:rsidRPr="00C25C44">
        <w:t xml:space="preserve">, S.; </w:t>
      </w:r>
      <w:proofErr w:type="spellStart"/>
      <w:r w:rsidRPr="00C25C44">
        <w:t>Markides</w:t>
      </w:r>
      <w:proofErr w:type="spellEnd"/>
      <w:r w:rsidRPr="00C25C44">
        <w:t xml:space="preserve">, K.; Hall, O.; Peterson, M. The Burden of Health Conditions for Middle-Aged and Older Adults in the United States: Disability-Adjusted Life Years. </w:t>
      </w:r>
      <w:r w:rsidRPr="00C25C44">
        <w:rPr>
          <w:i/>
          <w:iCs/>
        </w:rPr>
        <w:t xml:space="preserve">BMC </w:t>
      </w:r>
      <w:proofErr w:type="spellStart"/>
      <w:r w:rsidRPr="00C25C44">
        <w:rPr>
          <w:i/>
          <w:iCs/>
        </w:rPr>
        <w:t>Geriatr</w:t>
      </w:r>
      <w:proofErr w:type="spellEnd"/>
      <w:r w:rsidRPr="00C25C44">
        <w:rPr>
          <w:i/>
          <w:iCs/>
        </w:rPr>
        <w:t>.</w:t>
      </w:r>
      <w:r w:rsidRPr="00C25C44">
        <w:t xml:space="preserve"> </w:t>
      </w:r>
      <w:r w:rsidRPr="00C25C44">
        <w:rPr>
          <w:b/>
          <w:bCs/>
        </w:rPr>
        <w:t>2019</w:t>
      </w:r>
      <w:r w:rsidRPr="00C25C44">
        <w:rPr>
          <w:bCs/>
        </w:rPr>
        <w:t xml:space="preserve">, </w:t>
      </w:r>
      <w:r w:rsidRPr="00C25C44">
        <w:rPr>
          <w:bCs/>
          <w:i/>
        </w:rPr>
        <w:t>19</w:t>
      </w:r>
      <w:r w:rsidRPr="00C25C44">
        <w:rPr>
          <w:bCs/>
        </w:rPr>
        <w:t>, 100</w:t>
      </w:r>
      <w:r w:rsidRPr="00C25C44">
        <w:t>. https://doi.org/10.1186/s12877-019-1110-6.</w:t>
      </w:r>
    </w:p>
    <w:p w14:paraId="61C80A74" w14:textId="77777777" w:rsidR="002C0DE8" w:rsidRPr="00C25C44" w:rsidRDefault="002C0DE8" w:rsidP="002C0DE8">
      <w:pPr>
        <w:pStyle w:val="MDPI71References"/>
        <w:numPr>
          <w:ilvl w:val="0"/>
          <w:numId w:val="23"/>
        </w:numPr>
      </w:pPr>
      <w:r w:rsidRPr="00C25C44">
        <w:t xml:space="preserve">Chan, J.H.; Ho, B.S.; </w:t>
      </w:r>
      <w:proofErr w:type="spellStart"/>
      <w:r w:rsidRPr="00C25C44">
        <w:t>Alvi</w:t>
      </w:r>
      <w:proofErr w:type="spellEnd"/>
      <w:r w:rsidRPr="00C25C44">
        <w:t xml:space="preserve">, H.M.; Saltzman, M.D.; </w:t>
      </w:r>
      <w:proofErr w:type="spellStart"/>
      <w:r w:rsidRPr="00C25C44">
        <w:t>Marra</w:t>
      </w:r>
      <w:proofErr w:type="spellEnd"/>
      <w:r w:rsidRPr="00C25C44">
        <w:t>, G. The Relationship between the Incidence of Adhesive Capsulitis and Hemoglobin A</w:t>
      </w:r>
      <w:r w:rsidRPr="00C25C44">
        <w:rPr>
          <w:vertAlign w:val="subscript"/>
        </w:rPr>
        <w:t>1c</w:t>
      </w:r>
      <w:r w:rsidRPr="00C25C44">
        <w:t xml:space="preserve">. </w:t>
      </w:r>
      <w:r w:rsidRPr="00C25C44">
        <w:rPr>
          <w:i/>
          <w:iCs/>
        </w:rPr>
        <w:t xml:space="preserve">J. Shoulder </w:t>
      </w:r>
      <w:proofErr w:type="spellStart"/>
      <w:r w:rsidRPr="00C25C44">
        <w:rPr>
          <w:i/>
          <w:iCs/>
        </w:rPr>
        <w:t>Elb</w:t>
      </w:r>
      <w:proofErr w:type="spellEnd"/>
      <w:r w:rsidRPr="00C25C44">
        <w:rPr>
          <w:i/>
          <w:iCs/>
        </w:rPr>
        <w:t>. Surg.</w:t>
      </w:r>
      <w:r w:rsidRPr="00C25C44">
        <w:t xml:space="preserve"> </w:t>
      </w:r>
      <w:r w:rsidRPr="00C25C44">
        <w:rPr>
          <w:b/>
          <w:bCs/>
        </w:rPr>
        <w:t>2017</w:t>
      </w:r>
      <w:r w:rsidRPr="00C25C44">
        <w:rPr>
          <w:bCs/>
        </w:rPr>
        <w:t xml:space="preserve">, </w:t>
      </w:r>
      <w:r w:rsidRPr="00C25C44">
        <w:rPr>
          <w:bCs/>
          <w:i/>
        </w:rPr>
        <w:t>26</w:t>
      </w:r>
      <w:r w:rsidRPr="00C25C44">
        <w:rPr>
          <w:bCs/>
        </w:rPr>
        <w:t>, 1834–1837</w:t>
      </w:r>
      <w:r w:rsidRPr="00C25C44">
        <w:t>. https://doi.org/10.1016/j.jse.2017.03.015.</w:t>
      </w:r>
    </w:p>
    <w:p w14:paraId="5245E971" w14:textId="77777777" w:rsidR="002C0DE8" w:rsidRPr="00C25C44" w:rsidRDefault="002C0DE8" w:rsidP="002C0DE8">
      <w:pPr>
        <w:pStyle w:val="MDPI71References"/>
        <w:numPr>
          <w:ilvl w:val="0"/>
          <w:numId w:val="23"/>
        </w:numPr>
      </w:pPr>
      <w:r w:rsidRPr="00C25C44">
        <w:t xml:space="preserve">Dubowitz, N.; </w:t>
      </w:r>
      <w:proofErr w:type="spellStart"/>
      <w:r w:rsidRPr="00C25C44">
        <w:t>Xue</w:t>
      </w:r>
      <w:proofErr w:type="spellEnd"/>
      <w:r w:rsidRPr="00C25C44">
        <w:t xml:space="preserve">, W.; Long, Q.; </w:t>
      </w:r>
      <w:proofErr w:type="spellStart"/>
      <w:r w:rsidRPr="00C25C44">
        <w:t>Ownby</w:t>
      </w:r>
      <w:proofErr w:type="spellEnd"/>
      <w:r w:rsidRPr="00C25C44">
        <w:t>, J.G.; Olson, D.E.; Barb, D.; Rhee, M.K.; Mohan, A.V.; Watson-Williams, P.I.; Jackson, S.L.; et al. Aging Is Associated with Increased HbA</w:t>
      </w:r>
      <w:r w:rsidRPr="00C25C44">
        <w:rPr>
          <w:vertAlign w:val="subscript"/>
        </w:rPr>
        <w:t>1c</w:t>
      </w:r>
      <w:r w:rsidRPr="00C25C44">
        <w:t xml:space="preserve"> Levels, Independently of Glucose Levels and Insulin Resistance, </w:t>
      </w:r>
      <w:proofErr w:type="gramStart"/>
      <w:r w:rsidRPr="00C25C44">
        <w:t>and Also</w:t>
      </w:r>
      <w:proofErr w:type="gramEnd"/>
      <w:r w:rsidRPr="00C25C44">
        <w:t xml:space="preserve"> with Decreased HbA</w:t>
      </w:r>
      <w:r w:rsidRPr="00C25C44">
        <w:rPr>
          <w:vertAlign w:val="subscript"/>
        </w:rPr>
        <w:t>1c</w:t>
      </w:r>
      <w:r w:rsidRPr="00C25C44">
        <w:t xml:space="preserve"> Diagnostic Specificity. </w:t>
      </w:r>
      <w:proofErr w:type="spellStart"/>
      <w:r w:rsidRPr="00C25C44">
        <w:rPr>
          <w:i/>
          <w:iCs/>
        </w:rPr>
        <w:t>Diabet</w:t>
      </w:r>
      <w:proofErr w:type="spellEnd"/>
      <w:r w:rsidRPr="00C25C44">
        <w:rPr>
          <w:i/>
          <w:iCs/>
        </w:rPr>
        <w:t>. Med.</w:t>
      </w:r>
      <w:r w:rsidRPr="00C25C44">
        <w:t xml:space="preserve"> </w:t>
      </w:r>
      <w:r w:rsidRPr="00C25C44">
        <w:rPr>
          <w:b/>
          <w:bCs/>
        </w:rPr>
        <w:t>2014</w:t>
      </w:r>
      <w:r w:rsidRPr="00C25C44">
        <w:rPr>
          <w:bCs/>
        </w:rPr>
        <w:t xml:space="preserve">, </w:t>
      </w:r>
      <w:r w:rsidRPr="00C25C44">
        <w:rPr>
          <w:bCs/>
          <w:i/>
        </w:rPr>
        <w:t>31</w:t>
      </w:r>
      <w:r w:rsidRPr="00C25C44">
        <w:rPr>
          <w:bCs/>
        </w:rPr>
        <w:t>, 927–935</w:t>
      </w:r>
      <w:r w:rsidRPr="00C25C44">
        <w:t>. https://doi.org/10.1111/dme.12459.</w:t>
      </w:r>
    </w:p>
    <w:p w14:paraId="5F198411" w14:textId="77777777" w:rsidR="002C0DE8" w:rsidRPr="00C25C44" w:rsidRDefault="002C0DE8" w:rsidP="002C0DE8">
      <w:pPr>
        <w:pStyle w:val="MDPI71References"/>
        <w:numPr>
          <w:ilvl w:val="0"/>
          <w:numId w:val="23"/>
        </w:numPr>
      </w:pPr>
      <w:proofErr w:type="spellStart"/>
      <w:r w:rsidRPr="00C25C44">
        <w:t>Rathmann</w:t>
      </w:r>
      <w:proofErr w:type="spellEnd"/>
      <w:r w:rsidRPr="00C25C44">
        <w:t xml:space="preserve">, W.; </w:t>
      </w:r>
      <w:proofErr w:type="spellStart"/>
      <w:r w:rsidRPr="00C25C44">
        <w:t>Bongaerts</w:t>
      </w:r>
      <w:proofErr w:type="spellEnd"/>
      <w:r w:rsidRPr="00C25C44">
        <w:t xml:space="preserve">, B.; </w:t>
      </w:r>
      <w:proofErr w:type="spellStart"/>
      <w:r w:rsidRPr="00C25C44">
        <w:t>Carius</w:t>
      </w:r>
      <w:proofErr w:type="spellEnd"/>
      <w:r w:rsidRPr="00C25C44">
        <w:t xml:space="preserve">, H.-J.; </w:t>
      </w:r>
      <w:proofErr w:type="spellStart"/>
      <w:r w:rsidRPr="00C25C44">
        <w:t>Kruppert</w:t>
      </w:r>
      <w:proofErr w:type="spellEnd"/>
      <w:r w:rsidRPr="00C25C44">
        <w:t xml:space="preserve">, S.; </w:t>
      </w:r>
      <w:proofErr w:type="spellStart"/>
      <w:r w:rsidRPr="00C25C44">
        <w:t>Kostev</w:t>
      </w:r>
      <w:proofErr w:type="spellEnd"/>
      <w:r w:rsidRPr="00C25C44">
        <w:t xml:space="preserve">, K. Basic Characteristics and Representativeness of the German Disease Analyzer Database. </w:t>
      </w:r>
      <w:r w:rsidRPr="00C25C44">
        <w:rPr>
          <w:i/>
          <w:iCs/>
        </w:rPr>
        <w:t xml:space="preserve">Int. J. Clin. </w:t>
      </w:r>
      <w:proofErr w:type="spellStart"/>
      <w:r w:rsidRPr="00C25C44">
        <w:rPr>
          <w:i/>
          <w:iCs/>
        </w:rPr>
        <w:t>Pharmacol</w:t>
      </w:r>
      <w:proofErr w:type="spellEnd"/>
      <w:r w:rsidRPr="00C25C44">
        <w:rPr>
          <w:i/>
          <w:iCs/>
        </w:rPr>
        <w:t xml:space="preserve">. </w:t>
      </w:r>
      <w:proofErr w:type="spellStart"/>
      <w:r w:rsidRPr="00C25C44">
        <w:rPr>
          <w:i/>
          <w:iCs/>
        </w:rPr>
        <w:t>Ther</w:t>
      </w:r>
      <w:proofErr w:type="spellEnd"/>
      <w:r w:rsidRPr="00C25C44">
        <w:rPr>
          <w:i/>
          <w:iCs/>
        </w:rPr>
        <w:t>.</w:t>
      </w:r>
      <w:r w:rsidRPr="00C25C44">
        <w:t xml:space="preserve"> </w:t>
      </w:r>
      <w:r w:rsidRPr="00C25C44">
        <w:rPr>
          <w:b/>
          <w:bCs/>
        </w:rPr>
        <w:t>2018</w:t>
      </w:r>
      <w:r w:rsidRPr="00C25C44">
        <w:rPr>
          <w:bCs/>
        </w:rPr>
        <w:t xml:space="preserve">, </w:t>
      </w:r>
      <w:r w:rsidRPr="00C25C44">
        <w:rPr>
          <w:bCs/>
          <w:i/>
        </w:rPr>
        <w:t>56</w:t>
      </w:r>
      <w:r w:rsidRPr="00C25C44">
        <w:rPr>
          <w:bCs/>
        </w:rPr>
        <w:t>, 459–466</w:t>
      </w:r>
      <w:r w:rsidRPr="00C25C44">
        <w:t>. https://doi.org/10.5414/CP203320.</w:t>
      </w:r>
    </w:p>
    <w:p w14:paraId="70EC6F38" w14:textId="77777777" w:rsidR="002C0DE8" w:rsidRPr="00C25C44" w:rsidRDefault="002C0DE8" w:rsidP="002C0DE8">
      <w:pPr>
        <w:pStyle w:val="MDPI71References"/>
        <w:numPr>
          <w:ilvl w:val="0"/>
          <w:numId w:val="23"/>
        </w:numPr>
      </w:pPr>
      <w:r w:rsidRPr="00C25C44">
        <w:t xml:space="preserve">Hayashi, D.; Gould, E.; Shroyer, R.; van </w:t>
      </w:r>
      <w:proofErr w:type="spellStart"/>
      <w:r w:rsidRPr="00C25C44">
        <w:t>Staalduinen</w:t>
      </w:r>
      <w:proofErr w:type="spellEnd"/>
      <w:r w:rsidRPr="00C25C44">
        <w:t xml:space="preserve">, E.; Yang, J.; Mufti, M.; Huang, M. Shoulder Adhesive Capsulitis in Cancer Patients Undergoing Positron Emission Tomography—Computed Tomography and the Association with Shoulder Pain. </w:t>
      </w:r>
      <w:r w:rsidRPr="00C25C44">
        <w:rPr>
          <w:i/>
          <w:iCs/>
        </w:rPr>
        <w:t xml:space="preserve">World J. </w:t>
      </w:r>
      <w:proofErr w:type="spellStart"/>
      <w:r w:rsidRPr="00C25C44">
        <w:rPr>
          <w:i/>
          <w:iCs/>
        </w:rPr>
        <w:t>Radiol</w:t>
      </w:r>
      <w:proofErr w:type="spellEnd"/>
      <w:r w:rsidRPr="00C25C44">
        <w:rPr>
          <w:i/>
          <w:iCs/>
        </w:rPr>
        <w:t>.</w:t>
      </w:r>
      <w:r w:rsidRPr="00C25C44">
        <w:t xml:space="preserve"> </w:t>
      </w:r>
      <w:r w:rsidRPr="00C25C44">
        <w:rPr>
          <w:b/>
          <w:bCs/>
        </w:rPr>
        <w:t>2021</w:t>
      </w:r>
      <w:r w:rsidRPr="00C25C44">
        <w:rPr>
          <w:bCs/>
        </w:rPr>
        <w:t xml:space="preserve">, </w:t>
      </w:r>
      <w:r w:rsidRPr="00C25C44">
        <w:rPr>
          <w:bCs/>
          <w:i/>
        </w:rPr>
        <w:t>13</w:t>
      </w:r>
      <w:r w:rsidRPr="00C25C44">
        <w:rPr>
          <w:bCs/>
        </w:rPr>
        <w:t>, 344–353</w:t>
      </w:r>
      <w:r w:rsidRPr="00C25C44">
        <w:t>. https://doi.org/10.4329/wjr.v13.i10.344.</w:t>
      </w:r>
    </w:p>
    <w:p w14:paraId="39739887" w14:textId="77777777" w:rsidR="002C0DE8" w:rsidRPr="00C25C44" w:rsidRDefault="002C0DE8" w:rsidP="002C0DE8">
      <w:pPr>
        <w:pStyle w:val="MDPI71References"/>
        <w:numPr>
          <w:ilvl w:val="0"/>
          <w:numId w:val="23"/>
        </w:numPr>
      </w:pPr>
      <w:r w:rsidRPr="00C25C44">
        <w:t xml:space="preserve">Cohen, C.; </w:t>
      </w:r>
      <w:proofErr w:type="spellStart"/>
      <w:r w:rsidRPr="00C25C44">
        <w:t>Tortato</w:t>
      </w:r>
      <w:proofErr w:type="spellEnd"/>
      <w:r w:rsidRPr="00C25C44">
        <w:t xml:space="preserve">, S.; Silva, O.B.S.; Leal, M.F.; </w:t>
      </w:r>
      <w:proofErr w:type="spellStart"/>
      <w:r w:rsidRPr="00C25C44">
        <w:t>Ejnisman</w:t>
      </w:r>
      <w:proofErr w:type="spellEnd"/>
      <w:r w:rsidRPr="00C25C44">
        <w:t xml:space="preserve">, B.; </w:t>
      </w:r>
      <w:proofErr w:type="spellStart"/>
      <w:r w:rsidRPr="00C25C44">
        <w:t>Faloppa</w:t>
      </w:r>
      <w:proofErr w:type="spellEnd"/>
      <w:r w:rsidRPr="00C25C44">
        <w:t xml:space="preserve">, F. Association between Frozen Shoulder and Thyroid Diseases: Strengthening the </w:t>
      </w:r>
      <w:proofErr w:type="gramStart"/>
      <w:r w:rsidRPr="00C25C44">
        <w:t>Evidences</w:t>
      </w:r>
      <w:proofErr w:type="gramEnd"/>
      <w:r w:rsidRPr="00C25C44">
        <w:t xml:space="preserve">. </w:t>
      </w:r>
      <w:r w:rsidRPr="00C25C44">
        <w:rPr>
          <w:i/>
          <w:iCs/>
        </w:rPr>
        <w:t xml:space="preserve">Rev. Bras. </w:t>
      </w:r>
      <w:proofErr w:type="spellStart"/>
      <w:r w:rsidRPr="00C25C44">
        <w:rPr>
          <w:i/>
          <w:iCs/>
        </w:rPr>
        <w:t>Ortop</w:t>
      </w:r>
      <w:proofErr w:type="spellEnd"/>
      <w:r w:rsidRPr="00C25C44">
        <w:rPr>
          <w:i/>
          <w:iCs/>
        </w:rPr>
        <w:t>.</w:t>
      </w:r>
      <w:r w:rsidRPr="00C25C44">
        <w:t xml:space="preserve"> </w:t>
      </w:r>
      <w:r w:rsidRPr="00C25C44">
        <w:rPr>
          <w:b/>
          <w:bCs/>
        </w:rPr>
        <w:t>2020</w:t>
      </w:r>
      <w:r w:rsidRPr="00C25C44">
        <w:rPr>
          <w:bCs/>
        </w:rPr>
        <w:t xml:space="preserve">, </w:t>
      </w:r>
      <w:r w:rsidRPr="00C25C44">
        <w:rPr>
          <w:bCs/>
          <w:i/>
        </w:rPr>
        <w:t>55</w:t>
      </w:r>
      <w:r w:rsidRPr="00C25C44">
        <w:rPr>
          <w:bCs/>
        </w:rPr>
        <w:t>, 483–489</w:t>
      </w:r>
      <w:r w:rsidRPr="00C25C44">
        <w:t>. https://doi.org/10.1055/s-0039-3402476.</w:t>
      </w:r>
    </w:p>
    <w:p w14:paraId="22AF3D26" w14:textId="77777777" w:rsidR="002C0DE8" w:rsidRPr="00C25C44" w:rsidRDefault="002C0DE8" w:rsidP="002C0DE8">
      <w:pPr>
        <w:pStyle w:val="MDPI71References"/>
        <w:numPr>
          <w:ilvl w:val="0"/>
          <w:numId w:val="23"/>
        </w:numPr>
      </w:pPr>
      <w:proofErr w:type="spellStart"/>
      <w:r w:rsidRPr="00C25C44">
        <w:t>Zreik</w:t>
      </w:r>
      <w:proofErr w:type="spellEnd"/>
      <w:r w:rsidRPr="00C25C44">
        <w:t xml:space="preserve">, N.H.; Malik, R.A.; Charalambous, C.P. Adhesive Capsulitis of the Shoulder and Diabetes: A Meta-Analysis of Prevalence. </w:t>
      </w:r>
      <w:r w:rsidRPr="00C25C44">
        <w:rPr>
          <w:i/>
          <w:iCs/>
        </w:rPr>
        <w:t xml:space="preserve">Muscle Ligaments Tendons J. </w:t>
      </w:r>
      <w:r w:rsidRPr="00C25C44">
        <w:rPr>
          <w:b/>
          <w:bCs/>
        </w:rPr>
        <w:t>2016</w:t>
      </w:r>
      <w:r w:rsidRPr="00C25C44">
        <w:rPr>
          <w:bCs/>
        </w:rPr>
        <w:t xml:space="preserve">, </w:t>
      </w:r>
      <w:r w:rsidRPr="00C25C44">
        <w:rPr>
          <w:bCs/>
          <w:i/>
        </w:rPr>
        <w:t>6</w:t>
      </w:r>
      <w:r w:rsidRPr="00C25C44">
        <w:rPr>
          <w:bCs/>
        </w:rPr>
        <w:t>, 26–34</w:t>
      </w:r>
      <w:r w:rsidRPr="00C25C44">
        <w:t>. https://doi.org/10.11138/mltj/2016.6.1.026.</w:t>
      </w:r>
    </w:p>
    <w:p w14:paraId="37C9A6EF" w14:textId="77777777" w:rsidR="002C0DE8" w:rsidRPr="00C25C44" w:rsidRDefault="002C0DE8" w:rsidP="002C0DE8">
      <w:pPr>
        <w:pStyle w:val="MDPI71References"/>
        <w:numPr>
          <w:ilvl w:val="0"/>
          <w:numId w:val="23"/>
        </w:numPr>
      </w:pPr>
      <w:r w:rsidRPr="00C25C44">
        <w:t xml:space="preserve">Kingston, K.; Curry, E.J.; Galvin, J.W.; Li, X. Shoulder Adhesive Capsulitis: Epidemiology and Predictors of Surgery. </w:t>
      </w:r>
      <w:r w:rsidRPr="00C25C44">
        <w:rPr>
          <w:i/>
          <w:iCs/>
        </w:rPr>
        <w:t xml:space="preserve">J. Shoulder </w:t>
      </w:r>
      <w:proofErr w:type="spellStart"/>
      <w:r w:rsidRPr="00C25C44">
        <w:rPr>
          <w:i/>
          <w:iCs/>
        </w:rPr>
        <w:t>Elb</w:t>
      </w:r>
      <w:proofErr w:type="spellEnd"/>
      <w:r w:rsidRPr="00C25C44">
        <w:rPr>
          <w:i/>
          <w:iCs/>
        </w:rPr>
        <w:t>. Surg.</w:t>
      </w:r>
      <w:r w:rsidRPr="00C25C44">
        <w:t xml:space="preserve"> </w:t>
      </w:r>
      <w:r w:rsidRPr="00C25C44">
        <w:rPr>
          <w:b/>
          <w:bCs/>
        </w:rPr>
        <w:t>2018</w:t>
      </w:r>
      <w:r w:rsidRPr="00C25C44">
        <w:rPr>
          <w:bCs/>
        </w:rPr>
        <w:t xml:space="preserve">, </w:t>
      </w:r>
      <w:r w:rsidRPr="00C25C44">
        <w:rPr>
          <w:bCs/>
          <w:i/>
        </w:rPr>
        <w:t>27</w:t>
      </w:r>
      <w:r w:rsidRPr="00C25C44">
        <w:rPr>
          <w:bCs/>
        </w:rPr>
        <w:t>, 1437–1443</w:t>
      </w:r>
      <w:r w:rsidRPr="00C25C44">
        <w:t>. https://doi.org/10.1016/j.jse.2018.04.004.</w:t>
      </w:r>
    </w:p>
    <w:p w14:paraId="4E15E748" w14:textId="77777777" w:rsidR="002C0DE8" w:rsidRPr="00C25C44" w:rsidRDefault="002C0DE8" w:rsidP="002C0DE8">
      <w:pPr>
        <w:pStyle w:val="MDPI71References"/>
        <w:numPr>
          <w:ilvl w:val="0"/>
          <w:numId w:val="23"/>
        </w:numPr>
      </w:pPr>
      <w:r w:rsidRPr="00C25C44">
        <w:t xml:space="preserve">Wang, J.-Y.; </w:t>
      </w:r>
      <w:proofErr w:type="spellStart"/>
      <w:r w:rsidRPr="00C25C44">
        <w:t>Liaw</w:t>
      </w:r>
      <w:proofErr w:type="spellEnd"/>
      <w:r w:rsidRPr="00C25C44">
        <w:t xml:space="preserve">, C.-K.; Huang, C.-C.; </w:t>
      </w:r>
      <w:proofErr w:type="spellStart"/>
      <w:r w:rsidRPr="00C25C44">
        <w:t>Liou</w:t>
      </w:r>
      <w:proofErr w:type="spellEnd"/>
      <w:r w:rsidRPr="00C25C44">
        <w:t xml:space="preserve">, T.-H.; Lin, H.-W.; Huang, S.-W. Hyperlipidemia Is a Risk Factor of Adhesive Capsulitis: Real-World Evidence Using the Taiwanese National Health Insurance Research Database. </w:t>
      </w:r>
      <w:proofErr w:type="spellStart"/>
      <w:r w:rsidRPr="00C25C44">
        <w:rPr>
          <w:i/>
          <w:iCs/>
        </w:rPr>
        <w:t>Orthop</w:t>
      </w:r>
      <w:proofErr w:type="spellEnd"/>
      <w:r w:rsidRPr="00C25C44">
        <w:rPr>
          <w:i/>
          <w:iCs/>
        </w:rPr>
        <w:t>. J. Sports Med.</w:t>
      </w:r>
      <w:r w:rsidRPr="00C25C44">
        <w:t xml:space="preserve"> </w:t>
      </w:r>
      <w:r w:rsidRPr="00C25C44">
        <w:rPr>
          <w:b/>
          <w:bCs/>
        </w:rPr>
        <w:t>2021</w:t>
      </w:r>
      <w:r w:rsidRPr="00C25C44">
        <w:rPr>
          <w:bCs/>
        </w:rPr>
        <w:t xml:space="preserve">, </w:t>
      </w:r>
      <w:r w:rsidRPr="00C25C44">
        <w:rPr>
          <w:bCs/>
          <w:i/>
        </w:rPr>
        <w:t>9</w:t>
      </w:r>
      <w:r w:rsidRPr="00C25C44">
        <w:rPr>
          <w:bCs/>
        </w:rPr>
        <w:t>, 2325967120986808</w:t>
      </w:r>
      <w:r w:rsidRPr="00C25C44">
        <w:t>. https://doi.org/10.1177/2325967120986808.</w:t>
      </w:r>
    </w:p>
    <w:p w14:paraId="3956816F" w14:textId="77777777" w:rsidR="002C0DE8" w:rsidRPr="00C25C44" w:rsidRDefault="002C0DE8" w:rsidP="002C0DE8">
      <w:pPr>
        <w:pStyle w:val="MDPI71References"/>
        <w:numPr>
          <w:ilvl w:val="0"/>
          <w:numId w:val="23"/>
        </w:numPr>
      </w:pPr>
      <w:r w:rsidRPr="00C25C44">
        <w:t xml:space="preserve">Martinez-Calderon, J.; </w:t>
      </w:r>
      <w:proofErr w:type="spellStart"/>
      <w:r w:rsidRPr="00C25C44">
        <w:t>Meeus</w:t>
      </w:r>
      <w:proofErr w:type="spellEnd"/>
      <w:r w:rsidRPr="00C25C44">
        <w:t xml:space="preserve">, M.; </w:t>
      </w:r>
      <w:proofErr w:type="spellStart"/>
      <w:r w:rsidRPr="00C25C44">
        <w:t>Struyf</w:t>
      </w:r>
      <w:proofErr w:type="spellEnd"/>
      <w:r w:rsidRPr="00C25C44">
        <w:t>, F.; Miguel Morales-</w:t>
      </w:r>
      <w:proofErr w:type="spellStart"/>
      <w:r w:rsidRPr="00C25C44">
        <w:t>Asencio</w:t>
      </w:r>
      <w:proofErr w:type="spellEnd"/>
      <w:r w:rsidRPr="00C25C44">
        <w:t>, J.; Gijon-</w:t>
      </w:r>
      <w:proofErr w:type="spellStart"/>
      <w:r w:rsidRPr="00C25C44">
        <w:t>Nogueron</w:t>
      </w:r>
      <w:proofErr w:type="spellEnd"/>
      <w:r w:rsidRPr="00C25C44">
        <w:t xml:space="preserve">, G.; </w:t>
      </w:r>
      <w:proofErr w:type="spellStart"/>
      <w:r w:rsidRPr="00C25C44">
        <w:t>Luque</w:t>
      </w:r>
      <w:proofErr w:type="spellEnd"/>
      <w:r w:rsidRPr="00C25C44">
        <w:t xml:space="preserve">-Suarez, A. The Role of Psychological Factors in the Perpetuation of Pain Intensity and Disability in People with Chronic Shoulder Pain: A Systematic Review. </w:t>
      </w:r>
      <w:r w:rsidRPr="00C25C44">
        <w:rPr>
          <w:i/>
          <w:iCs/>
        </w:rPr>
        <w:t>BMJ Open</w:t>
      </w:r>
      <w:r w:rsidRPr="00C25C44">
        <w:t xml:space="preserve"> </w:t>
      </w:r>
      <w:r w:rsidRPr="00C25C44">
        <w:rPr>
          <w:b/>
          <w:bCs/>
        </w:rPr>
        <w:t>2018</w:t>
      </w:r>
      <w:r w:rsidRPr="00C25C44">
        <w:rPr>
          <w:bCs/>
        </w:rPr>
        <w:t xml:space="preserve">, </w:t>
      </w:r>
      <w:r w:rsidRPr="00C25C44">
        <w:rPr>
          <w:bCs/>
          <w:i/>
        </w:rPr>
        <w:t>8</w:t>
      </w:r>
      <w:r w:rsidRPr="00C25C44">
        <w:rPr>
          <w:bCs/>
        </w:rPr>
        <w:t>, e020703</w:t>
      </w:r>
      <w:r w:rsidRPr="00C25C44">
        <w:t>. https://doi.org/10.1136/bmjopen-2017-020703.</w:t>
      </w:r>
    </w:p>
    <w:p w14:paraId="46B055B7" w14:textId="77777777" w:rsidR="002C0DE8" w:rsidRPr="00C25C44" w:rsidRDefault="002C0DE8" w:rsidP="002C0DE8">
      <w:pPr>
        <w:pStyle w:val="MDPI71References"/>
        <w:numPr>
          <w:ilvl w:val="0"/>
          <w:numId w:val="23"/>
        </w:numPr>
      </w:pPr>
      <w:r w:rsidRPr="00C25C44">
        <w:t xml:space="preserve">Tzeng, C.-Y.; Chiang, H.-Y.; Huang, C.-C.; Lin, W.-S.; Hsiao, T.-H.; Lin, C.-H. The Impact of Pre-Existing Shoulder Diseases and Traumatic Injuries of the Shoulder on Adhesive Capsulitis in Adult Population: A Population-Based Nested Case-Control Study. </w:t>
      </w:r>
      <w:r w:rsidRPr="00C25C44">
        <w:rPr>
          <w:i/>
          <w:iCs/>
        </w:rPr>
        <w:t xml:space="preserve">Medicine </w:t>
      </w:r>
      <w:r w:rsidRPr="00C25C44">
        <w:rPr>
          <w:b/>
          <w:bCs/>
        </w:rPr>
        <w:t>2019</w:t>
      </w:r>
      <w:r w:rsidRPr="00C25C44">
        <w:rPr>
          <w:bCs/>
        </w:rPr>
        <w:t xml:space="preserve">, </w:t>
      </w:r>
      <w:r w:rsidRPr="00C25C44">
        <w:rPr>
          <w:bCs/>
          <w:i/>
        </w:rPr>
        <w:t>98</w:t>
      </w:r>
      <w:r w:rsidRPr="00C25C44">
        <w:rPr>
          <w:bCs/>
        </w:rPr>
        <w:t>, e17204</w:t>
      </w:r>
      <w:r w:rsidRPr="00C25C44">
        <w:t>. https://doi.org/10.1097/MD.0000000000017204.</w:t>
      </w:r>
    </w:p>
    <w:p w14:paraId="75D537E0" w14:textId="77777777" w:rsidR="002C0DE8" w:rsidRPr="00C25C44" w:rsidRDefault="002C0DE8" w:rsidP="002C0DE8">
      <w:pPr>
        <w:pStyle w:val="MDPI71References"/>
        <w:numPr>
          <w:ilvl w:val="0"/>
          <w:numId w:val="23"/>
        </w:numPr>
      </w:pPr>
      <w:proofErr w:type="spellStart"/>
      <w:r w:rsidRPr="00C25C44">
        <w:t>Rauoof</w:t>
      </w:r>
      <w:proofErr w:type="spellEnd"/>
      <w:r w:rsidRPr="00C25C44">
        <w:t xml:space="preserve">, M.A.; Lone, N.A.; Bhat, B.A.; Habib, S. Etiological Factors and Clinical Profile of Adhesive Capsulitis in Patients Seen at the Rheumatology Clinic of a Tertiary Care Hospital in India. </w:t>
      </w:r>
      <w:r w:rsidRPr="00C25C44">
        <w:rPr>
          <w:i/>
          <w:iCs/>
        </w:rPr>
        <w:t>Saudi Med. J.</w:t>
      </w:r>
      <w:r w:rsidRPr="00C25C44">
        <w:t xml:space="preserve"> </w:t>
      </w:r>
      <w:r w:rsidRPr="00C25C44">
        <w:rPr>
          <w:b/>
          <w:bCs/>
        </w:rPr>
        <w:t>2004</w:t>
      </w:r>
      <w:r w:rsidRPr="00C25C44">
        <w:rPr>
          <w:bCs/>
        </w:rPr>
        <w:t xml:space="preserve">, </w:t>
      </w:r>
      <w:r w:rsidRPr="00C25C44">
        <w:rPr>
          <w:bCs/>
          <w:i/>
        </w:rPr>
        <w:t>25</w:t>
      </w:r>
      <w:r w:rsidRPr="00C25C44">
        <w:rPr>
          <w:bCs/>
        </w:rPr>
        <w:t>, 359–362</w:t>
      </w:r>
      <w:r w:rsidRPr="00C25C44">
        <w:t>.</w:t>
      </w:r>
    </w:p>
    <w:p w14:paraId="0FCD89E2" w14:textId="77777777" w:rsidR="002C0DE8" w:rsidRPr="00C25C44" w:rsidRDefault="002C0DE8" w:rsidP="002C0DE8">
      <w:pPr>
        <w:pStyle w:val="MDPI71References"/>
        <w:numPr>
          <w:ilvl w:val="0"/>
          <w:numId w:val="23"/>
        </w:numPr>
      </w:pPr>
      <w:proofErr w:type="spellStart"/>
      <w:r w:rsidRPr="00C25C44">
        <w:t>Cucchi</w:t>
      </w:r>
      <w:proofErr w:type="spellEnd"/>
      <w:r w:rsidRPr="00C25C44">
        <w:t xml:space="preserve">, D.; Menon, A.; </w:t>
      </w:r>
      <w:proofErr w:type="spellStart"/>
      <w:r w:rsidRPr="00C25C44">
        <w:t>Feroldi</w:t>
      </w:r>
      <w:proofErr w:type="spellEnd"/>
      <w:r w:rsidRPr="00C25C44">
        <w:t xml:space="preserve">, F.M.; </w:t>
      </w:r>
      <w:proofErr w:type="spellStart"/>
      <w:r w:rsidRPr="00C25C44">
        <w:t>Boerci</w:t>
      </w:r>
      <w:proofErr w:type="spellEnd"/>
      <w:r w:rsidRPr="00C25C44">
        <w:t xml:space="preserve">, L.; </w:t>
      </w:r>
      <w:proofErr w:type="spellStart"/>
      <w:r w:rsidRPr="00C25C44">
        <w:t>Randelli</w:t>
      </w:r>
      <w:proofErr w:type="spellEnd"/>
      <w:r w:rsidRPr="00C25C44">
        <w:t xml:space="preserve">, P.S. The Presence of Gastroesophageal Reflux Disease Increases the Risk of Developing Postoperative Shoulder Stiffness after Arthroscopic Rotator Cuff Repair. </w:t>
      </w:r>
      <w:r w:rsidRPr="00C25C44">
        <w:rPr>
          <w:i/>
          <w:iCs/>
        </w:rPr>
        <w:t xml:space="preserve">J. Shoulder </w:t>
      </w:r>
      <w:proofErr w:type="spellStart"/>
      <w:r w:rsidRPr="00C25C44">
        <w:rPr>
          <w:i/>
          <w:iCs/>
        </w:rPr>
        <w:t>Elb</w:t>
      </w:r>
      <w:proofErr w:type="spellEnd"/>
      <w:r w:rsidRPr="00C25C44">
        <w:rPr>
          <w:i/>
          <w:iCs/>
        </w:rPr>
        <w:t>. Surg.</w:t>
      </w:r>
      <w:r w:rsidRPr="00C25C44">
        <w:t xml:space="preserve"> </w:t>
      </w:r>
      <w:r w:rsidRPr="00C25C44">
        <w:rPr>
          <w:b/>
          <w:bCs/>
        </w:rPr>
        <w:t>2020</w:t>
      </w:r>
      <w:r w:rsidRPr="00C25C44">
        <w:rPr>
          <w:bCs/>
        </w:rPr>
        <w:t xml:space="preserve">, </w:t>
      </w:r>
      <w:r w:rsidRPr="00C25C44">
        <w:rPr>
          <w:bCs/>
          <w:i/>
        </w:rPr>
        <w:t>29</w:t>
      </w:r>
      <w:r w:rsidRPr="00C25C44">
        <w:rPr>
          <w:bCs/>
        </w:rPr>
        <w:t>, 2505–2513</w:t>
      </w:r>
      <w:r w:rsidRPr="00C25C44">
        <w:t>. https://doi.org/10.1016/j.jse.2020.07.002.</w:t>
      </w:r>
    </w:p>
    <w:p w14:paraId="5B2F602B" w14:textId="77777777" w:rsidR="002C0DE8" w:rsidRPr="00C25C44" w:rsidRDefault="002C0DE8" w:rsidP="002C0DE8">
      <w:pPr>
        <w:pStyle w:val="MDPI71References"/>
        <w:numPr>
          <w:ilvl w:val="0"/>
          <w:numId w:val="23"/>
        </w:numPr>
      </w:pPr>
      <w:r w:rsidRPr="00C25C44">
        <w:t xml:space="preserve">Hsu, K.-C.; Sun, C.-H.; Wu, Y.-Y.; Chen, L.-C.; Wu, Y.-T.; Chien, W.-C. Increased Risk of Adhesive Capsulitis among Patients with Gout: A Nationwide Population-Based Matched-Cohort Study. </w:t>
      </w:r>
      <w:r w:rsidRPr="00C25C44">
        <w:rPr>
          <w:i/>
          <w:iCs/>
        </w:rPr>
        <w:t>Int. J. Rheum. Dis.</w:t>
      </w:r>
      <w:r w:rsidRPr="00C25C44">
        <w:t xml:space="preserve"> </w:t>
      </w:r>
      <w:r w:rsidRPr="00C25C44">
        <w:rPr>
          <w:b/>
          <w:bCs/>
        </w:rPr>
        <w:t>2018</w:t>
      </w:r>
      <w:r w:rsidRPr="00C25C44">
        <w:rPr>
          <w:bCs/>
        </w:rPr>
        <w:t xml:space="preserve">, </w:t>
      </w:r>
      <w:r w:rsidRPr="00C25C44">
        <w:rPr>
          <w:bCs/>
          <w:i/>
        </w:rPr>
        <w:t>21</w:t>
      </w:r>
      <w:r w:rsidRPr="00C25C44">
        <w:rPr>
          <w:bCs/>
        </w:rPr>
        <w:t>, 1716–1722</w:t>
      </w:r>
      <w:r w:rsidRPr="00C25C44">
        <w:t>. https://doi.org/10.1111/1756-185X.13347.</w:t>
      </w:r>
    </w:p>
    <w:p w14:paraId="43892CE2" w14:textId="77777777" w:rsidR="002C0DE8" w:rsidRPr="00C25C44" w:rsidRDefault="002C0DE8" w:rsidP="002C0DE8">
      <w:pPr>
        <w:pStyle w:val="MDPI71References"/>
        <w:numPr>
          <w:ilvl w:val="0"/>
          <w:numId w:val="23"/>
        </w:numPr>
      </w:pPr>
      <w:proofErr w:type="spellStart"/>
      <w:r w:rsidRPr="00C25C44">
        <w:t>Statistica</w:t>
      </w:r>
      <w:proofErr w:type="spellEnd"/>
      <w:r w:rsidRPr="00C25C44">
        <w:t xml:space="preserve"> Population of Germany as of December 31, 2021, by Age Group Available online: https://www.statista.com/statistics/454349/population-by-age-group-germany/ (accessed on 10 September 2022).</w:t>
      </w:r>
    </w:p>
    <w:p w14:paraId="008BBD16" w14:textId="77777777" w:rsidR="002C0DE8" w:rsidRPr="00C25C44" w:rsidRDefault="002C0DE8" w:rsidP="002C0DE8">
      <w:pPr>
        <w:pStyle w:val="MDPI71References"/>
        <w:numPr>
          <w:ilvl w:val="0"/>
          <w:numId w:val="23"/>
        </w:numPr>
      </w:pPr>
      <w:r w:rsidRPr="00C25C44">
        <w:t xml:space="preserve">Stewart, B.D.; Nascimento, A.F. Palmar and Plantar Fibromatosis: A Review. </w:t>
      </w:r>
      <w:r w:rsidRPr="00C25C44">
        <w:rPr>
          <w:i/>
          <w:iCs/>
        </w:rPr>
        <w:t xml:space="preserve">J. </w:t>
      </w:r>
      <w:proofErr w:type="spellStart"/>
      <w:r w:rsidRPr="00C25C44">
        <w:rPr>
          <w:i/>
          <w:iCs/>
        </w:rPr>
        <w:t>Pathol</w:t>
      </w:r>
      <w:proofErr w:type="spellEnd"/>
      <w:r w:rsidRPr="00C25C44">
        <w:rPr>
          <w:i/>
          <w:iCs/>
        </w:rPr>
        <w:t>. Transl. Med.</w:t>
      </w:r>
      <w:r w:rsidRPr="00C25C44">
        <w:t xml:space="preserve"> </w:t>
      </w:r>
      <w:r w:rsidRPr="00C25C44">
        <w:rPr>
          <w:b/>
          <w:bCs/>
        </w:rPr>
        <w:t>2021</w:t>
      </w:r>
      <w:r w:rsidRPr="00C25C44">
        <w:rPr>
          <w:bCs/>
        </w:rPr>
        <w:t xml:space="preserve">, </w:t>
      </w:r>
      <w:r w:rsidRPr="00C25C44">
        <w:rPr>
          <w:bCs/>
          <w:i/>
        </w:rPr>
        <w:t>55</w:t>
      </w:r>
      <w:r w:rsidRPr="00C25C44">
        <w:rPr>
          <w:bCs/>
        </w:rPr>
        <w:t>, 265–270</w:t>
      </w:r>
      <w:r w:rsidRPr="00C25C44">
        <w:t>. https://doi.org/10.4132/jptm.2021.06.14.</w:t>
      </w:r>
    </w:p>
    <w:p w14:paraId="0BE1A673" w14:textId="77777777" w:rsidR="002C0DE8" w:rsidRPr="00C25C44" w:rsidRDefault="002C0DE8" w:rsidP="002C0DE8">
      <w:pPr>
        <w:pStyle w:val="MDPI71References"/>
        <w:numPr>
          <w:ilvl w:val="0"/>
          <w:numId w:val="23"/>
        </w:numPr>
      </w:pPr>
      <w:r w:rsidRPr="00C25C44">
        <w:t xml:space="preserve">Kim, S.K.; Khan, C.; Ladd, A.L.; </w:t>
      </w:r>
      <w:proofErr w:type="spellStart"/>
      <w:r w:rsidRPr="00C25C44">
        <w:t>Tashjian</w:t>
      </w:r>
      <w:proofErr w:type="spellEnd"/>
      <w:r w:rsidRPr="00C25C44">
        <w:t xml:space="preserve">, R.Z. A Shared Genetic Architecture Between Adhesive Capsulitis and </w:t>
      </w:r>
      <w:proofErr w:type="spellStart"/>
      <w:r w:rsidRPr="00C25C44">
        <w:t>Dupuytren’s</w:t>
      </w:r>
      <w:proofErr w:type="spellEnd"/>
      <w:r w:rsidRPr="00C25C44">
        <w:t xml:space="preserve"> Disease. </w:t>
      </w:r>
      <w:r w:rsidRPr="00C25C44">
        <w:rPr>
          <w:i/>
          <w:iCs/>
        </w:rPr>
        <w:t xml:space="preserve">J. Shoulder </w:t>
      </w:r>
      <w:proofErr w:type="spellStart"/>
      <w:r w:rsidRPr="00C25C44">
        <w:rPr>
          <w:i/>
          <w:iCs/>
        </w:rPr>
        <w:t>Elb</w:t>
      </w:r>
      <w:proofErr w:type="spellEnd"/>
      <w:r w:rsidRPr="00C25C44">
        <w:rPr>
          <w:i/>
          <w:iCs/>
        </w:rPr>
        <w:t>. Surg.</w:t>
      </w:r>
      <w:r w:rsidRPr="00C25C44">
        <w:t xml:space="preserve"> </w:t>
      </w:r>
      <w:r w:rsidRPr="00C25C44">
        <w:rPr>
          <w:b/>
          <w:bCs/>
        </w:rPr>
        <w:t>2022</w:t>
      </w:r>
      <w:r w:rsidRPr="00C25C44">
        <w:rPr>
          <w:bCs/>
        </w:rPr>
        <w:t xml:space="preserve">, </w:t>
      </w:r>
      <w:r w:rsidRPr="00C25C44">
        <w:rPr>
          <w:bCs/>
          <w:i/>
        </w:rPr>
        <w:t>32</w:t>
      </w:r>
      <w:r w:rsidRPr="00C25C44">
        <w:rPr>
          <w:bCs/>
        </w:rPr>
        <w:t>, 174–185</w:t>
      </w:r>
      <w:r w:rsidRPr="00C25C44">
        <w:t>. https://doi.org/10.1016/j.jse.2022.07.005.</w:t>
      </w:r>
    </w:p>
    <w:p w14:paraId="6ABB38C2" w14:textId="77777777" w:rsidR="002C0DE8" w:rsidRPr="00C25C44" w:rsidRDefault="002C0DE8" w:rsidP="002C0DE8">
      <w:pPr>
        <w:pStyle w:val="MDPI71References"/>
        <w:numPr>
          <w:ilvl w:val="0"/>
          <w:numId w:val="23"/>
        </w:numPr>
      </w:pPr>
      <w:r w:rsidRPr="00C25C44">
        <w:t xml:space="preserve">Ragab, G.; </w:t>
      </w:r>
      <w:proofErr w:type="spellStart"/>
      <w:r w:rsidRPr="00C25C44">
        <w:t>Elshahaly</w:t>
      </w:r>
      <w:proofErr w:type="spellEnd"/>
      <w:r w:rsidRPr="00C25C44">
        <w:t xml:space="preserve">, M.; Bardin, T. Gout: An Old Disease in New Perspective—A Review. </w:t>
      </w:r>
      <w:r w:rsidRPr="00C25C44">
        <w:rPr>
          <w:i/>
          <w:iCs/>
        </w:rPr>
        <w:t>J. Adv. Res.</w:t>
      </w:r>
      <w:r w:rsidRPr="00C25C44">
        <w:t xml:space="preserve"> </w:t>
      </w:r>
      <w:r w:rsidRPr="00C25C44">
        <w:rPr>
          <w:b/>
          <w:bCs/>
        </w:rPr>
        <w:t>2017</w:t>
      </w:r>
      <w:r w:rsidRPr="00C25C44">
        <w:rPr>
          <w:bCs/>
        </w:rPr>
        <w:t xml:space="preserve">, </w:t>
      </w:r>
      <w:r w:rsidRPr="00C25C44">
        <w:rPr>
          <w:bCs/>
          <w:i/>
        </w:rPr>
        <w:t>8</w:t>
      </w:r>
      <w:r w:rsidRPr="00C25C44">
        <w:rPr>
          <w:bCs/>
        </w:rPr>
        <w:t>, 495–511</w:t>
      </w:r>
      <w:r w:rsidRPr="00C25C44">
        <w:t>. https://doi.org/10.1016/j.jare.2017.04.008.</w:t>
      </w:r>
    </w:p>
    <w:p w14:paraId="2B7D4B8C" w14:textId="77777777" w:rsidR="002C0DE8" w:rsidRPr="00C25C44" w:rsidRDefault="002C0DE8" w:rsidP="002C0DE8">
      <w:pPr>
        <w:pStyle w:val="MDPI71References"/>
        <w:numPr>
          <w:ilvl w:val="0"/>
          <w:numId w:val="23"/>
        </w:numPr>
      </w:pPr>
      <w:r w:rsidRPr="00C25C44">
        <w:t xml:space="preserve">Hagiwara, Y.; Mori, M.; Kanazawa, K.; Ando, A.; Yabe, Y.; Koide, M.; Sekiguchi, T.; </w:t>
      </w:r>
      <w:proofErr w:type="spellStart"/>
      <w:r w:rsidRPr="00C25C44">
        <w:t>Itaya</w:t>
      </w:r>
      <w:proofErr w:type="spellEnd"/>
      <w:r w:rsidRPr="00C25C44">
        <w:t xml:space="preserve">, N.; Tsuchiya, M.; </w:t>
      </w:r>
      <w:proofErr w:type="spellStart"/>
      <w:r w:rsidRPr="00C25C44">
        <w:t>Itoi</w:t>
      </w:r>
      <w:proofErr w:type="spellEnd"/>
      <w:r w:rsidRPr="00C25C44">
        <w:t xml:space="preserve">, E. Comparative Proteome Analysis of the Capsule from Patients with Frozen Shoulder. </w:t>
      </w:r>
      <w:r w:rsidRPr="00C25C44">
        <w:rPr>
          <w:i/>
          <w:iCs/>
        </w:rPr>
        <w:t xml:space="preserve">J. Shoulder </w:t>
      </w:r>
      <w:proofErr w:type="spellStart"/>
      <w:r w:rsidRPr="00C25C44">
        <w:rPr>
          <w:i/>
          <w:iCs/>
        </w:rPr>
        <w:t>Elb</w:t>
      </w:r>
      <w:proofErr w:type="spellEnd"/>
      <w:r w:rsidRPr="00C25C44">
        <w:rPr>
          <w:i/>
          <w:iCs/>
        </w:rPr>
        <w:t>. Surg.</w:t>
      </w:r>
      <w:r w:rsidRPr="00C25C44">
        <w:t xml:space="preserve"> </w:t>
      </w:r>
      <w:r w:rsidRPr="00C25C44">
        <w:rPr>
          <w:b/>
          <w:bCs/>
        </w:rPr>
        <w:t>2018</w:t>
      </w:r>
      <w:r w:rsidRPr="00C25C44">
        <w:rPr>
          <w:bCs/>
        </w:rPr>
        <w:t xml:space="preserve">, </w:t>
      </w:r>
      <w:r w:rsidRPr="00C25C44">
        <w:rPr>
          <w:bCs/>
          <w:i/>
        </w:rPr>
        <w:t>27</w:t>
      </w:r>
      <w:r w:rsidRPr="00C25C44">
        <w:rPr>
          <w:bCs/>
        </w:rPr>
        <w:t>, 1770–1778</w:t>
      </w:r>
      <w:r w:rsidRPr="00C25C44">
        <w:t>. https://doi.org/10.1016/j.jse.2018.03.010.</w:t>
      </w:r>
    </w:p>
    <w:p w14:paraId="00C80C96" w14:textId="77777777" w:rsidR="002C0DE8" w:rsidRPr="00C25C44" w:rsidRDefault="002C0DE8" w:rsidP="002C0DE8">
      <w:pPr>
        <w:pStyle w:val="MDPI71References"/>
        <w:numPr>
          <w:ilvl w:val="0"/>
          <w:numId w:val="23"/>
        </w:numPr>
      </w:pPr>
      <w:r w:rsidRPr="00C25C44">
        <w:t xml:space="preserve">Huang, S.-W.; Lin, J.-W.; Wang, W.-T.; Wu, C.-W.; </w:t>
      </w:r>
      <w:proofErr w:type="spellStart"/>
      <w:r w:rsidRPr="00C25C44">
        <w:t>Liou</w:t>
      </w:r>
      <w:proofErr w:type="spellEnd"/>
      <w:r w:rsidRPr="00C25C44">
        <w:t xml:space="preserve">, T.-H.; Lin, H.-W. Hyperthyroidism Is a Risk Factor for Developing Adhesive Capsulitis of the Shoulder: A Nationwide Longitudinal Population-Based Study. </w:t>
      </w:r>
      <w:r w:rsidRPr="00C25C44">
        <w:rPr>
          <w:i/>
          <w:iCs/>
        </w:rPr>
        <w:t>Sci. Rep.</w:t>
      </w:r>
      <w:r w:rsidRPr="00C25C44">
        <w:t xml:space="preserve"> </w:t>
      </w:r>
      <w:r w:rsidRPr="00C25C44">
        <w:rPr>
          <w:b/>
          <w:bCs/>
        </w:rPr>
        <w:t>2014</w:t>
      </w:r>
      <w:r w:rsidRPr="00C25C44">
        <w:rPr>
          <w:bCs/>
        </w:rPr>
        <w:t xml:space="preserve">, </w:t>
      </w:r>
      <w:r w:rsidRPr="00C25C44">
        <w:rPr>
          <w:bCs/>
          <w:i/>
        </w:rPr>
        <w:t>4</w:t>
      </w:r>
      <w:r w:rsidRPr="00C25C44">
        <w:rPr>
          <w:bCs/>
        </w:rPr>
        <w:t>, 4183</w:t>
      </w:r>
      <w:r w:rsidRPr="00C25C44">
        <w:t>. https://doi.org/10.1038/srep04183.</w:t>
      </w:r>
    </w:p>
    <w:p w14:paraId="159777FD" w14:textId="77777777" w:rsidR="002C0DE8" w:rsidRPr="00C25C44" w:rsidRDefault="002C0DE8" w:rsidP="002C0DE8">
      <w:pPr>
        <w:pStyle w:val="MDPI71References"/>
        <w:numPr>
          <w:ilvl w:val="0"/>
          <w:numId w:val="23"/>
        </w:numPr>
      </w:pPr>
      <w:r w:rsidRPr="00C25C44">
        <w:lastRenderedPageBreak/>
        <w:t xml:space="preserve">Papalia, R.; Torre, G.; Papalia, G.; </w:t>
      </w:r>
      <w:proofErr w:type="spellStart"/>
      <w:r w:rsidRPr="00C25C44">
        <w:t>Baums</w:t>
      </w:r>
      <w:proofErr w:type="spellEnd"/>
      <w:r w:rsidRPr="00C25C44">
        <w:t xml:space="preserve">, M.H.; </w:t>
      </w:r>
      <w:proofErr w:type="spellStart"/>
      <w:r w:rsidRPr="00C25C44">
        <w:t>Narbona</w:t>
      </w:r>
      <w:proofErr w:type="spellEnd"/>
      <w:r w:rsidRPr="00C25C44">
        <w:t xml:space="preserve">, P.; Di Lazzaro, V.; </w:t>
      </w:r>
      <w:proofErr w:type="spellStart"/>
      <w:r w:rsidRPr="00C25C44">
        <w:t>Denaro</w:t>
      </w:r>
      <w:proofErr w:type="spellEnd"/>
      <w:r w:rsidRPr="00C25C44">
        <w:t xml:space="preserve">, V. Frozen Shoulder or Shoulder Stiffness from Parkinson Disease? </w:t>
      </w:r>
      <w:proofErr w:type="spellStart"/>
      <w:r w:rsidRPr="00C25C44">
        <w:rPr>
          <w:i/>
          <w:iCs/>
        </w:rPr>
        <w:t>Musculoskelet</w:t>
      </w:r>
      <w:proofErr w:type="spellEnd"/>
      <w:r w:rsidRPr="00C25C44">
        <w:rPr>
          <w:i/>
          <w:iCs/>
        </w:rPr>
        <w:t>. Surg.</w:t>
      </w:r>
      <w:r w:rsidRPr="00C25C44">
        <w:t xml:space="preserve"> </w:t>
      </w:r>
      <w:r w:rsidRPr="00C25C44">
        <w:rPr>
          <w:b/>
          <w:bCs/>
        </w:rPr>
        <w:t>2019</w:t>
      </w:r>
      <w:r w:rsidRPr="00C25C44">
        <w:rPr>
          <w:bCs/>
        </w:rPr>
        <w:t xml:space="preserve">, </w:t>
      </w:r>
      <w:r w:rsidRPr="00C25C44">
        <w:rPr>
          <w:bCs/>
          <w:i/>
        </w:rPr>
        <w:t>103</w:t>
      </w:r>
      <w:r w:rsidRPr="00C25C44">
        <w:rPr>
          <w:bCs/>
        </w:rPr>
        <w:t>, 115–119</w:t>
      </w:r>
      <w:r w:rsidRPr="00C25C44">
        <w:t>. https://doi.org/10.1007/s12306-018-0567-3.</w:t>
      </w:r>
    </w:p>
    <w:p w14:paraId="6EE2DFCD" w14:textId="77777777" w:rsidR="002C0DE8" w:rsidRPr="00C25C44" w:rsidRDefault="002C0DE8" w:rsidP="002C0DE8">
      <w:pPr>
        <w:pStyle w:val="MDPI71References"/>
        <w:numPr>
          <w:ilvl w:val="0"/>
          <w:numId w:val="23"/>
        </w:numPr>
      </w:pPr>
      <w:r w:rsidRPr="00C25C44">
        <w:t xml:space="preserve">Cao, W.; Chen, J.; Pu, J.; Fan, Y.; Cao, Y. Risk Factors for the Onset of Frozen Shoulder in Middle-Aged and Elderly Subjects within 1 Year of Discharge from a Hospitalization That Involved Intravenous Infusion: A Prospective Cohort Study. </w:t>
      </w:r>
      <w:r w:rsidRPr="00C25C44">
        <w:rPr>
          <w:i/>
          <w:iCs/>
        </w:rPr>
        <w:t xml:space="preserve">Front. Med. </w:t>
      </w:r>
      <w:r w:rsidRPr="00C25C44">
        <w:rPr>
          <w:b/>
          <w:bCs/>
        </w:rPr>
        <w:t>2022</w:t>
      </w:r>
      <w:r w:rsidRPr="00C25C44">
        <w:rPr>
          <w:bCs/>
        </w:rPr>
        <w:t xml:space="preserve">, </w:t>
      </w:r>
      <w:r w:rsidRPr="00C25C44">
        <w:rPr>
          <w:bCs/>
          <w:i/>
        </w:rPr>
        <w:t>9</w:t>
      </w:r>
      <w:r w:rsidRPr="00C25C44">
        <w:rPr>
          <w:bCs/>
        </w:rPr>
        <w:t>, 911532</w:t>
      </w:r>
      <w:r w:rsidRPr="00C25C44">
        <w:t>. https://doi.org/10.3389/fmed.2022.911532.</w:t>
      </w:r>
    </w:p>
    <w:p w14:paraId="10B0BE57" w14:textId="77777777" w:rsidR="002C0DE8" w:rsidRPr="00C25C44" w:rsidRDefault="002C0DE8" w:rsidP="002C0DE8">
      <w:pPr>
        <w:pStyle w:val="MDPI71References"/>
        <w:numPr>
          <w:ilvl w:val="0"/>
          <w:numId w:val="23"/>
        </w:numPr>
      </w:pPr>
      <w:proofErr w:type="spellStart"/>
      <w:r w:rsidRPr="00C25C44">
        <w:t>Nakandala</w:t>
      </w:r>
      <w:proofErr w:type="spellEnd"/>
      <w:r w:rsidRPr="00C25C44">
        <w:t xml:space="preserve">, P.; </w:t>
      </w:r>
      <w:proofErr w:type="spellStart"/>
      <w:r w:rsidRPr="00C25C44">
        <w:t>Nanayakkara</w:t>
      </w:r>
      <w:proofErr w:type="spellEnd"/>
      <w:r w:rsidRPr="00C25C44">
        <w:t xml:space="preserve">, I.; </w:t>
      </w:r>
      <w:proofErr w:type="spellStart"/>
      <w:r w:rsidRPr="00C25C44">
        <w:t>Wadugodapitiya</w:t>
      </w:r>
      <w:proofErr w:type="spellEnd"/>
      <w:r w:rsidRPr="00C25C44">
        <w:t xml:space="preserve">, S.; </w:t>
      </w:r>
      <w:proofErr w:type="spellStart"/>
      <w:r w:rsidRPr="00C25C44">
        <w:t>Gawarammana</w:t>
      </w:r>
      <w:proofErr w:type="spellEnd"/>
      <w:r w:rsidRPr="00C25C44">
        <w:t xml:space="preserve">, I. The Efficacy of Physiotherapy Interventions in the Treatment of Adhesive Capsulitis: A Systematic Review. </w:t>
      </w:r>
      <w:r w:rsidRPr="00C25C44">
        <w:rPr>
          <w:i/>
          <w:iCs/>
        </w:rPr>
        <w:t xml:space="preserve">J. Back </w:t>
      </w:r>
      <w:proofErr w:type="spellStart"/>
      <w:r w:rsidRPr="00C25C44">
        <w:rPr>
          <w:i/>
          <w:iCs/>
        </w:rPr>
        <w:t>Musculoskelet</w:t>
      </w:r>
      <w:proofErr w:type="spellEnd"/>
      <w:r w:rsidRPr="00C25C44">
        <w:rPr>
          <w:i/>
          <w:iCs/>
        </w:rPr>
        <w:t xml:space="preserve">. </w:t>
      </w:r>
      <w:proofErr w:type="spellStart"/>
      <w:r w:rsidRPr="00C25C44">
        <w:rPr>
          <w:i/>
          <w:iCs/>
        </w:rPr>
        <w:t>Rehabil</w:t>
      </w:r>
      <w:proofErr w:type="spellEnd"/>
      <w:r w:rsidRPr="00C25C44">
        <w:rPr>
          <w:i/>
          <w:iCs/>
        </w:rPr>
        <w:t xml:space="preserve">. </w:t>
      </w:r>
      <w:r w:rsidRPr="00C25C44">
        <w:rPr>
          <w:b/>
          <w:bCs/>
        </w:rPr>
        <w:t>2021</w:t>
      </w:r>
      <w:r w:rsidRPr="00C25C44">
        <w:rPr>
          <w:bCs/>
        </w:rPr>
        <w:t xml:space="preserve">, </w:t>
      </w:r>
      <w:r w:rsidRPr="00C25C44">
        <w:rPr>
          <w:bCs/>
          <w:i/>
        </w:rPr>
        <w:t>34</w:t>
      </w:r>
      <w:r w:rsidRPr="00C25C44">
        <w:rPr>
          <w:bCs/>
        </w:rPr>
        <w:t>, 195–205</w:t>
      </w:r>
      <w:r w:rsidRPr="00C25C44">
        <w:t>. https://doi.org/10.3233/BMR-200186.</w:t>
      </w:r>
    </w:p>
    <w:p w14:paraId="6782B90A" w14:textId="77777777" w:rsidR="002C0DE8" w:rsidRPr="00C25C44" w:rsidRDefault="002C0DE8" w:rsidP="002C0DE8">
      <w:pPr>
        <w:pStyle w:val="MDPI71References"/>
        <w:numPr>
          <w:ilvl w:val="0"/>
          <w:numId w:val="23"/>
        </w:numPr>
      </w:pPr>
      <w:proofErr w:type="spellStart"/>
      <w:r w:rsidRPr="00C25C44">
        <w:t>Prodromidis</w:t>
      </w:r>
      <w:proofErr w:type="spellEnd"/>
      <w:r w:rsidRPr="00C25C44">
        <w:t xml:space="preserve">, A.D.; Charalambous, C.P. Is There a Genetic Predisposition to Frozen </w:t>
      </w:r>
      <w:proofErr w:type="gramStart"/>
      <w:r w:rsidRPr="00C25C44">
        <w:t>Shoulder?:</w:t>
      </w:r>
      <w:proofErr w:type="gramEnd"/>
      <w:r w:rsidRPr="00C25C44">
        <w:t xml:space="preserve"> A Systematic Review and Meta-Analysis. </w:t>
      </w:r>
      <w:r w:rsidRPr="00C25C44">
        <w:rPr>
          <w:i/>
          <w:iCs/>
        </w:rPr>
        <w:t>JBJS Rev.</w:t>
      </w:r>
      <w:r w:rsidRPr="00C25C44">
        <w:t xml:space="preserve"> </w:t>
      </w:r>
      <w:r w:rsidRPr="00C25C44">
        <w:rPr>
          <w:b/>
          <w:bCs/>
        </w:rPr>
        <w:t>2016</w:t>
      </w:r>
      <w:r w:rsidRPr="00C25C44">
        <w:rPr>
          <w:bCs/>
        </w:rPr>
        <w:t xml:space="preserve">, </w:t>
      </w:r>
      <w:r w:rsidRPr="00C25C44">
        <w:rPr>
          <w:bCs/>
          <w:i/>
        </w:rPr>
        <w:t>4</w:t>
      </w:r>
      <w:r w:rsidRPr="00C25C44">
        <w:rPr>
          <w:bCs/>
        </w:rPr>
        <w:t>, e4</w:t>
      </w:r>
      <w:r w:rsidRPr="00C25C44">
        <w:t>. https://doi.org/10.2106/JBJS.RVW.O.00007.</w:t>
      </w:r>
    </w:p>
    <w:p w14:paraId="5412FC1B" w14:textId="77777777" w:rsidR="00FE6943" w:rsidRPr="002C0DE8" w:rsidRDefault="002C0DE8" w:rsidP="002C0DE8">
      <w:pPr>
        <w:pStyle w:val="MDPI63Notes"/>
        <w:spacing w:before="240"/>
        <w:rPr>
          <w:sz w:val="18"/>
          <w:szCs w:val="24"/>
        </w:rPr>
      </w:pPr>
      <w:r w:rsidRPr="00C25C44">
        <w:rPr>
          <w:b/>
          <w:sz w:val="18"/>
          <w:szCs w:val="24"/>
        </w:rPr>
        <w:t>Disclaimer/Publisher’s Note:</w:t>
      </w:r>
      <w:r w:rsidRPr="00C25C44">
        <w:rPr>
          <w:sz w:val="18"/>
          <w:szCs w:val="24"/>
        </w:rPr>
        <w:t xml:space="preserve"> The statements, opinions and data contained in all publications are solely those of the individual author(s) and contributor(s) and not of MDPI and/or the editor(s). MDPI and/or the editor(s) disclaim responsibility for any injury to people or property resulting from any ideas, methods, </w:t>
      </w:r>
      <w:proofErr w:type="gramStart"/>
      <w:r w:rsidRPr="00C25C44">
        <w:rPr>
          <w:sz w:val="18"/>
          <w:szCs w:val="24"/>
        </w:rPr>
        <w:t>instructions</w:t>
      </w:r>
      <w:proofErr w:type="gramEnd"/>
      <w:r w:rsidRPr="00C25C44">
        <w:rPr>
          <w:sz w:val="18"/>
          <w:szCs w:val="24"/>
        </w:rPr>
        <w:t xml:space="preserve"> or products referred to in the cont</w:t>
      </w:r>
      <w:r w:rsidRPr="002C0DE8">
        <w:rPr>
          <w:sz w:val="18"/>
          <w:szCs w:val="24"/>
        </w:rPr>
        <w:t>ent.</w:t>
      </w:r>
    </w:p>
    <w:sectPr w:rsidR="00FE6943" w:rsidRPr="002C0DE8" w:rsidSect="00DC070D">
      <w:headerReference w:type="even" r:id="rId10"/>
      <w:headerReference w:type="default" r:id="rId11"/>
      <w:footerReference w:type="default" r:id="rId12"/>
      <w:headerReference w:type="first" r:id="rId13"/>
      <w:footerReference w:type="first" r:id="rId14"/>
      <w:type w:val="continuous"/>
      <w:pgSz w:w="11906" w:h="16838" w:code="9"/>
      <w:pgMar w:top="1417" w:right="720" w:bottom="1077" w:left="720" w:header="1020" w:footer="340" w:gutter="0"/>
      <w:pgNumType w:start="1"/>
      <w:cols w:space="425"/>
      <w:titlePg/>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AC3DB" w14:textId="77777777" w:rsidR="006C68C9" w:rsidRDefault="006C68C9">
      <w:pPr>
        <w:spacing w:line="240" w:lineRule="auto"/>
      </w:pPr>
      <w:r>
        <w:separator/>
      </w:r>
    </w:p>
  </w:endnote>
  <w:endnote w:type="continuationSeparator" w:id="0">
    <w:p w14:paraId="47F120E2" w14:textId="77777777" w:rsidR="006C68C9" w:rsidRDefault="006C68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F060D" w14:textId="77777777" w:rsidR="00357C8D" w:rsidRPr="00032917" w:rsidRDefault="00357C8D" w:rsidP="00357C8D">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D38F0" w14:textId="77777777" w:rsidR="003A2C19" w:rsidRDefault="003A2C19" w:rsidP="00065CFE">
    <w:pPr>
      <w:pStyle w:val="MDPIfooterfirstpage"/>
      <w:pBdr>
        <w:top w:val="single" w:sz="4" w:space="0" w:color="000000"/>
      </w:pBdr>
      <w:adjustRightInd w:val="0"/>
      <w:snapToGrid w:val="0"/>
      <w:spacing w:before="480" w:line="100" w:lineRule="exact"/>
      <w:rPr>
        <w:i/>
        <w:szCs w:val="16"/>
      </w:rPr>
    </w:pPr>
  </w:p>
  <w:p w14:paraId="114E16BF" w14:textId="77777777" w:rsidR="00357C8D" w:rsidRPr="008B308E" w:rsidRDefault="00357C8D" w:rsidP="00770821">
    <w:pPr>
      <w:pStyle w:val="MDPIfooterfirstpage"/>
      <w:tabs>
        <w:tab w:val="clear" w:pos="8845"/>
        <w:tab w:val="right" w:pos="10466"/>
      </w:tabs>
      <w:spacing w:line="240" w:lineRule="auto"/>
      <w:jc w:val="both"/>
      <w:rPr>
        <w:lang w:val="fr-CH"/>
      </w:rPr>
    </w:pPr>
    <w:r w:rsidRPr="00BB0268">
      <w:rPr>
        <w:i/>
        <w:szCs w:val="16"/>
      </w:rPr>
      <w:t>J. Clin. Med.</w:t>
    </w:r>
    <w:r w:rsidRPr="00BB0268">
      <w:rPr>
        <w:szCs w:val="16"/>
      </w:rPr>
      <w:t xml:space="preserve"> </w:t>
    </w:r>
    <w:r w:rsidR="00664C48">
      <w:rPr>
        <w:b/>
        <w:szCs w:val="16"/>
      </w:rPr>
      <w:t>2023</w:t>
    </w:r>
    <w:r w:rsidR="00853B85" w:rsidRPr="00853B85">
      <w:rPr>
        <w:szCs w:val="16"/>
      </w:rPr>
      <w:t>,</w:t>
    </w:r>
    <w:r w:rsidR="00664C48">
      <w:rPr>
        <w:i/>
        <w:szCs w:val="16"/>
      </w:rPr>
      <w:t xml:space="preserve"> 12</w:t>
    </w:r>
    <w:r w:rsidR="00853B85" w:rsidRPr="00853B85">
      <w:rPr>
        <w:szCs w:val="16"/>
      </w:rPr>
      <w:t xml:space="preserve">, </w:t>
    </w:r>
    <w:r w:rsidR="003D55AB">
      <w:rPr>
        <w:szCs w:val="16"/>
      </w:rPr>
      <w:t>x</w:t>
    </w:r>
    <w:r w:rsidR="003A2C19">
      <w:rPr>
        <w:szCs w:val="16"/>
      </w:rPr>
      <w:t>. https://doi.org/10.3390/xxxxx</w:t>
    </w:r>
    <w:r w:rsidR="00770821" w:rsidRPr="008B308E">
      <w:rPr>
        <w:lang w:val="fr-CH"/>
      </w:rPr>
      <w:tab/>
    </w:r>
    <w:r w:rsidRPr="008B308E">
      <w:rPr>
        <w:lang w:val="fr-CH"/>
      </w:rPr>
      <w:t>www.mdpi.com/journal/</w:t>
    </w:r>
    <w:proofErr w:type="spellStart"/>
    <w:r>
      <w:t>jcm</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42B97" w14:textId="77777777" w:rsidR="006C68C9" w:rsidRDefault="006C68C9">
      <w:pPr>
        <w:spacing w:line="240" w:lineRule="auto"/>
      </w:pPr>
      <w:r>
        <w:separator/>
      </w:r>
    </w:p>
  </w:footnote>
  <w:footnote w:type="continuationSeparator" w:id="0">
    <w:p w14:paraId="680615CF" w14:textId="77777777" w:rsidR="006C68C9" w:rsidRDefault="006C68C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C9216" w14:textId="77777777" w:rsidR="00357C8D" w:rsidRDefault="00357C8D" w:rsidP="00357C8D">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DFAA8" w14:textId="77777777" w:rsidR="003A2C19" w:rsidRDefault="00357C8D" w:rsidP="00770821">
    <w:pPr>
      <w:tabs>
        <w:tab w:val="right" w:pos="10466"/>
      </w:tabs>
      <w:adjustRightInd w:val="0"/>
      <w:snapToGrid w:val="0"/>
      <w:spacing w:line="240" w:lineRule="auto"/>
      <w:rPr>
        <w:sz w:val="16"/>
      </w:rPr>
    </w:pPr>
    <w:r>
      <w:rPr>
        <w:i/>
        <w:sz w:val="16"/>
      </w:rPr>
      <w:t xml:space="preserve">J. Clin. Med. </w:t>
    </w:r>
    <w:r w:rsidR="00664C48">
      <w:rPr>
        <w:b/>
        <w:sz w:val="16"/>
      </w:rPr>
      <w:t>2023</w:t>
    </w:r>
    <w:r w:rsidR="00853B85" w:rsidRPr="00853B85">
      <w:rPr>
        <w:sz w:val="16"/>
      </w:rPr>
      <w:t>,</w:t>
    </w:r>
    <w:r w:rsidR="00664C48">
      <w:rPr>
        <w:i/>
        <w:sz w:val="16"/>
      </w:rPr>
      <w:t xml:space="preserve"> 12</w:t>
    </w:r>
    <w:r w:rsidR="003D55AB">
      <w:rPr>
        <w:sz w:val="16"/>
      </w:rPr>
      <w:t>, x FOR PEER REVIEW</w:t>
    </w:r>
    <w:r w:rsidR="00770821">
      <w:rPr>
        <w:sz w:val="16"/>
      </w:rPr>
      <w:tab/>
    </w:r>
    <w:r w:rsidR="003D55AB">
      <w:rPr>
        <w:sz w:val="16"/>
      </w:rPr>
      <w:fldChar w:fldCharType="begin"/>
    </w:r>
    <w:r w:rsidR="003D55AB">
      <w:rPr>
        <w:sz w:val="16"/>
      </w:rPr>
      <w:instrText xml:space="preserve"> PAGE   \* MERGEFORMAT </w:instrText>
    </w:r>
    <w:r w:rsidR="003D55AB">
      <w:rPr>
        <w:sz w:val="16"/>
      </w:rPr>
      <w:fldChar w:fldCharType="separate"/>
    </w:r>
    <w:r w:rsidR="006A11B0">
      <w:rPr>
        <w:sz w:val="16"/>
      </w:rPr>
      <w:t>5</w:t>
    </w:r>
    <w:r w:rsidR="003D55AB">
      <w:rPr>
        <w:sz w:val="16"/>
      </w:rPr>
      <w:fldChar w:fldCharType="end"/>
    </w:r>
    <w:r w:rsidR="003D55AB">
      <w:rPr>
        <w:sz w:val="16"/>
      </w:rPr>
      <w:t xml:space="preserve"> of </w:t>
    </w:r>
    <w:r w:rsidR="003D55AB">
      <w:rPr>
        <w:sz w:val="16"/>
      </w:rPr>
      <w:fldChar w:fldCharType="begin"/>
    </w:r>
    <w:r w:rsidR="003D55AB">
      <w:rPr>
        <w:sz w:val="16"/>
      </w:rPr>
      <w:instrText xml:space="preserve"> NUMPAGES   \* MERGEFORMAT </w:instrText>
    </w:r>
    <w:r w:rsidR="003D55AB">
      <w:rPr>
        <w:sz w:val="16"/>
      </w:rPr>
      <w:fldChar w:fldCharType="separate"/>
    </w:r>
    <w:r w:rsidR="006A11B0">
      <w:rPr>
        <w:sz w:val="16"/>
      </w:rPr>
      <w:t>5</w:t>
    </w:r>
    <w:r w:rsidR="003D55AB">
      <w:rPr>
        <w:sz w:val="16"/>
      </w:rPr>
      <w:fldChar w:fldCharType="end"/>
    </w:r>
  </w:p>
  <w:p w14:paraId="4125E5D5" w14:textId="77777777" w:rsidR="00357C8D" w:rsidRPr="007A5CE1" w:rsidRDefault="00357C8D" w:rsidP="00065CFE">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87" w:type="dxa"/>
      <w:tblCellMar>
        <w:left w:w="0" w:type="dxa"/>
        <w:right w:w="0" w:type="dxa"/>
      </w:tblCellMar>
      <w:tblLook w:val="04A0" w:firstRow="1" w:lastRow="0" w:firstColumn="1" w:lastColumn="0" w:noHBand="0" w:noVBand="1"/>
    </w:tblPr>
    <w:tblGrid>
      <w:gridCol w:w="3679"/>
      <w:gridCol w:w="4535"/>
      <w:gridCol w:w="2273"/>
    </w:tblGrid>
    <w:tr w:rsidR="003A2C19" w:rsidRPr="00770821" w14:paraId="40128457" w14:textId="77777777" w:rsidTr="00D235B1">
      <w:trPr>
        <w:trHeight w:val="686"/>
      </w:trPr>
      <w:tc>
        <w:tcPr>
          <w:tcW w:w="3679" w:type="dxa"/>
          <w:shd w:val="clear" w:color="auto" w:fill="auto"/>
          <w:vAlign w:val="center"/>
        </w:tcPr>
        <w:p w14:paraId="788DA097" w14:textId="77777777" w:rsidR="003A2C19" w:rsidRPr="00904B95" w:rsidRDefault="006D3297" w:rsidP="00770821">
          <w:pPr>
            <w:pStyle w:val="Header"/>
            <w:pBdr>
              <w:bottom w:val="none" w:sz="0" w:space="0" w:color="auto"/>
            </w:pBdr>
            <w:jc w:val="left"/>
            <w:rPr>
              <w:rFonts w:eastAsia="DengXian"/>
              <w:b/>
              <w:bCs/>
            </w:rPr>
          </w:pPr>
          <w:r w:rsidRPr="00904B95">
            <w:rPr>
              <w:rFonts w:eastAsia="DengXian"/>
              <w:b/>
              <w:bCs/>
            </w:rPr>
            <w:drawing>
              <wp:inline distT="0" distB="0" distL="0" distR="0" wp14:anchorId="7F558808" wp14:editId="0F5094E5">
                <wp:extent cx="1676400" cy="429260"/>
                <wp:effectExtent l="0" t="0" r="0" b="0"/>
                <wp:docPr id="1" name="Picture 5" descr="C:\Users\home\Desktop\logos\png\jcm-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ome\Desktop\logos\png\jcm-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6400" cy="429260"/>
                        </a:xfrm>
                        <a:prstGeom prst="rect">
                          <a:avLst/>
                        </a:prstGeom>
                        <a:noFill/>
                        <a:ln>
                          <a:noFill/>
                        </a:ln>
                      </pic:spPr>
                    </pic:pic>
                  </a:graphicData>
                </a:graphic>
              </wp:inline>
            </w:drawing>
          </w:r>
        </w:p>
      </w:tc>
      <w:tc>
        <w:tcPr>
          <w:tcW w:w="4535" w:type="dxa"/>
          <w:shd w:val="clear" w:color="auto" w:fill="auto"/>
          <w:vAlign w:val="center"/>
        </w:tcPr>
        <w:p w14:paraId="6C56B644" w14:textId="77777777" w:rsidR="003A2C19" w:rsidRPr="00904B95" w:rsidRDefault="003A2C19" w:rsidP="00770821">
          <w:pPr>
            <w:pStyle w:val="Header"/>
            <w:pBdr>
              <w:bottom w:val="none" w:sz="0" w:space="0" w:color="auto"/>
            </w:pBdr>
            <w:rPr>
              <w:rFonts w:eastAsia="DengXian"/>
              <w:b/>
              <w:bCs/>
            </w:rPr>
          </w:pPr>
        </w:p>
      </w:tc>
      <w:tc>
        <w:tcPr>
          <w:tcW w:w="2273" w:type="dxa"/>
          <w:shd w:val="clear" w:color="auto" w:fill="auto"/>
          <w:vAlign w:val="center"/>
        </w:tcPr>
        <w:p w14:paraId="559B40D1" w14:textId="77777777" w:rsidR="003A2C19" w:rsidRPr="00904B95" w:rsidRDefault="00D235B1" w:rsidP="00D235B1">
          <w:pPr>
            <w:pStyle w:val="Header"/>
            <w:pBdr>
              <w:bottom w:val="none" w:sz="0" w:space="0" w:color="auto"/>
            </w:pBdr>
            <w:jc w:val="right"/>
            <w:rPr>
              <w:rFonts w:eastAsia="DengXian"/>
              <w:b/>
              <w:bCs/>
            </w:rPr>
          </w:pPr>
          <w:r>
            <w:rPr>
              <w:rFonts w:eastAsia="DengXian"/>
              <w:b/>
              <w:bCs/>
            </w:rPr>
            <w:drawing>
              <wp:inline distT="0" distB="0" distL="0" distR="0" wp14:anchorId="216CBD94" wp14:editId="63B1ACEE">
                <wp:extent cx="540000" cy="360000"/>
                <wp:effectExtent l="0" t="0" r="0" b="2540"/>
                <wp:docPr id="7" name="Picture 7"/>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2">
                          <a:extLst>
                            <a:ext uri="{28A0092B-C50C-407E-A947-70E740481C1C}">
                              <a14:useLocalDpi xmlns:a14="http://schemas.microsoft.com/office/drawing/2010/main" val="0"/>
                            </a:ext>
                          </a:extLst>
                        </a:blip>
                        <a:stretch>
                          <a:fillRect/>
                        </a:stretch>
                      </pic:blipFill>
                      <pic:spPr>
                        <a:xfrm>
                          <a:off x="0" y="0"/>
                          <a:ext cx="540000" cy="360000"/>
                        </a:xfrm>
                        <a:prstGeom prst="rect">
                          <a:avLst/>
                        </a:prstGeom>
                      </pic:spPr>
                    </pic:pic>
                  </a:graphicData>
                </a:graphic>
              </wp:inline>
            </w:drawing>
          </w:r>
        </w:p>
      </w:tc>
    </w:tr>
  </w:tbl>
  <w:p w14:paraId="216BE575" w14:textId="77777777" w:rsidR="00357C8D" w:rsidRPr="003A2C19" w:rsidRDefault="00357C8D" w:rsidP="00065CFE">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66A66"/>
    <w:multiLevelType w:val="hybridMultilevel"/>
    <w:tmpl w:val="CEA4112E"/>
    <w:lvl w:ilvl="0" w:tplc="72162196">
      <w:start w:val="1"/>
      <w:numFmt w:val="decimal"/>
      <w:lvlRestart w:val="0"/>
      <w:lvlText w:val="%1."/>
      <w:lvlJc w:val="left"/>
      <w:pPr>
        <w:ind w:left="3033" w:hanging="425"/>
      </w:pPr>
      <w:rPr>
        <w:b w:val="0"/>
        <w:i w:val="0"/>
        <w:sz w:val="20"/>
        <w:vertAlign w:val="baseline"/>
      </w:rPr>
    </w:lvl>
    <w:lvl w:ilvl="1" w:tplc="04090019" w:tentative="1">
      <w:start w:val="1"/>
      <w:numFmt w:val="lowerLetter"/>
      <w:lvlText w:val="%2."/>
      <w:lvlJc w:val="left"/>
      <w:pPr>
        <w:ind w:left="4048" w:hanging="360"/>
      </w:pPr>
    </w:lvl>
    <w:lvl w:ilvl="2" w:tplc="0409001B" w:tentative="1">
      <w:start w:val="1"/>
      <w:numFmt w:val="lowerRoman"/>
      <w:lvlText w:val="%3."/>
      <w:lvlJc w:val="right"/>
      <w:pPr>
        <w:ind w:left="4768" w:hanging="180"/>
      </w:pPr>
    </w:lvl>
    <w:lvl w:ilvl="3" w:tplc="0409000F" w:tentative="1">
      <w:start w:val="1"/>
      <w:numFmt w:val="decimal"/>
      <w:lvlText w:val="%4."/>
      <w:lvlJc w:val="left"/>
      <w:pPr>
        <w:ind w:left="5488" w:hanging="360"/>
      </w:pPr>
    </w:lvl>
    <w:lvl w:ilvl="4" w:tplc="04090019" w:tentative="1">
      <w:start w:val="1"/>
      <w:numFmt w:val="lowerLetter"/>
      <w:lvlText w:val="%5."/>
      <w:lvlJc w:val="left"/>
      <w:pPr>
        <w:ind w:left="6208" w:hanging="360"/>
      </w:pPr>
    </w:lvl>
    <w:lvl w:ilvl="5" w:tplc="0409001B" w:tentative="1">
      <w:start w:val="1"/>
      <w:numFmt w:val="lowerRoman"/>
      <w:lvlText w:val="%6."/>
      <w:lvlJc w:val="right"/>
      <w:pPr>
        <w:ind w:left="6928" w:hanging="180"/>
      </w:pPr>
    </w:lvl>
    <w:lvl w:ilvl="6" w:tplc="0409000F" w:tentative="1">
      <w:start w:val="1"/>
      <w:numFmt w:val="decimal"/>
      <w:lvlText w:val="%7."/>
      <w:lvlJc w:val="left"/>
      <w:pPr>
        <w:ind w:left="7648" w:hanging="360"/>
      </w:pPr>
    </w:lvl>
    <w:lvl w:ilvl="7" w:tplc="04090019" w:tentative="1">
      <w:start w:val="1"/>
      <w:numFmt w:val="lowerLetter"/>
      <w:lvlText w:val="%8."/>
      <w:lvlJc w:val="left"/>
      <w:pPr>
        <w:ind w:left="8368" w:hanging="360"/>
      </w:pPr>
    </w:lvl>
    <w:lvl w:ilvl="8" w:tplc="0409001B" w:tentative="1">
      <w:start w:val="1"/>
      <w:numFmt w:val="lowerRoman"/>
      <w:lvlText w:val="%9."/>
      <w:lvlJc w:val="right"/>
      <w:pPr>
        <w:ind w:left="9088" w:hanging="180"/>
      </w:pPr>
    </w:lvl>
  </w:abstractNum>
  <w:abstractNum w:abstractNumId="1" w15:restartNumberingAfterBreak="0">
    <w:nsid w:val="0B5F6105"/>
    <w:multiLevelType w:val="hybridMultilevel"/>
    <w:tmpl w:val="7E201858"/>
    <w:lvl w:ilvl="0" w:tplc="7736F520">
      <w:start w:val="1"/>
      <w:numFmt w:val="decimal"/>
      <w:lvlRestart w:val="0"/>
      <w:pStyle w:val="MDPI71FootNotes"/>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B468F5"/>
    <w:multiLevelType w:val="hybridMultilevel"/>
    <w:tmpl w:val="F7E250A8"/>
    <w:lvl w:ilvl="0" w:tplc="5A92E4B0">
      <w:start w:val="1"/>
      <w:numFmt w:val="decimal"/>
      <w:lvlRestart w:val="0"/>
      <w:pStyle w:val="MDPI71References"/>
      <w:lvlText w:val="%1."/>
      <w:lvlJc w:val="left"/>
      <w:pPr>
        <w:ind w:left="425" w:hanging="4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4"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6"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7A135E"/>
    <w:multiLevelType w:val="hybridMultilevel"/>
    <w:tmpl w:val="C554B7C0"/>
    <w:lvl w:ilvl="0" w:tplc="CFE896BA">
      <w:start w:val="1"/>
      <w:numFmt w:val="decimal"/>
      <w:lvlRestart w:val="0"/>
      <w:lvlText w:val="%1."/>
      <w:lvlJc w:val="left"/>
      <w:pPr>
        <w:ind w:left="425" w:hanging="425"/>
      </w:pPr>
      <w:rPr>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9" w15:restartNumberingAfterBreak="0">
    <w:nsid w:val="393567DB"/>
    <w:multiLevelType w:val="hybridMultilevel"/>
    <w:tmpl w:val="043A95D6"/>
    <w:lvl w:ilvl="0" w:tplc="6706E808">
      <w:start w:val="1"/>
      <w:numFmt w:val="decimal"/>
      <w:lvlRestart w:val="0"/>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2E2771B"/>
    <w:multiLevelType w:val="hybridMultilevel"/>
    <w:tmpl w:val="A2A06AAC"/>
    <w:lvl w:ilvl="0" w:tplc="C788203A">
      <w:start w:val="1"/>
      <w:numFmt w:val="decimal"/>
      <w:lvlRestart w:val="0"/>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12" w15:restartNumberingAfterBreak="0">
    <w:nsid w:val="706D5736"/>
    <w:multiLevelType w:val="hybridMultilevel"/>
    <w:tmpl w:val="7E201858"/>
    <w:lvl w:ilvl="0" w:tplc="7736F520">
      <w:start w:val="1"/>
      <w:numFmt w:val="decimal"/>
      <w:lvlRestart w:val="0"/>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81654251">
    <w:abstractNumId w:val="5"/>
  </w:num>
  <w:num w:numId="2" w16cid:durableId="2137333301">
    <w:abstractNumId w:val="8"/>
  </w:num>
  <w:num w:numId="3" w16cid:durableId="320550436">
    <w:abstractNumId w:val="4"/>
  </w:num>
  <w:num w:numId="4" w16cid:durableId="20567369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89157635">
    <w:abstractNumId w:val="6"/>
  </w:num>
  <w:num w:numId="6" w16cid:durableId="1735935483">
    <w:abstractNumId w:val="11"/>
  </w:num>
  <w:num w:numId="7" w16cid:durableId="1050036064">
    <w:abstractNumId w:val="3"/>
  </w:num>
  <w:num w:numId="8" w16cid:durableId="315689290">
    <w:abstractNumId w:val="11"/>
  </w:num>
  <w:num w:numId="9" w16cid:durableId="2033871437">
    <w:abstractNumId w:val="3"/>
  </w:num>
  <w:num w:numId="10" w16cid:durableId="1059474275">
    <w:abstractNumId w:val="11"/>
  </w:num>
  <w:num w:numId="11" w16cid:durableId="1333221269">
    <w:abstractNumId w:val="3"/>
  </w:num>
  <w:num w:numId="12" w16cid:durableId="84570771">
    <w:abstractNumId w:val="12"/>
  </w:num>
  <w:num w:numId="13" w16cid:durableId="1538011042">
    <w:abstractNumId w:val="11"/>
  </w:num>
  <w:num w:numId="14" w16cid:durableId="1382751463">
    <w:abstractNumId w:val="3"/>
  </w:num>
  <w:num w:numId="15" w16cid:durableId="1610353785">
    <w:abstractNumId w:val="2"/>
  </w:num>
  <w:num w:numId="16" w16cid:durableId="220950079">
    <w:abstractNumId w:val="10"/>
  </w:num>
  <w:num w:numId="17" w16cid:durableId="1281034192">
    <w:abstractNumId w:val="0"/>
  </w:num>
  <w:num w:numId="18" w16cid:durableId="2048138815">
    <w:abstractNumId w:val="11"/>
  </w:num>
  <w:num w:numId="19" w16cid:durableId="956067179">
    <w:abstractNumId w:val="3"/>
  </w:num>
  <w:num w:numId="20" w16cid:durableId="1903324207">
    <w:abstractNumId w:val="2"/>
  </w:num>
  <w:num w:numId="21" w16cid:durableId="923341448">
    <w:abstractNumId w:val="7"/>
  </w:num>
  <w:num w:numId="22" w16cid:durableId="1865903494">
    <w:abstractNumId w:val="0"/>
  </w:num>
  <w:num w:numId="23" w16cid:durableId="461580579">
    <w:abstractNumId w:val="9"/>
  </w:num>
  <w:num w:numId="24" w16cid:durableId="41292820">
    <w:abstractNumId w:val="11"/>
  </w:num>
  <w:num w:numId="25" w16cid:durableId="1727946963">
    <w:abstractNumId w:val="3"/>
  </w:num>
  <w:num w:numId="26" w16cid:durableId="1309624369">
    <w:abstractNumId w:val="1"/>
  </w:num>
  <w:num w:numId="27" w16cid:durableId="9535547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drawingGridHorizontalSpacing w:val="10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0D7F"/>
    <w:rsid w:val="000019D8"/>
    <w:rsid w:val="00006F9A"/>
    <w:rsid w:val="0001560B"/>
    <w:rsid w:val="000302D9"/>
    <w:rsid w:val="00031DE8"/>
    <w:rsid w:val="00041D95"/>
    <w:rsid w:val="00051438"/>
    <w:rsid w:val="00065CFE"/>
    <w:rsid w:val="00067911"/>
    <w:rsid w:val="00082E31"/>
    <w:rsid w:val="00085770"/>
    <w:rsid w:val="000A7316"/>
    <w:rsid w:val="000B7CBD"/>
    <w:rsid w:val="000C0FC2"/>
    <w:rsid w:val="000C233C"/>
    <w:rsid w:val="000C6424"/>
    <w:rsid w:val="000E2866"/>
    <w:rsid w:val="00123D92"/>
    <w:rsid w:val="00152F6D"/>
    <w:rsid w:val="00160D8F"/>
    <w:rsid w:val="001710B7"/>
    <w:rsid w:val="00172385"/>
    <w:rsid w:val="00177AA9"/>
    <w:rsid w:val="00180583"/>
    <w:rsid w:val="001C4EF2"/>
    <w:rsid w:val="001D1C27"/>
    <w:rsid w:val="001D25D3"/>
    <w:rsid w:val="001E2AEB"/>
    <w:rsid w:val="001E6B6B"/>
    <w:rsid w:val="001F462D"/>
    <w:rsid w:val="00207302"/>
    <w:rsid w:val="00274D95"/>
    <w:rsid w:val="00280F25"/>
    <w:rsid w:val="00280FC4"/>
    <w:rsid w:val="00287BE6"/>
    <w:rsid w:val="0029303F"/>
    <w:rsid w:val="002B5FEA"/>
    <w:rsid w:val="002C0DE8"/>
    <w:rsid w:val="002C1762"/>
    <w:rsid w:val="002C5B08"/>
    <w:rsid w:val="002C74FC"/>
    <w:rsid w:val="002E235C"/>
    <w:rsid w:val="00314B6E"/>
    <w:rsid w:val="0032024F"/>
    <w:rsid w:val="003207B3"/>
    <w:rsid w:val="00325CF8"/>
    <w:rsid w:val="00326141"/>
    <w:rsid w:val="0034278A"/>
    <w:rsid w:val="0034365E"/>
    <w:rsid w:val="00357C8D"/>
    <w:rsid w:val="00362F34"/>
    <w:rsid w:val="003977A3"/>
    <w:rsid w:val="003A2C19"/>
    <w:rsid w:val="003D37C7"/>
    <w:rsid w:val="003D4857"/>
    <w:rsid w:val="003D55AB"/>
    <w:rsid w:val="003E2FD7"/>
    <w:rsid w:val="003E522B"/>
    <w:rsid w:val="003F2DA1"/>
    <w:rsid w:val="003F4ECB"/>
    <w:rsid w:val="00401D30"/>
    <w:rsid w:val="00412261"/>
    <w:rsid w:val="004142C7"/>
    <w:rsid w:val="004225B0"/>
    <w:rsid w:val="00433A16"/>
    <w:rsid w:val="0044093E"/>
    <w:rsid w:val="0045182C"/>
    <w:rsid w:val="0046295C"/>
    <w:rsid w:val="004B1358"/>
    <w:rsid w:val="004B7429"/>
    <w:rsid w:val="004D54CC"/>
    <w:rsid w:val="004D5F4D"/>
    <w:rsid w:val="004F5B4C"/>
    <w:rsid w:val="005123DF"/>
    <w:rsid w:val="00541B76"/>
    <w:rsid w:val="00547A54"/>
    <w:rsid w:val="005577F2"/>
    <w:rsid w:val="00585621"/>
    <w:rsid w:val="005963C5"/>
    <w:rsid w:val="005A06CB"/>
    <w:rsid w:val="00601AE3"/>
    <w:rsid w:val="00610A30"/>
    <w:rsid w:val="00610D7F"/>
    <w:rsid w:val="00616F82"/>
    <w:rsid w:val="00622838"/>
    <w:rsid w:val="006300CB"/>
    <w:rsid w:val="00630F55"/>
    <w:rsid w:val="00637CD2"/>
    <w:rsid w:val="006532ED"/>
    <w:rsid w:val="00664C48"/>
    <w:rsid w:val="00667913"/>
    <w:rsid w:val="00685F96"/>
    <w:rsid w:val="00691DEB"/>
    <w:rsid w:val="00692393"/>
    <w:rsid w:val="00694025"/>
    <w:rsid w:val="006A11B0"/>
    <w:rsid w:val="006A5D76"/>
    <w:rsid w:val="006B504B"/>
    <w:rsid w:val="006C3990"/>
    <w:rsid w:val="006C68C9"/>
    <w:rsid w:val="006D3297"/>
    <w:rsid w:val="006E1776"/>
    <w:rsid w:val="006F121F"/>
    <w:rsid w:val="007018DC"/>
    <w:rsid w:val="00705D61"/>
    <w:rsid w:val="00706D77"/>
    <w:rsid w:val="007154E7"/>
    <w:rsid w:val="00716340"/>
    <w:rsid w:val="0074064B"/>
    <w:rsid w:val="00770821"/>
    <w:rsid w:val="0079312A"/>
    <w:rsid w:val="007A4D9B"/>
    <w:rsid w:val="008022F9"/>
    <w:rsid w:val="00816BBE"/>
    <w:rsid w:val="00821EF1"/>
    <w:rsid w:val="00827B91"/>
    <w:rsid w:val="008337EC"/>
    <w:rsid w:val="00851192"/>
    <w:rsid w:val="00853B85"/>
    <w:rsid w:val="00865A31"/>
    <w:rsid w:val="008676DA"/>
    <w:rsid w:val="00886BAE"/>
    <w:rsid w:val="00886E73"/>
    <w:rsid w:val="008D0B41"/>
    <w:rsid w:val="008E63F1"/>
    <w:rsid w:val="008F1228"/>
    <w:rsid w:val="008F3CDC"/>
    <w:rsid w:val="008F6E8C"/>
    <w:rsid w:val="009035B8"/>
    <w:rsid w:val="00904B95"/>
    <w:rsid w:val="00914275"/>
    <w:rsid w:val="00915CAE"/>
    <w:rsid w:val="00936D19"/>
    <w:rsid w:val="00943EE6"/>
    <w:rsid w:val="00945A8C"/>
    <w:rsid w:val="009570C3"/>
    <w:rsid w:val="00966FE1"/>
    <w:rsid w:val="00970559"/>
    <w:rsid w:val="00970888"/>
    <w:rsid w:val="009709FF"/>
    <w:rsid w:val="00995F53"/>
    <w:rsid w:val="00996419"/>
    <w:rsid w:val="009B12FB"/>
    <w:rsid w:val="009C5893"/>
    <w:rsid w:val="009D3806"/>
    <w:rsid w:val="009F70E6"/>
    <w:rsid w:val="00A637A9"/>
    <w:rsid w:val="00A73B50"/>
    <w:rsid w:val="00AB2F7D"/>
    <w:rsid w:val="00AC3FDF"/>
    <w:rsid w:val="00AD3640"/>
    <w:rsid w:val="00AD4E9B"/>
    <w:rsid w:val="00AE0F2C"/>
    <w:rsid w:val="00AE48F6"/>
    <w:rsid w:val="00AF63F6"/>
    <w:rsid w:val="00AF66CF"/>
    <w:rsid w:val="00B0419F"/>
    <w:rsid w:val="00B24D42"/>
    <w:rsid w:val="00B26C64"/>
    <w:rsid w:val="00B27BDC"/>
    <w:rsid w:val="00B5104C"/>
    <w:rsid w:val="00B71BC2"/>
    <w:rsid w:val="00B84BC1"/>
    <w:rsid w:val="00BB2253"/>
    <w:rsid w:val="00BB7AA1"/>
    <w:rsid w:val="00BC2D10"/>
    <w:rsid w:val="00BD0EDF"/>
    <w:rsid w:val="00BD5379"/>
    <w:rsid w:val="00BE4E1F"/>
    <w:rsid w:val="00BF5D96"/>
    <w:rsid w:val="00BF6F8B"/>
    <w:rsid w:val="00C06920"/>
    <w:rsid w:val="00C078B3"/>
    <w:rsid w:val="00C1439D"/>
    <w:rsid w:val="00C144B6"/>
    <w:rsid w:val="00C17D2C"/>
    <w:rsid w:val="00C25C44"/>
    <w:rsid w:val="00C3488F"/>
    <w:rsid w:val="00C627E2"/>
    <w:rsid w:val="00C668C7"/>
    <w:rsid w:val="00C76749"/>
    <w:rsid w:val="00C9566E"/>
    <w:rsid w:val="00CA2199"/>
    <w:rsid w:val="00CA6FBF"/>
    <w:rsid w:val="00CB3CFA"/>
    <w:rsid w:val="00CB5986"/>
    <w:rsid w:val="00CC4494"/>
    <w:rsid w:val="00CE04A3"/>
    <w:rsid w:val="00D03F63"/>
    <w:rsid w:val="00D0452F"/>
    <w:rsid w:val="00D06DB4"/>
    <w:rsid w:val="00D15FBD"/>
    <w:rsid w:val="00D235B1"/>
    <w:rsid w:val="00D537C4"/>
    <w:rsid w:val="00D72E82"/>
    <w:rsid w:val="00D76EFE"/>
    <w:rsid w:val="00DB5D84"/>
    <w:rsid w:val="00DB65CB"/>
    <w:rsid w:val="00DC070D"/>
    <w:rsid w:val="00DC5308"/>
    <w:rsid w:val="00DD3480"/>
    <w:rsid w:val="00E548E8"/>
    <w:rsid w:val="00E571F9"/>
    <w:rsid w:val="00E62446"/>
    <w:rsid w:val="00E6298A"/>
    <w:rsid w:val="00E917EF"/>
    <w:rsid w:val="00E9417E"/>
    <w:rsid w:val="00EA792D"/>
    <w:rsid w:val="00EB37E0"/>
    <w:rsid w:val="00EB730D"/>
    <w:rsid w:val="00EC2CB7"/>
    <w:rsid w:val="00EE3D95"/>
    <w:rsid w:val="00F1352D"/>
    <w:rsid w:val="00F159D6"/>
    <w:rsid w:val="00F20DC0"/>
    <w:rsid w:val="00F41D77"/>
    <w:rsid w:val="00F61547"/>
    <w:rsid w:val="00F733DC"/>
    <w:rsid w:val="00FA2DB6"/>
    <w:rsid w:val="00FA4695"/>
    <w:rsid w:val="00FC5F7E"/>
    <w:rsid w:val="00FC70BF"/>
    <w:rsid w:val="00FD4789"/>
    <w:rsid w:val="00FD6CA7"/>
    <w:rsid w:val="00FD76C7"/>
    <w:rsid w:val="00FE6943"/>
    <w:rsid w:val="00FF158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2442252"/>
  <w15:chartTrackingRefBased/>
  <w15:docId w15:val="{C8819C9C-24F6-4B20-BA61-855AA7E77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104C"/>
    <w:pPr>
      <w:spacing w:line="260" w:lineRule="atLeast"/>
      <w:jc w:val="both"/>
    </w:pPr>
    <w:rPr>
      <w:rFonts w:ascii="Palatino Linotype" w:hAnsi="Palatino Linotype"/>
      <w:noProof/>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DC070D"/>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DC070D"/>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DC070D"/>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DC070D"/>
    <w:pPr>
      <w:adjustRightInd w:val="0"/>
      <w:snapToGrid w:val="0"/>
      <w:spacing w:line="240" w:lineRule="atLeast"/>
      <w:ind w:right="113"/>
      <w:jc w:val="left"/>
    </w:pPr>
    <w:rPr>
      <w:rFonts w:eastAsia="Times New Roman"/>
      <w:noProof w:val="0"/>
      <w:sz w:val="14"/>
      <w:lang w:eastAsia="de-DE" w:bidi="en-US"/>
    </w:rPr>
  </w:style>
  <w:style w:type="paragraph" w:customStyle="1" w:styleId="MDPI16affiliation">
    <w:name w:val="MDPI_1.6_affiliation"/>
    <w:qFormat/>
    <w:rsid w:val="00DC070D"/>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DC070D"/>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DC070D"/>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3E522B"/>
    <w:pPr>
      <w:pBdr>
        <w:bottom w:val="single" w:sz="4"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paragraph" w:styleId="Footer">
    <w:name w:val="footer"/>
    <w:basedOn w:val="Normal"/>
    <w:link w:val="FooterChar"/>
    <w:uiPriority w:val="99"/>
    <w:rsid w:val="00FE6943"/>
    <w:pPr>
      <w:tabs>
        <w:tab w:val="center" w:pos="4153"/>
        <w:tab w:val="right" w:pos="8306"/>
      </w:tabs>
      <w:snapToGrid w:val="0"/>
      <w:spacing w:line="240" w:lineRule="atLeast"/>
    </w:pPr>
    <w:rPr>
      <w:szCs w:val="18"/>
    </w:rPr>
  </w:style>
  <w:style w:type="character" w:customStyle="1" w:styleId="FooterChar">
    <w:name w:val="Footer Char"/>
    <w:link w:val="Footer"/>
    <w:uiPriority w:val="99"/>
    <w:rsid w:val="00FE6943"/>
    <w:rPr>
      <w:rFonts w:ascii="Palatino Linotype" w:hAnsi="Palatino Linotype"/>
      <w:noProof/>
      <w:color w:val="000000"/>
      <w:szCs w:val="18"/>
    </w:rPr>
  </w:style>
  <w:style w:type="paragraph" w:styleId="Header">
    <w:name w:val="header"/>
    <w:basedOn w:val="Normal"/>
    <w:link w:val="HeaderChar"/>
    <w:uiPriority w:val="99"/>
    <w:rsid w:val="00FE6943"/>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uiPriority w:val="99"/>
    <w:rsid w:val="00FE6943"/>
    <w:rPr>
      <w:rFonts w:ascii="Palatino Linotype" w:hAnsi="Palatino Linotype"/>
      <w:noProof/>
      <w:color w:val="000000"/>
      <w:szCs w:val="18"/>
    </w:rPr>
  </w:style>
  <w:style w:type="paragraph" w:customStyle="1" w:styleId="MDPIheaderjournallogo">
    <w:name w:val="MDPI_header_journal_logo"/>
    <w:qFormat/>
    <w:rsid w:val="00DC070D"/>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DC070D"/>
    <w:pPr>
      <w:ind w:firstLine="0"/>
    </w:pPr>
  </w:style>
  <w:style w:type="paragraph" w:customStyle="1" w:styleId="MDPI31text">
    <w:name w:val="MDPI_3.1_text"/>
    <w:qFormat/>
    <w:rsid w:val="00DC070D"/>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DC070D"/>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4textspacebefore">
    <w:name w:val="MDPI_3.4_text_space_before"/>
    <w:qFormat/>
    <w:rsid w:val="00DC070D"/>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DC070D"/>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DC070D"/>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DC070D"/>
    <w:pPr>
      <w:numPr>
        <w:numId w:val="24"/>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DC070D"/>
    <w:pPr>
      <w:numPr>
        <w:numId w:val="25"/>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DC070D"/>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DC070D"/>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DC070D"/>
    <w:pPr>
      <w:adjustRightInd w:val="0"/>
      <w:snapToGrid w:val="0"/>
      <w:spacing w:before="240" w:after="120" w:line="228" w:lineRule="auto"/>
      <w:ind w:left="2608"/>
    </w:pPr>
    <w:rPr>
      <w:rFonts w:ascii="Palatino Linotype" w:eastAsia="Times New Roman" w:hAnsi="Palatino Linotype" w:cstheme="minorBidi"/>
      <w:color w:val="000000"/>
      <w:sz w:val="18"/>
      <w:szCs w:val="22"/>
      <w:lang w:eastAsia="de-DE" w:bidi="en-US"/>
    </w:rPr>
  </w:style>
  <w:style w:type="paragraph" w:customStyle="1" w:styleId="MDPI42tablebody">
    <w:name w:val="MDPI_4.2_table_body"/>
    <w:qFormat/>
    <w:rsid w:val="00DC070D"/>
    <w:pPr>
      <w:adjustRightInd w:val="0"/>
      <w:snapToGrid w:val="0"/>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DC070D"/>
    <w:pPr>
      <w:adjustRightInd w:val="0"/>
      <w:snapToGrid w:val="0"/>
      <w:spacing w:line="228" w:lineRule="auto"/>
      <w:ind w:left="2608"/>
      <w:jc w:val="both"/>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DC070D"/>
    <w:pPr>
      <w:adjustRightInd w:val="0"/>
      <w:snapToGrid w:val="0"/>
      <w:spacing w:before="120" w:after="240" w:line="228" w:lineRule="auto"/>
      <w:ind w:left="2608"/>
    </w:pPr>
    <w:rPr>
      <w:rFonts w:ascii="Palatino Linotype" w:eastAsia="Times New Roman" w:hAnsi="Palatino Linotype"/>
      <w:color w:val="000000"/>
      <w:sz w:val="18"/>
      <w:lang w:eastAsia="de-DE" w:bidi="en-US"/>
    </w:rPr>
  </w:style>
  <w:style w:type="paragraph" w:customStyle="1" w:styleId="MDPI52figure">
    <w:name w:val="MDPI_5.2_figure"/>
    <w:qFormat/>
    <w:rsid w:val="00DC070D"/>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81theorem">
    <w:name w:val="MDPI_8.1_theorem"/>
    <w:qFormat/>
    <w:rsid w:val="00DC070D"/>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DC070D"/>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footerfirstpage">
    <w:name w:val="MDPI_footer_firstpage"/>
    <w:qFormat/>
    <w:rsid w:val="00DC070D"/>
    <w:pPr>
      <w:tabs>
        <w:tab w:val="right" w:pos="8845"/>
      </w:tabs>
      <w:spacing w:line="160" w:lineRule="exact"/>
    </w:pPr>
    <w:rPr>
      <w:rFonts w:ascii="Palatino Linotype" w:eastAsia="Times New Roman" w:hAnsi="Palatino Linotype"/>
      <w:color w:val="000000"/>
      <w:sz w:val="16"/>
      <w:lang w:eastAsia="de-DE"/>
    </w:rPr>
  </w:style>
  <w:style w:type="paragraph" w:customStyle="1" w:styleId="MDPI23heading3">
    <w:name w:val="MDPI_2.3_heading3"/>
    <w:qFormat/>
    <w:rsid w:val="00DC070D"/>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DC070D"/>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DC070D"/>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DC070D"/>
    <w:pPr>
      <w:numPr>
        <w:numId w:val="27"/>
      </w:numPr>
      <w:adjustRightInd w:val="0"/>
      <w:snapToGrid w:val="0"/>
      <w:spacing w:line="228" w:lineRule="auto"/>
      <w:jc w:val="both"/>
    </w:pPr>
    <w:rPr>
      <w:rFonts w:ascii="Palatino Linotype" w:eastAsia="Times New Roman" w:hAnsi="Palatino Linotype"/>
      <w:color w:val="000000"/>
      <w:sz w:val="18"/>
      <w:lang w:eastAsia="de-DE" w:bidi="en-US"/>
    </w:rPr>
  </w:style>
  <w:style w:type="paragraph" w:styleId="BalloonText">
    <w:name w:val="Balloon Text"/>
    <w:basedOn w:val="Normal"/>
    <w:link w:val="BalloonTextChar"/>
    <w:uiPriority w:val="99"/>
    <w:rsid w:val="00FE6943"/>
    <w:rPr>
      <w:rFonts w:cs="Tahoma"/>
      <w:szCs w:val="18"/>
    </w:rPr>
  </w:style>
  <w:style w:type="character" w:customStyle="1" w:styleId="BalloonTextChar">
    <w:name w:val="Balloon Text Char"/>
    <w:link w:val="BalloonText"/>
    <w:uiPriority w:val="99"/>
    <w:rsid w:val="00FE6943"/>
    <w:rPr>
      <w:rFonts w:ascii="Palatino Linotype" w:hAnsi="Palatino Linotype" w:cs="Tahoma"/>
      <w:noProof/>
      <w:color w:val="000000"/>
      <w:szCs w:val="18"/>
    </w:rPr>
  </w:style>
  <w:style w:type="character" w:styleId="LineNumber">
    <w:name w:val="line number"/>
    <w:uiPriority w:val="99"/>
    <w:rsid w:val="00F20DC0"/>
    <w:rPr>
      <w:rFonts w:ascii="Palatino Linotype" w:hAnsi="Palatino Linotype"/>
      <w:sz w:val="16"/>
    </w:rPr>
  </w:style>
  <w:style w:type="table" w:customStyle="1" w:styleId="MDPI41threelinetable">
    <w:name w:val="MDPI_4.1_three_line_table"/>
    <w:basedOn w:val="TableNormal"/>
    <w:uiPriority w:val="99"/>
    <w:rsid w:val="00DC070D"/>
    <w:pPr>
      <w:adjustRightInd w:val="0"/>
      <w:snapToGrid w:val="0"/>
      <w:jc w:val="center"/>
    </w:pPr>
    <w:rPr>
      <w:rFonts w:ascii="Palatino Linotype" w:eastAsiaTheme="minorHAnsi" w:hAnsi="Palatino Linotype"/>
      <w:color w:val="000000"/>
      <w:lang w:eastAsia="en-US"/>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FE6943"/>
    <w:rPr>
      <w:color w:val="0000FF"/>
      <w:u w:val="single"/>
    </w:rPr>
  </w:style>
  <w:style w:type="character" w:styleId="UnresolvedMention">
    <w:name w:val="Unresolved Mention"/>
    <w:uiPriority w:val="99"/>
    <w:semiHidden/>
    <w:unhideWhenUsed/>
    <w:rsid w:val="0034278A"/>
    <w:rPr>
      <w:color w:val="605E5C"/>
      <w:shd w:val="clear" w:color="auto" w:fill="E1DFDD"/>
    </w:rPr>
  </w:style>
  <w:style w:type="table" w:styleId="TableGrid">
    <w:name w:val="Table Grid"/>
    <w:basedOn w:val="TableNormal"/>
    <w:uiPriority w:val="59"/>
    <w:rsid w:val="00FE6943"/>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853B85"/>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61Citation">
    <w:name w:val="MDPI_6.1_Citation"/>
    <w:qFormat/>
    <w:rsid w:val="00DC070D"/>
    <w:pPr>
      <w:adjustRightInd w:val="0"/>
      <w:snapToGrid w:val="0"/>
      <w:spacing w:line="240" w:lineRule="atLeast"/>
      <w:ind w:right="113"/>
    </w:pPr>
    <w:rPr>
      <w:rFonts w:ascii="Palatino Linotype" w:hAnsi="Palatino Linotype" w:cs="Cordia New"/>
      <w:sz w:val="14"/>
      <w:szCs w:val="22"/>
      <w:lang w:eastAsia="en-US"/>
    </w:rPr>
  </w:style>
  <w:style w:type="paragraph" w:customStyle="1" w:styleId="MDPI62BackMatter">
    <w:name w:val="MDPI_6.2_BackMatter"/>
    <w:qFormat/>
    <w:rsid w:val="00DC070D"/>
    <w:pPr>
      <w:adjustRightInd w:val="0"/>
      <w:snapToGrid w:val="0"/>
      <w:spacing w:after="120" w:line="228" w:lineRule="auto"/>
      <w:ind w:left="2608"/>
      <w:jc w:val="both"/>
    </w:pPr>
    <w:rPr>
      <w:rFonts w:ascii="Palatino Linotype" w:eastAsia="Times New Roman" w:hAnsi="Palatino Linotype"/>
      <w:snapToGrid w:val="0"/>
      <w:color w:val="000000"/>
      <w:sz w:val="18"/>
      <w:lang w:eastAsia="en-US" w:bidi="en-US"/>
    </w:rPr>
  </w:style>
  <w:style w:type="paragraph" w:customStyle="1" w:styleId="MDPI63Notes">
    <w:name w:val="MDPI_6.3_Notes"/>
    <w:qFormat/>
    <w:rsid w:val="00DC070D"/>
    <w:pPr>
      <w:adjustRightInd w:val="0"/>
      <w:snapToGrid w:val="0"/>
      <w:spacing w:after="120" w:line="240" w:lineRule="atLeast"/>
      <w:ind w:right="113"/>
    </w:pPr>
    <w:rPr>
      <w:rFonts w:ascii="Palatino Linotype" w:hAnsi="Palatino Linotype"/>
      <w:snapToGrid w:val="0"/>
      <w:color w:val="000000"/>
      <w:sz w:val="14"/>
      <w:lang w:eastAsia="en-US" w:bidi="en-US"/>
    </w:rPr>
  </w:style>
  <w:style w:type="paragraph" w:customStyle="1" w:styleId="MDPI15academiceditor">
    <w:name w:val="MDPI_1.5_academic_editor"/>
    <w:qFormat/>
    <w:rsid w:val="00DC070D"/>
    <w:pPr>
      <w:adjustRightInd w:val="0"/>
      <w:snapToGrid w:val="0"/>
      <w:spacing w:before="12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DC070D"/>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DC070D"/>
    <w:pPr>
      <w:adjustRightInd w:val="0"/>
      <w:snapToGrid w:val="0"/>
      <w:spacing w:before="240" w:after="120" w:line="260" w:lineRule="atLeast"/>
      <w:jc w:val="center"/>
    </w:pPr>
    <w:rPr>
      <w:rFonts w:ascii="Palatino Linotype" w:eastAsiaTheme="minorHAnsi" w:hAnsi="Palatino Linotype" w:cstheme="minorBidi"/>
      <w:noProof/>
      <w:color w:val="000000"/>
      <w:sz w:val="18"/>
      <w:szCs w:val="22"/>
      <w:lang w:eastAsia="en-US" w:bidi="en-US"/>
    </w:rPr>
  </w:style>
  <w:style w:type="paragraph" w:customStyle="1" w:styleId="MDPI511onefigurecaption">
    <w:name w:val="MDPI_5.1.1_one_figure_caption"/>
    <w:qFormat/>
    <w:rsid w:val="00DC070D"/>
    <w:pPr>
      <w:adjustRightInd w:val="0"/>
      <w:snapToGrid w:val="0"/>
      <w:spacing w:before="240" w:after="120" w:line="260" w:lineRule="atLeast"/>
      <w:jc w:val="center"/>
    </w:pPr>
    <w:rPr>
      <w:rFonts w:ascii="Palatino Linotype" w:eastAsiaTheme="minorHAnsi" w:hAnsi="Palatino Linotype"/>
      <w:noProof/>
      <w:color w:val="000000"/>
      <w:sz w:val="18"/>
      <w:lang w:eastAsia="en-US" w:bidi="en-US"/>
    </w:rPr>
  </w:style>
  <w:style w:type="paragraph" w:customStyle="1" w:styleId="MDPI72Copyright">
    <w:name w:val="MDPI_7.2_Copyright"/>
    <w:qFormat/>
    <w:rsid w:val="00DC070D"/>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DC070D"/>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DC070D"/>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DC070D"/>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header">
    <w:name w:val="MDPI_header"/>
    <w:qFormat/>
    <w:rsid w:val="00DC070D"/>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DC070D"/>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DC070D"/>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leNormal"/>
    <w:uiPriority w:val="99"/>
    <w:rsid w:val="00DC070D"/>
    <w:rPr>
      <w:rFonts w:ascii="Palatino Linotype" w:hAnsi="Palatino Linotype"/>
      <w:color w:val="000000" w:themeColor="text1"/>
      <w:lang w:val="en-CA" w:eastAsia="en-US"/>
    </w:rPr>
    <w:tblPr>
      <w:tblCellMar>
        <w:left w:w="0" w:type="dxa"/>
        <w:right w:w="0" w:type="dxa"/>
      </w:tblCellMar>
    </w:tblPr>
  </w:style>
  <w:style w:type="paragraph" w:customStyle="1" w:styleId="MDPItext">
    <w:name w:val="MDPI_text"/>
    <w:qFormat/>
    <w:rsid w:val="00DC070D"/>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DC070D"/>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rsid w:val="00FE6943"/>
  </w:style>
  <w:style w:type="paragraph" w:styleId="Bibliography">
    <w:name w:val="Bibliography"/>
    <w:basedOn w:val="Normal"/>
    <w:next w:val="Normal"/>
    <w:uiPriority w:val="37"/>
    <w:semiHidden/>
    <w:unhideWhenUsed/>
    <w:rsid w:val="00FE6943"/>
  </w:style>
  <w:style w:type="paragraph" w:styleId="BodyText">
    <w:name w:val="Body Text"/>
    <w:link w:val="BodyTextChar"/>
    <w:rsid w:val="00FE6943"/>
    <w:pPr>
      <w:spacing w:after="120" w:line="340" w:lineRule="atLeast"/>
      <w:jc w:val="both"/>
    </w:pPr>
    <w:rPr>
      <w:rFonts w:ascii="Palatino Linotype" w:hAnsi="Palatino Linotype"/>
      <w:color w:val="000000"/>
      <w:sz w:val="24"/>
      <w:lang w:eastAsia="de-DE"/>
    </w:rPr>
  </w:style>
  <w:style w:type="character" w:customStyle="1" w:styleId="BodyTextChar">
    <w:name w:val="Body Text Char"/>
    <w:link w:val="BodyText"/>
    <w:rsid w:val="00FE6943"/>
    <w:rPr>
      <w:rFonts w:ascii="Palatino Linotype" w:hAnsi="Palatino Linotype"/>
      <w:color w:val="000000"/>
      <w:sz w:val="24"/>
      <w:lang w:eastAsia="de-DE"/>
    </w:rPr>
  </w:style>
  <w:style w:type="character" w:styleId="CommentReference">
    <w:name w:val="annotation reference"/>
    <w:rsid w:val="00FE6943"/>
    <w:rPr>
      <w:sz w:val="21"/>
      <w:szCs w:val="21"/>
    </w:rPr>
  </w:style>
  <w:style w:type="paragraph" w:styleId="CommentText">
    <w:name w:val="annotation text"/>
    <w:basedOn w:val="Normal"/>
    <w:link w:val="CommentTextChar"/>
    <w:rsid w:val="00FE6943"/>
  </w:style>
  <w:style w:type="character" w:customStyle="1" w:styleId="CommentTextChar">
    <w:name w:val="Comment Text Char"/>
    <w:link w:val="CommentText"/>
    <w:rsid w:val="00FE6943"/>
    <w:rPr>
      <w:rFonts w:ascii="Palatino Linotype" w:hAnsi="Palatino Linotype"/>
      <w:noProof/>
      <w:color w:val="000000"/>
    </w:rPr>
  </w:style>
  <w:style w:type="paragraph" w:styleId="CommentSubject">
    <w:name w:val="annotation subject"/>
    <w:basedOn w:val="CommentText"/>
    <w:next w:val="CommentText"/>
    <w:link w:val="CommentSubjectChar"/>
    <w:rsid w:val="00FE6943"/>
    <w:rPr>
      <w:b/>
      <w:bCs/>
    </w:rPr>
  </w:style>
  <w:style w:type="character" w:customStyle="1" w:styleId="CommentSubjectChar">
    <w:name w:val="Comment Subject Char"/>
    <w:link w:val="CommentSubject"/>
    <w:rsid w:val="00FE6943"/>
    <w:rPr>
      <w:rFonts w:ascii="Palatino Linotype" w:hAnsi="Palatino Linotype"/>
      <w:b/>
      <w:bCs/>
      <w:noProof/>
      <w:color w:val="000000"/>
    </w:rPr>
  </w:style>
  <w:style w:type="character" w:styleId="EndnoteReference">
    <w:name w:val="endnote reference"/>
    <w:rsid w:val="00FE6943"/>
    <w:rPr>
      <w:vertAlign w:val="superscript"/>
    </w:rPr>
  </w:style>
  <w:style w:type="paragraph" w:styleId="EndnoteText">
    <w:name w:val="endnote text"/>
    <w:basedOn w:val="Normal"/>
    <w:link w:val="EndnoteTextChar"/>
    <w:semiHidden/>
    <w:unhideWhenUsed/>
    <w:rsid w:val="00FE6943"/>
    <w:pPr>
      <w:spacing w:line="240" w:lineRule="auto"/>
    </w:pPr>
  </w:style>
  <w:style w:type="character" w:customStyle="1" w:styleId="EndnoteTextChar">
    <w:name w:val="Endnote Text Char"/>
    <w:link w:val="EndnoteText"/>
    <w:semiHidden/>
    <w:rsid w:val="00FE6943"/>
    <w:rPr>
      <w:rFonts w:ascii="Palatino Linotype" w:hAnsi="Palatino Linotype"/>
      <w:noProof/>
      <w:color w:val="000000"/>
    </w:rPr>
  </w:style>
  <w:style w:type="character" w:styleId="FollowedHyperlink">
    <w:name w:val="FollowedHyperlink"/>
    <w:rsid w:val="00FE6943"/>
    <w:rPr>
      <w:color w:val="954F72"/>
      <w:u w:val="single"/>
    </w:rPr>
  </w:style>
  <w:style w:type="paragraph" w:styleId="FootnoteText">
    <w:name w:val="footnote text"/>
    <w:basedOn w:val="Normal"/>
    <w:link w:val="FootnoteTextChar"/>
    <w:semiHidden/>
    <w:unhideWhenUsed/>
    <w:rsid w:val="00FE6943"/>
    <w:pPr>
      <w:spacing w:line="240" w:lineRule="auto"/>
    </w:pPr>
  </w:style>
  <w:style w:type="character" w:customStyle="1" w:styleId="FootnoteTextChar">
    <w:name w:val="Footnote Text Char"/>
    <w:link w:val="FootnoteText"/>
    <w:semiHidden/>
    <w:rsid w:val="00FE6943"/>
    <w:rPr>
      <w:rFonts w:ascii="Palatino Linotype" w:hAnsi="Palatino Linotype"/>
      <w:noProof/>
      <w:color w:val="000000"/>
    </w:rPr>
  </w:style>
  <w:style w:type="paragraph" w:styleId="NormalWeb">
    <w:name w:val="Normal (Web)"/>
    <w:basedOn w:val="Normal"/>
    <w:uiPriority w:val="99"/>
    <w:rsid w:val="00FE6943"/>
    <w:rPr>
      <w:szCs w:val="24"/>
    </w:rPr>
  </w:style>
  <w:style w:type="paragraph" w:customStyle="1" w:styleId="MsoFootnoteText0">
    <w:name w:val="MsoFootnoteText"/>
    <w:basedOn w:val="NormalWeb"/>
    <w:qFormat/>
    <w:rsid w:val="00FE6943"/>
    <w:rPr>
      <w:rFonts w:ascii="Times New Roman" w:hAnsi="Times New Roman"/>
    </w:rPr>
  </w:style>
  <w:style w:type="character" w:styleId="PageNumber">
    <w:name w:val="page number"/>
    <w:rsid w:val="00FE6943"/>
  </w:style>
  <w:style w:type="character" w:styleId="PlaceholderText">
    <w:name w:val="Placeholder Text"/>
    <w:uiPriority w:val="99"/>
    <w:semiHidden/>
    <w:rsid w:val="00FE6943"/>
    <w:rPr>
      <w:color w:val="808080"/>
    </w:rPr>
  </w:style>
  <w:style w:type="paragraph" w:customStyle="1" w:styleId="MDPI71FootNotes">
    <w:name w:val="MDPI_7.1_FootNotes"/>
    <w:qFormat/>
    <w:rsid w:val="00DC070D"/>
    <w:pPr>
      <w:numPr>
        <w:numId w:val="26"/>
      </w:numPr>
      <w:adjustRightInd w:val="0"/>
      <w:snapToGrid w:val="0"/>
      <w:spacing w:line="228" w:lineRule="auto"/>
    </w:pPr>
    <w:rPr>
      <w:rFonts w:ascii="Palatino Linotype" w:eastAsiaTheme="minorHAnsi" w:hAnsi="Palatino Linotype"/>
      <w:noProof/>
      <w:color w:val="000000"/>
      <w:sz w:val="18"/>
      <w:lang w:eastAsia="en-US"/>
    </w:rPr>
  </w:style>
  <w:style w:type="paragraph" w:styleId="Revision">
    <w:name w:val="Revision"/>
    <w:hidden/>
    <w:uiPriority w:val="99"/>
    <w:semiHidden/>
    <w:rsid w:val="00DC070D"/>
    <w:rPr>
      <w:rFonts w:ascii="Palatino Linotype" w:hAnsi="Palatino Linotype"/>
      <w:noProo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haela%20Joita\Desktop\Word%20templates\jcm-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jcm-template</Template>
  <TotalTime>4</TotalTime>
  <Pages>12</Pages>
  <Words>5978</Words>
  <Characters>34076</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39975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MDPI</dc:creator>
  <cp:keywords/>
  <dc:description/>
  <cp:lastModifiedBy>Smith, Lee</cp:lastModifiedBy>
  <cp:revision>2</cp:revision>
  <dcterms:created xsi:type="dcterms:W3CDTF">2023-01-11T10:07:00Z</dcterms:created>
  <dcterms:modified xsi:type="dcterms:W3CDTF">2023-01-11T10:07:00Z</dcterms:modified>
</cp:coreProperties>
</file>