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6735D7" w14:textId="206B5E2B" w:rsidR="00F538A4" w:rsidRPr="0014066D" w:rsidRDefault="000841B0" w:rsidP="00795921">
      <w:pPr>
        <w:pStyle w:val="MDPI11articletype"/>
        <w:rPr>
          <w:lang w:val="en-GB"/>
        </w:rPr>
      </w:pPr>
      <w:r w:rsidRPr="0014066D">
        <w:rPr>
          <w:lang w:val="en-GB"/>
        </w:rPr>
        <w:t>Systematic Review</w:t>
      </w:r>
    </w:p>
    <w:tbl>
      <w:tblPr>
        <w:tblpPr w:leftFromText="198" w:rightFromText="198" w:vertAnchor="page" w:horzAnchor="margin" w:tblpY="9337"/>
        <w:tblW w:w="2410" w:type="dxa"/>
        <w:tblLayout w:type="fixed"/>
        <w:tblCellMar>
          <w:left w:w="0" w:type="dxa"/>
          <w:right w:w="0" w:type="dxa"/>
        </w:tblCellMar>
        <w:tblLook w:val="04A0" w:firstRow="1" w:lastRow="0" w:firstColumn="1" w:lastColumn="0" w:noHBand="0" w:noVBand="1"/>
      </w:tblPr>
      <w:tblGrid>
        <w:gridCol w:w="2410"/>
      </w:tblGrid>
      <w:tr w:rsidR="002D2AF6" w:rsidRPr="0014066D" w14:paraId="335C20D9" w14:textId="77777777" w:rsidTr="00BB425C">
        <w:tc>
          <w:tcPr>
            <w:tcW w:w="2410" w:type="dxa"/>
            <w:shd w:val="clear" w:color="auto" w:fill="auto"/>
          </w:tcPr>
          <w:p w14:paraId="4DEA7725" w14:textId="28FBCE55" w:rsidR="002D2AF6" w:rsidRPr="0014066D" w:rsidRDefault="002D2AF6" w:rsidP="00BB425C">
            <w:pPr>
              <w:pStyle w:val="MDPI61Citation"/>
              <w:rPr>
                <w:lang w:val="en-GB"/>
              </w:rPr>
            </w:pPr>
            <w:r w:rsidRPr="0014066D">
              <w:rPr>
                <w:b/>
                <w:highlight w:val="yellow"/>
                <w:lang w:val="en-GB"/>
              </w:rPr>
              <w:t>Citation:</w:t>
            </w:r>
            <w:r w:rsidRPr="0014066D">
              <w:rPr>
                <w:lang w:val="en-GB"/>
              </w:rPr>
              <w:t xml:space="preserve"> Gawronska, J.; </w:t>
            </w:r>
            <w:r w:rsidRPr="0014066D">
              <w:rPr>
                <w:lang w:val="en-GB"/>
              </w:rPr>
              <w:br/>
              <w:t xml:space="preserve">Koyanagi, A.; López Sánchez, G.F.; Veronese, N.; Ilie, P.C.; Carrie, A.; Smith, L.; Soysal, P. The Prevalence and Indications of Intravenous </w:t>
            </w:r>
            <w:r w:rsidRPr="0014066D">
              <w:rPr>
                <w:lang w:val="en-GB"/>
              </w:rPr>
              <w:br/>
              <w:t xml:space="preserve">Rehydration Therapy in Hospital Settings: A Systematic Review. </w:t>
            </w:r>
            <w:r w:rsidRPr="0014066D">
              <w:rPr>
                <w:lang w:val="en-GB"/>
              </w:rPr>
              <w:br/>
            </w:r>
            <w:proofErr w:type="spellStart"/>
            <w:r w:rsidRPr="0014066D">
              <w:rPr>
                <w:i/>
                <w:lang w:val="en-GB"/>
              </w:rPr>
              <w:t>Epidemiologia</w:t>
            </w:r>
            <w:proofErr w:type="spellEnd"/>
            <w:r w:rsidRPr="0014066D">
              <w:rPr>
                <w:i/>
                <w:lang w:val="en-GB"/>
              </w:rPr>
              <w:t xml:space="preserve"> </w:t>
            </w:r>
            <w:r w:rsidRPr="0014066D">
              <w:rPr>
                <w:b/>
                <w:lang w:val="en-GB"/>
              </w:rPr>
              <w:t>2023</w:t>
            </w:r>
            <w:r w:rsidRPr="0014066D">
              <w:rPr>
                <w:lang w:val="en-GB"/>
              </w:rPr>
              <w:t xml:space="preserve">, </w:t>
            </w:r>
            <w:r w:rsidRPr="0014066D">
              <w:rPr>
                <w:i/>
                <w:lang w:val="en-GB"/>
              </w:rPr>
              <w:t>4</w:t>
            </w:r>
            <w:r w:rsidRPr="0014066D">
              <w:rPr>
                <w:lang w:val="en-GB"/>
              </w:rPr>
              <w:t xml:space="preserve">, </w:t>
            </w:r>
            <w:proofErr w:type="spellStart"/>
            <w:r w:rsidR="006138F9" w:rsidRPr="0014066D">
              <w:rPr>
                <w:lang w:val="en-GB"/>
              </w:rPr>
              <w:t>Firstpage</w:t>
            </w:r>
            <w:proofErr w:type="spellEnd"/>
            <w:r w:rsidR="006138F9" w:rsidRPr="0014066D">
              <w:rPr>
                <w:lang w:val="en-GB"/>
              </w:rPr>
              <w:t>–</w:t>
            </w:r>
            <w:proofErr w:type="spellStart"/>
            <w:r w:rsidR="006138F9" w:rsidRPr="0014066D">
              <w:rPr>
                <w:lang w:val="en-GB"/>
              </w:rPr>
              <w:t>Lastpage</w:t>
            </w:r>
            <w:proofErr w:type="spellEnd"/>
            <w:r w:rsidRPr="0014066D">
              <w:rPr>
                <w:lang w:val="en-GB"/>
              </w:rPr>
              <w:t>. https://doi.org/10.3390/xxxxx</w:t>
            </w:r>
          </w:p>
          <w:p w14:paraId="3A0DB236" w14:textId="77777777" w:rsidR="00EA3A1B" w:rsidRDefault="002D2AF6" w:rsidP="00EA3A1B">
            <w:pPr>
              <w:pStyle w:val="MDPI15academiceditor"/>
              <w:spacing w:after="120"/>
              <w:rPr>
                <w:color w:val="auto"/>
                <w:lang w:val="en-GB"/>
              </w:rPr>
            </w:pPr>
            <w:r w:rsidRPr="00EA3A1B">
              <w:rPr>
                <w:color w:val="auto"/>
                <w:lang w:val="en-GB"/>
              </w:rPr>
              <w:t xml:space="preserve">Academic Editor: </w:t>
            </w:r>
            <w:r w:rsidR="00EA3A1B" w:rsidRPr="00EA3A1B">
              <w:rPr>
                <w:color w:val="auto"/>
                <w:lang w:val="en-GB"/>
              </w:rPr>
              <w:t xml:space="preserve">Francisco </w:t>
            </w:r>
            <w:proofErr w:type="spellStart"/>
            <w:r w:rsidR="00EA3A1B" w:rsidRPr="00EA3A1B">
              <w:rPr>
                <w:color w:val="auto"/>
                <w:lang w:val="en-GB"/>
              </w:rPr>
              <w:t>Guillén-Grima</w:t>
            </w:r>
            <w:proofErr w:type="spellEnd"/>
          </w:p>
          <w:p w14:paraId="3AC266D2" w14:textId="258352D6" w:rsidR="002D2AF6" w:rsidRPr="0014066D" w:rsidRDefault="002D2AF6" w:rsidP="00EA3A1B">
            <w:pPr>
              <w:pStyle w:val="MDPI15academiceditor"/>
              <w:spacing w:after="120"/>
              <w:rPr>
                <w:lang w:val="en-GB"/>
              </w:rPr>
            </w:pPr>
            <w:r w:rsidRPr="0014066D">
              <w:rPr>
                <w:lang w:val="en-GB"/>
              </w:rPr>
              <w:t>Received: 24 November 2022</w:t>
            </w:r>
          </w:p>
          <w:p w14:paraId="4EEF64B3" w14:textId="77777777" w:rsidR="002D2AF6" w:rsidRPr="0014066D" w:rsidRDefault="002D2AF6" w:rsidP="00BB425C">
            <w:pPr>
              <w:pStyle w:val="MDPI14history"/>
              <w:rPr>
                <w:lang w:val="en-GB"/>
              </w:rPr>
            </w:pPr>
            <w:r w:rsidRPr="0014066D">
              <w:rPr>
                <w:lang w:val="en-GB"/>
              </w:rPr>
              <w:t>Revised: 22 December 2022</w:t>
            </w:r>
          </w:p>
          <w:p w14:paraId="50F6FBC5" w14:textId="77777777" w:rsidR="002D2AF6" w:rsidRPr="0014066D" w:rsidRDefault="002D2AF6" w:rsidP="00BB425C">
            <w:pPr>
              <w:pStyle w:val="MDPI14history"/>
              <w:rPr>
                <w:lang w:val="en-GB"/>
              </w:rPr>
            </w:pPr>
            <w:r w:rsidRPr="0014066D">
              <w:rPr>
                <w:lang w:val="en-GB"/>
              </w:rPr>
              <w:t>Accepted: date</w:t>
            </w:r>
          </w:p>
          <w:p w14:paraId="2E259F1E" w14:textId="77777777" w:rsidR="002D2AF6" w:rsidRPr="0014066D" w:rsidRDefault="002D2AF6" w:rsidP="00BB425C">
            <w:pPr>
              <w:pStyle w:val="MDPI14history"/>
              <w:spacing w:after="120"/>
              <w:rPr>
                <w:lang w:val="en-GB"/>
              </w:rPr>
            </w:pPr>
            <w:r w:rsidRPr="0014066D">
              <w:rPr>
                <w:lang w:val="en-GB"/>
              </w:rPr>
              <w:t>Published: date</w:t>
            </w:r>
          </w:p>
          <w:p w14:paraId="7456009C" w14:textId="77777777" w:rsidR="002D2AF6" w:rsidRPr="0014066D" w:rsidRDefault="002D2AF6" w:rsidP="00BB425C">
            <w:pPr>
              <w:adjustRightInd w:val="0"/>
              <w:snapToGrid w:val="0"/>
              <w:spacing w:before="120" w:line="240" w:lineRule="atLeast"/>
              <w:ind w:right="113"/>
              <w:jc w:val="left"/>
              <w:rPr>
                <w:rFonts w:eastAsia="DengXian"/>
                <w:bCs/>
                <w:sz w:val="14"/>
                <w:szCs w:val="14"/>
                <w:lang w:val="en-GB" w:bidi="en-US"/>
              </w:rPr>
            </w:pPr>
            <w:r w:rsidRPr="0014066D">
              <w:rPr>
                <w:rFonts w:eastAsia="DengXian"/>
                <w:noProof/>
                <w:lang w:val="en-GB"/>
              </w:rPr>
              <w:drawing>
                <wp:inline distT="0" distB="0" distL="0" distR="0" wp14:anchorId="706504E3" wp14:editId="6E79736B">
                  <wp:extent cx="692785" cy="249555"/>
                  <wp:effectExtent l="0" t="0" r="0" b="0"/>
                  <wp:docPr id="3" name="Picture 4"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4" descr="A picture containing text, clipar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2785" cy="249555"/>
                          </a:xfrm>
                          <a:prstGeom prst="rect">
                            <a:avLst/>
                          </a:prstGeom>
                          <a:noFill/>
                          <a:ln>
                            <a:noFill/>
                          </a:ln>
                        </pic:spPr>
                      </pic:pic>
                    </a:graphicData>
                  </a:graphic>
                </wp:inline>
              </w:drawing>
            </w:r>
          </w:p>
          <w:p w14:paraId="22626226" w14:textId="77777777" w:rsidR="002D2AF6" w:rsidRPr="0014066D" w:rsidRDefault="002D2AF6" w:rsidP="00BB425C">
            <w:pPr>
              <w:adjustRightInd w:val="0"/>
              <w:snapToGrid w:val="0"/>
              <w:spacing w:before="60" w:line="240" w:lineRule="atLeast"/>
              <w:ind w:right="113"/>
              <w:rPr>
                <w:rFonts w:eastAsia="DengXian"/>
                <w:bCs/>
                <w:color w:val="auto"/>
                <w:sz w:val="14"/>
                <w:szCs w:val="14"/>
                <w:lang w:val="en-GB" w:bidi="en-US"/>
              </w:rPr>
            </w:pPr>
            <w:r w:rsidRPr="0014066D">
              <w:rPr>
                <w:rFonts w:eastAsia="DengXian"/>
                <w:b/>
                <w:bCs/>
                <w:sz w:val="14"/>
                <w:szCs w:val="14"/>
                <w:lang w:val="en-GB" w:bidi="en-US"/>
              </w:rPr>
              <w:t>Copyright:</w:t>
            </w:r>
            <w:r w:rsidRPr="0014066D">
              <w:rPr>
                <w:rFonts w:eastAsia="DengXian"/>
                <w:bCs/>
                <w:sz w:val="14"/>
                <w:szCs w:val="14"/>
                <w:lang w:val="en-GB" w:bidi="en-US"/>
              </w:rPr>
              <w:t xml:space="preserve"> © 2022 by the authors. Submitted for possible open access publication under the terms and conditions of the Creative Commons Attribution (CC BY) license (https://creativecommons.org/licenses/by/4.0/).</w:t>
            </w:r>
          </w:p>
        </w:tc>
      </w:tr>
    </w:tbl>
    <w:p w14:paraId="5C8958A3" w14:textId="0F36A59C" w:rsidR="000841B0" w:rsidRPr="006F225A" w:rsidRDefault="000841B0" w:rsidP="00795921">
      <w:pPr>
        <w:pStyle w:val="MDPI12title"/>
        <w:rPr>
          <w:lang w:val="en-GB"/>
        </w:rPr>
      </w:pPr>
      <w:r w:rsidRPr="006F225A">
        <w:rPr>
          <w:lang w:val="en-GB"/>
        </w:rPr>
        <w:t xml:space="preserve">The </w:t>
      </w:r>
      <w:r w:rsidR="00383494" w:rsidRPr="006F225A">
        <w:rPr>
          <w:lang w:val="en-GB"/>
        </w:rPr>
        <w:t xml:space="preserve">Prevalence </w:t>
      </w:r>
      <w:r w:rsidR="00BE3419" w:rsidRPr="006F225A">
        <w:rPr>
          <w:lang w:val="en-GB"/>
        </w:rPr>
        <w:t xml:space="preserve">and </w:t>
      </w:r>
      <w:r w:rsidR="00383494" w:rsidRPr="006F225A">
        <w:rPr>
          <w:lang w:val="en-GB"/>
        </w:rPr>
        <w:t xml:space="preserve">Indications </w:t>
      </w:r>
      <w:r w:rsidRPr="006F225A">
        <w:rPr>
          <w:lang w:val="en-GB"/>
        </w:rPr>
        <w:t xml:space="preserve">of </w:t>
      </w:r>
      <w:r w:rsidR="00383494" w:rsidRPr="006F225A">
        <w:rPr>
          <w:lang w:val="en-GB"/>
        </w:rPr>
        <w:t xml:space="preserve">Intravenous Rehydration Therapy </w:t>
      </w:r>
      <w:r w:rsidRPr="006F225A">
        <w:rPr>
          <w:lang w:val="en-GB"/>
        </w:rPr>
        <w:t xml:space="preserve">in </w:t>
      </w:r>
      <w:r w:rsidR="00383494" w:rsidRPr="006F225A">
        <w:rPr>
          <w:lang w:val="en-GB"/>
        </w:rPr>
        <w:t>Hospital Settings</w:t>
      </w:r>
      <w:r w:rsidRPr="006F225A">
        <w:rPr>
          <w:lang w:val="en-GB"/>
        </w:rPr>
        <w:t xml:space="preserve">: </w:t>
      </w:r>
      <w:r w:rsidR="00383494" w:rsidRPr="006F225A">
        <w:rPr>
          <w:lang w:val="en-GB"/>
        </w:rPr>
        <w:t>A</w:t>
      </w:r>
      <w:r w:rsidRPr="006F225A">
        <w:rPr>
          <w:lang w:val="en-GB"/>
        </w:rPr>
        <w:t xml:space="preserve"> </w:t>
      </w:r>
      <w:r w:rsidR="00383494" w:rsidRPr="006F225A">
        <w:rPr>
          <w:lang w:val="en-GB"/>
        </w:rPr>
        <w:t>Systematic Review</w:t>
      </w:r>
    </w:p>
    <w:p w14:paraId="1C1A55C2" w14:textId="06184E1B" w:rsidR="00CC4924" w:rsidRPr="006F225A" w:rsidRDefault="000841B0" w:rsidP="00795921">
      <w:pPr>
        <w:pStyle w:val="MDPI13authornames"/>
        <w:rPr>
          <w:lang w:val="en-GB"/>
        </w:rPr>
      </w:pPr>
      <w:r w:rsidRPr="006F225A">
        <w:rPr>
          <w:lang w:val="en-GB"/>
        </w:rPr>
        <w:t>Julia Gawronska</w:t>
      </w:r>
      <w:r w:rsidR="00012B76" w:rsidRPr="006F225A">
        <w:rPr>
          <w:lang w:val="en-GB"/>
        </w:rPr>
        <w:t xml:space="preserve"> </w:t>
      </w:r>
      <w:r w:rsidR="009D07B2" w:rsidRPr="006F225A">
        <w:rPr>
          <w:vertAlign w:val="superscript"/>
          <w:lang w:val="en-GB"/>
        </w:rPr>
        <w:t>1</w:t>
      </w:r>
      <w:r w:rsidRPr="006F225A">
        <w:rPr>
          <w:lang w:val="en-GB"/>
        </w:rPr>
        <w:t>, Ai Koyanagi</w:t>
      </w:r>
      <w:r w:rsidR="00012B76" w:rsidRPr="006F225A">
        <w:rPr>
          <w:lang w:val="en-GB"/>
        </w:rPr>
        <w:t xml:space="preserve"> </w:t>
      </w:r>
      <w:r w:rsidR="009D07B2" w:rsidRPr="006F225A">
        <w:rPr>
          <w:vertAlign w:val="superscript"/>
          <w:lang w:val="en-GB"/>
        </w:rPr>
        <w:t>2,3</w:t>
      </w:r>
      <w:r w:rsidRPr="006F225A">
        <w:rPr>
          <w:lang w:val="en-GB"/>
        </w:rPr>
        <w:t xml:space="preserve">, </w:t>
      </w:r>
      <w:r w:rsidR="009D07B2" w:rsidRPr="006F225A">
        <w:rPr>
          <w:lang w:val="en-GB"/>
        </w:rPr>
        <w:t>Guillermo F. López Sánchez</w:t>
      </w:r>
      <w:r w:rsidR="00012B76" w:rsidRPr="006F225A">
        <w:rPr>
          <w:lang w:val="en-GB"/>
        </w:rPr>
        <w:t xml:space="preserve"> </w:t>
      </w:r>
      <w:r w:rsidR="009D07B2" w:rsidRPr="006F225A">
        <w:rPr>
          <w:vertAlign w:val="superscript"/>
          <w:lang w:val="en-GB"/>
        </w:rPr>
        <w:t>4</w:t>
      </w:r>
      <w:r w:rsidR="009D07B2" w:rsidRPr="006F225A">
        <w:rPr>
          <w:lang w:val="en-GB"/>
        </w:rPr>
        <w:t xml:space="preserve">, </w:t>
      </w:r>
      <w:r w:rsidRPr="006F225A">
        <w:rPr>
          <w:lang w:val="en-GB"/>
        </w:rPr>
        <w:t>Nicola Veronese</w:t>
      </w:r>
      <w:r w:rsidR="00012B76" w:rsidRPr="006F225A">
        <w:rPr>
          <w:lang w:val="en-GB"/>
        </w:rPr>
        <w:t xml:space="preserve"> </w:t>
      </w:r>
      <w:r w:rsidR="009D07B2" w:rsidRPr="006F225A">
        <w:rPr>
          <w:vertAlign w:val="superscript"/>
          <w:lang w:val="en-GB"/>
        </w:rPr>
        <w:t>5</w:t>
      </w:r>
      <w:r w:rsidRPr="006F225A">
        <w:rPr>
          <w:lang w:val="en-GB"/>
        </w:rPr>
        <w:t>, Petre Cristian Ilie</w:t>
      </w:r>
      <w:r w:rsidR="006475E2" w:rsidRPr="006F225A">
        <w:rPr>
          <w:lang w:val="en-GB"/>
        </w:rPr>
        <w:t xml:space="preserve"> </w:t>
      </w:r>
      <w:r w:rsidR="009D07B2" w:rsidRPr="006F225A">
        <w:rPr>
          <w:vertAlign w:val="superscript"/>
          <w:lang w:val="en-GB"/>
        </w:rPr>
        <w:t>6</w:t>
      </w:r>
      <w:r w:rsidRPr="006F225A">
        <w:rPr>
          <w:lang w:val="en-GB"/>
        </w:rPr>
        <w:t xml:space="preserve">, </w:t>
      </w:r>
      <w:r w:rsidR="00280C0A" w:rsidRPr="006F225A">
        <w:rPr>
          <w:lang w:val="en-GB"/>
        </w:rPr>
        <w:br/>
      </w:r>
      <w:r w:rsidRPr="006F225A">
        <w:rPr>
          <w:lang w:val="en-GB"/>
        </w:rPr>
        <w:t>Anne Carrie</w:t>
      </w:r>
      <w:r w:rsidR="006475E2" w:rsidRPr="006F225A">
        <w:rPr>
          <w:lang w:val="en-GB"/>
        </w:rPr>
        <w:t xml:space="preserve"> </w:t>
      </w:r>
      <w:r w:rsidR="00534C73" w:rsidRPr="006F225A">
        <w:rPr>
          <w:vertAlign w:val="superscript"/>
          <w:lang w:val="en-GB"/>
        </w:rPr>
        <w:t>6</w:t>
      </w:r>
      <w:r w:rsidRPr="006F225A">
        <w:rPr>
          <w:lang w:val="en-GB"/>
        </w:rPr>
        <w:t>, Lee Smith</w:t>
      </w:r>
      <w:r w:rsidR="006475E2" w:rsidRPr="006F225A">
        <w:rPr>
          <w:lang w:val="en-GB"/>
        </w:rPr>
        <w:t xml:space="preserve"> </w:t>
      </w:r>
      <w:proofErr w:type="gramStart"/>
      <w:r w:rsidR="00534C73" w:rsidRPr="006F225A">
        <w:rPr>
          <w:vertAlign w:val="superscript"/>
          <w:lang w:val="en-GB"/>
        </w:rPr>
        <w:t>7</w:t>
      </w:r>
      <w:r w:rsidR="006475E2" w:rsidRPr="006F225A">
        <w:rPr>
          <w:vertAlign w:val="superscript"/>
          <w:lang w:val="en-GB"/>
        </w:rPr>
        <w:t>,</w:t>
      </w:r>
      <w:r w:rsidRPr="006F225A">
        <w:rPr>
          <w:lang w:val="en-GB"/>
        </w:rPr>
        <w:t>*</w:t>
      </w:r>
      <w:proofErr w:type="gramEnd"/>
      <w:r w:rsidR="00C374DF" w:rsidRPr="006F225A">
        <w:rPr>
          <w:lang w:val="en-GB"/>
        </w:rPr>
        <w:t xml:space="preserve"> and </w:t>
      </w:r>
      <w:r w:rsidRPr="006F225A">
        <w:rPr>
          <w:lang w:val="en-GB"/>
        </w:rPr>
        <w:t>Pinar Soysal</w:t>
      </w:r>
      <w:r w:rsidR="006475E2" w:rsidRPr="006F225A">
        <w:rPr>
          <w:lang w:val="en-GB"/>
        </w:rPr>
        <w:t xml:space="preserve"> </w:t>
      </w:r>
      <w:r w:rsidR="00534C73" w:rsidRPr="006F225A">
        <w:rPr>
          <w:vertAlign w:val="superscript"/>
          <w:lang w:val="en-GB"/>
        </w:rPr>
        <w:t>8</w:t>
      </w:r>
    </w:p>
    <w:p w14:paraId="36245041" w14:textId="0AFD9763" w:rsidR="00F538A4" w:rsidRPr="006F225A" w:rsidRDefault="00141A32" w:rsidP="0081410D">
      <w:pPr>
        <w:pStyle w:val="MDPI16affiliation"/>
        <w:rPr>
          <w:lang w:val="en-GB"/>
        </w:rPr>
      </w:pPr>
      <w:r w:rsidRPr="006F225A">
        <w:rPr>
          <w:vertAlign w:val="superscript"/>
          <w:lang w:val="en-GB"/>
        </w:rPr>
        <w:t>1</w:t>
      </w:r>
      <w:r w:rsidR="00F538A4" w:rsidRPr="006F225A">
        <w:rPr>
          <w:lang w:val="en-GB"/>
        </w:rPr>
        <w:tab/>
      </w:r>
      <w:r w:rsidR="00A716DF" w:rsidRPr="006F225A">
        <w:rPr>
          <w:lang w:val="en-GB"/>
        </w:rPr>
        <w:t>The Cambridge Centre for Sport and Exercise Science, Anglia Ruskin University, Cambridge CB1 1PT, UK;</w:t>
      </w:r>
      <w:r w:rsidR="00C374DF" w:rsidRPr="006F225A">
        <w:rPr>
          <w:lang w:val="en-GB"/>
        </w:rPr>
        <w:t xml:space="preserve"> </w:t>
      </w:r>
      <w:r w:rsidR="00CE17F9" w:rsidRPr="006F225A">
        <w:rPr>
          <w:lang w:val="en-GB"/>
        </w:rPr>
        <w:t>julia.gawronska@aru.ac.uk</w:t>
      </w:r>
    </w:p>
    <w:p w14:paraId="2A2799D1" w14:textId="1B66D4FB" w:rsidR="00F538A4" w:rsidRPr="006F225A" w:rsidRDefault="00F538A4" w:rsidP="0081410D">
      <w:pPr>
        <w:pStyle w:val="MDPI16affiliation"/>
        <w:rPr>
          <w:lang w:val="en-GB"/>
        </w:rPr>
      </w:pPr>
      <w:r w:rsidRPr="006F225A">
        <w:rPr>
          <w:vertAlign w:val="superscript"/>
          <w:lang w:val="en-GB"/>
        </w:rPr>
        <w:t>2</w:t>
      </w:r>
      <w:r w:rsidRPr="006F225A">
        <w:rPr>
          <w:lang w:val="en-GB"/>
        </w:rPr>
        <w:tab/>
      </w:r>
      <w:r w:rsidR="00AD5CE0" w:rsidRPr="006F225A">
        <w:rPr>
          <w:lang w:val="en-GB"/>
        </w:rPr>
        <w:t xml:space="preserve">Research and Development Unit, Parc </w:t>
      </w:r>
      <w:proofErr w:type="spellStart"/>
      <w:r w:rsidR="00AD5CE0" w:rsidRPr="006F225A">
        <w:rPr>
          <w:lang w:val="en-GB"/>
        </w:rPr>
        <w:t>Sanitari</w:t>
      </w:r>
      <w:proofErr w:type="spellEnd"/>
      <w:r w:rsidR="00AD5CE0" w:rsidRPr="006F225A">
        <w:rPr>
          <w:lang w:val="en-GB"/>
        </w:rPr>
        <w:t xml:space="preserve"> Sant Joan de </w:t>
      </w:r>
      <w:proofErr w:type="spellStart"/>
      <w:r w:rsidR="00AD5CE0" w:rsidRPr="006F225A">
        <w:rPr>
          <w:lang w:val="en-GB"/>
        </w:rPr>
        <w:t>Déu</w:t>
      </w:r>
      <w:proofErr w:type="spellEnd"/>
      <w:r w:rsidR="00AD5CE0" w:rsidRPr="006F225A">
        <w:rPr>
          <w:lang w:val="en-GB"/>
        </w:rPr>
        <w:t xml:space="preserve">, CIBERSAM, ISCIII, </w:t>
      </w:r>
      <w:proofErr w:type="spellStart"/>
      <w:r w:rsidR="00AD5CE0" w:rsidRPr="006F225A">
        <w:rPr>
          <w:lang w:val="en-GB"/>
        </w:rPr>
        <w:t>Dr.</w:t>
      </w:r>
      <w:proofErr w:type="spellEnd"/>
      <w:r w:rsidR="00AD5CE0" w:rsidRPr="006F225A">
        <w:rPr>
          <w:lang w:val="en-GB"/>
        </w:rPr>
        <w:t xml:space="preserve"> Antoni Pujadas, Sant </w:t>
      </w:r>
      <w:proofErr w:type="spellStart"/>
      <w:r w:rsidR="00AD5CE0" w:rsidRPr="006F225A">
        <w:rPr>
          <w:lang w:val="en-GB"/>
        </w:rPr>
        <w:t>Boi</w:t>
      </w:r>
      <w:proofErr w:type="spellEnd"/>
      <w:r w:rsidR="00AD5CE0" w:rsidRPr="006F225A">
        <w:rPr>
          <w:lang w:val="en-GB"/>
        </w:rPr>
        <w:t xml:space="preserve"> de </w:t>
      </w:r>
      <w:proofErr w:type="spellStart"/>
      <w:r w:rsidR="00AD5CE0" w:rsidRPr="006F225A">
        <w:rPr>
          <w:lang w:val="en-GB"/>
        </w:rPr>
        <w:t>Llobregat</w:t>
      </w:r>
      <w:proofErr w:type="spellEnd"/>
      <w:r w:rsidR="00AD5CE0" w:rsidRPr="006F225A">
        <w:rPr>
          <w:lang w:val="en-GB"/>
        </w:rPr>
        <w:t>, Barcelona, Spain</w:t>
      </w:r>
      <w:r w:rsidRPr="006F225A">
        <w:rPr>
          <w:lang w:val="en-GB"/>
        </w:rPr>
        <w:t xml:space="preserve">; </w:t>
      </w:r>
      <w:r w:rsidR="00CE17F9" w:rsidRPr="006F225A">
        <w:rPr>
          <w:lang w:val="en-GB"/>
        </w:rPr>
        <w:t>ai.koyanagi@sjd.es</w:t>
      </w:r>
    </w:p>
    <w:p w14:paraId="4C44B659" w14:textId="23B459D4" w:rsidR="00AD5CE0" w:rsidRPr="006F225A" w:rsidRDefault="00CE17F9" w:rsidP="0081410D">
      <w:pPr>
        <w:pStyle w:val="MDPI16affiliation"/>
        <w:rPr>
          <w:lang w:val="en-GB"/>
        </w:rPr>
      </w:pPr>
      <w:r w:rsidRPr="006F225A">
        <w:rPr>
          <w:vertAlign w:val="superscript"/>
          <w:lang w:val="en-GB"/>
        </w:rPr>
        <w:t>3</w:t>
      </w:r>
      <w:r w:rsidRPr="006F225A">
        <w:rPr>
          <w:lang w:val="en-GB"/>
        </w:rPr>
        <w:tab/>
      </w:r>
      <w:r w:rsidR="00AD5CE0" w:rsidRPr="006F225A">
        <w:rPr>
          <w:lang w:val="en-GB"/>
        </w:rPr>
        <w:t xml:space="preserve">ICREA, Pg. </w:t>
      </w:r>
      <w:proofErr w:type="spellStart"/>
      <w:r w:rsidR="00AD5CE0" w:rsidRPr="006F225A">
        <w:rPr>
          <w:lang w:val="en-GB"/>
        </w:rPr>
        <w:t>Lluis</w:t>
      </w:r>
      <w:proofErr w:type="spellEnd"/>
      <w:r w:rsidR="00AD5CE0" w:rsidRPr="006F225A">
        <w:rPr>
          <w:lang w:val="en-GB"/>
        </w:rPr>
        <w:t xml:space="preserve"> </w:t>
      </w:r>
      <w:proofErr w:type="spellStart"/>
      <w:r w:rsidR="00AD5CE0" w:rsidRPr="006F225A">
        <w:rPr>
          <w:lang w:val="en-GB"/>
        </w:rPr>
        <w:t>Companys</w:t>
      </w:r>
      <w:proofErr w:type="spellEnd"/>
      <w:r w:rsidR="00AD5CE0" w:rsidRPr="006F225A">
        <w:rPr>
          <w:lang w:val="en-GB"/>
        </w:rPr>
        <w:t xml:space="preserve"> 23, 08010 Barcelona, Spain</w:t>
      </w:r>
    </w:p>
    <w:p w14:paraId="031462DB" w14:textId="74D040CD" w:rsidR="00CE17F9" w:rsidRPr="006F225A" w:rsidRDefault="00CE17F9" w:rsidP="0081410D">
      <w:pPr>
        <w:pStyle w:val="MDPI16affiliation"/>
        <w:rPr>
          <w:lang w:val="en-GB"/>
        </w:rPr>
      </w:pPr>
      <w:r w:rsidRPr="006F225A">
        <w:rPr>
          <w:vertAlign w:val="superscript"/>
          <w:lang w:val="en-GB"/>
        </w:rPr>
        <w:t>4</w:t>
      </w:r>
      <w:r w:rsidRPr="006F225A">
        <w:rPr>
          <w:lang w:val="en-GB"/>
        </w:rPr>
        <w:tab/>
        <w:t xml:space="preserve">Division of Preventive Medicine and Public Health, Department of Public Health Sciences, </w:t>
      </w:r>
      <w:r w:rsidR="00A471A5" w:rsidRPr="006F225A">
        <w:rPr>
          <w:lang w:val="en-GB"/>
        </w:rPr>
        <w:br/>
      </w:r>
      <w:r w:rsidRPr="006F225A">
        <w:rPr>
          <w:lang w:val="en-GB"/>
        </w:rPr>
        <w:t>School of Medicine, Univ</w:t>
      </w:r>
      <w:r w:rsidR="00F75B44" w:rsidRPr="006F225A">
        <w:rPr>
          <w:lang w:val="en-GB"/>
        </w:rPr>
        <w:t>ersity of Murcia, Murcia, Spain; gfls@um.es</w:t>
      </w:r>
    </w:p>
    <w:p w14:paraId="40211BF6" w14:textId="0C811A55" w:rsidR="00CE17F9" w:rsidRPr="006F225A" w:rsidRDefault="00CE17F9" w:rsidP="0081410D">
      <w:pPr>
        <w:pStyle w:val="MDPI16affiliation"/>
        <w:rPr>
          <w:lang w:val="en-GB"/>
        </w:rPr>
      </w:pPr>
      <w:r w:rsidRPr="006F225A">
        <w:rPr>
          <w:vertAlign w:val="superscript"/>
          <w:lang w:val="en-GB"/>
        </w:rPr>
        <w:t>5</w:t>
      </w:r>
      <w:r w:rsidR="00445594" w:rsidRPr="006F225A">
        <w:rPr>
          <w:lang w:val="en-GB"/>
        </w:rPr>
        <w:tab/>
      </w:r>
      <w:r w:rsidR="00A471A5" w:rsidRPr="006F225A">
        <w:rPr>
          <w:lang w:val="en-GB"/>
        </w:rPr>
        <w:t xml:space="preserve">Geriatrics Section, Department of Internal Medicine, </w:t>
      </w:r>
      <w:r w:rsidR="00445594" w:rsidRPr="006F225A">
        <w:rPr>
          <w:lang w:val="en-GB"/>
        </w:rPr>
        <w:t>University of Palermo</w:t>
      </w:r>
      <w:r w:rsidR="00F75B44" w:rsidRPr="006F225A">
        <w:rPr>
          <w:lang w:val="en-GB"/>
        </w:rPr>
        <w:t xml:space="preserve">, Palermo, Italy; </w:t>
      </w:r>
      <w:r w:rsidR="00A471A5" w:rsidRPr="006F225A">
        <w:rPr>
          <w:lang w:val="en-GB"/>
        </w:rPr>
        <w:br/>
      </w:r>
      <w:r w:rsidR="00F75B44" w:rsidRPr="006F225A">
        <w:rPr>
          <w:lang w:val="en-GB"/>
        </w:rPr>
        <w:t>ilmannato@gmail.com</w:t>
      </w:r>
    </w:p>
    <w:p w14:paraId="513A933F" w14:textId="77777777" w:rsidR="00CE17F9" w:rsidRPr="006F225A" w:rsidRDefault="00CE17F9" w:rsidP="0081410D">
      <w:pPr>
        <w:pStyle w:val="MDPI16affiliation"/>
        <w:rPr>
          <w:lang w:val="en-GB"/>
        </w:rPr>
      </w:pPr>
      <w:r w:rsidRPr="006F225A">
        <w:rPr>
          <w:vertAlign w:val="superscript"/>
          <w:lang w:val="en-GB"/>
        </w:rPr>
        <w:t>6</w:t>
      </w:r>
      <w:r w:rsidR="0001792A" w:rsidRPr="006F225A">
        <w:rPr>
          <w:lang w:val="en-GB"/>
        </w:rPr>
        <w:tab/>
        <w:t>Research and Innovation Department, The Queen Elizabeth Hospital Fo</w:t>
      </w:r>
      <w:r w:rsidR="00F75B44" w:rsidRPr="006F225A">
        <w:rPr>
          <w:lang w:val="en-GB"/>
        </w:rPr>
        <w:t>undation Trust, King’s Lynn, UK; petre-cristian.ilie@qehkl.nhs.uk</w:t>
      </w:r>
      <w:r w:rsidR="00B91710" w:rsidRPr="006F225A">
        <w:rPr>
          <w:lang w:val="en-GB"/>
        </w:rPr>
        <w:t xml:space="preserve"> (P.C.I.)</w:t>
      </w:r>
      <w:r w:rsidR="00F75B44" w:rsidRPr="006F225A">
        <w:rPr>
          <w:lang w:val="en-GB"/>
        </w:rPr>
        <w:t>; a.carrie@hotmail.fr</w:t>
      </w:r>
      <w:r w:rsidR="00B91710" w:rsidRPr="006F225A">
        <w:rPr>
          <w:lang w:val="en-GB"/>
        </w:rPr>
        <w:t xml:space="preserve"> (A.C.)</w:t>
      </w:r>
    </w:p>
    <w:p w14:paraId="4F2FB16D" w14:textId="34CCA7A7" w:rsidR="00CE17F9" w:rsidRPr="006F225A" w:rsidRDefault="00F75B44" w:rsidP="0081410D">
      <w:pPr>
        <w:pStyle w:val="MDPI16affiliation"/>
        <w:rPr>
          <w:lang w:val="en-GB"/>
        </w:rPr>
      </w:pPr>
      <w:r w:rsidRPr="006F225A">
        <w:rPr>
          <w:vertAlign w:val="superscript"/>
          <w:lang w:val="en-GB"/>
        </w:rPr>
        <w:t>7</w:t>
      </w:r>
      <w:r w:rsidR="00445594" w:rsidRPr="006F225A">
        <w:rPr>
          <w:lang w:val="en-GB"/>
        </w:rPr>
        <w:tab/>
        <w:t>Centre for Health Performance and Wellbeing, Anglia Ruskin University, Cambridge, UK</w:t>
      </w:r>
    </w:p>
    <w:p w14:paraId="73B67EC2" w14:textId="6C6970A7" w:rsidR="00CE17F9" w:rsidRPr="006F225A" w:rsidRDefault="00F75B44" w:rsidP="0081410D">
      <w:pPr>
        <w:pStyle w:val="MDPI16affiliation"/>
        <w:rPr>
          <w:lang w:val="en-GB"/>
        </w:rPr>
      </w:pPr>
      <w:r w:rsidRPr="006F225A">
        <w:rPr>
          <w:vertAlign w:val="superscript"/>
          <w:lang w:val="en-GB"/>
        </w:rPr>
        <w:t>8</w:t>
      </w:r>
      <w:r w:rsidR="00445594" w:rsidRPr="006F225A">
        <w:rPr>
          <w:lang w:val="en-GB"/>
        </w:rPr>
        <w:tab/>
        <w:t xml:space="preserve">Department of Geriatric Medicine, Faculty of Medicine, </w:t>
      </w:r>
      <w:proofErr w:type="spellStart"/>
      <w:r w:rsidR="00445594" w:rsidRPr="006F225A">
        <w:rPr>
          <w:lang w:val="en-GB"/>
        </w:rPr>
        <w:t>Bezmialem</w:t>
      </w:r>
      <w:proofErr w:type="spellEnd"/>
      <w:r w:rsidR="00445594" w:rsidRPr="006F225A">
        <w:rPr>
          <w:lang w:val="en-GB"/>
        </w:rPr>
        <w:t xml:space="preserve"> </w:t>
      </w:r>
      <w:proofErr w:type="spellStart"/>
      <w:r w:rsidR="00445594" w:rsidRPr="006F225A">
        <w:rPr>
          <w:lang w:val="en-GB"/>
        </w:rPr>
        <w:t>Vak</w:t>
      </w:r>
      <w:r w:rsidRPr="006F225A">
        <w:rPr>
          <w:lang w:val="en-GB"/>
        </w:rPr>
        <w:t>if</w:t>
      </w:r>
      <w:proofErr w:type="spellEnd"/>
      <w:r w:rsidRPr="006F225A">
        <w:rPr>
          <w:lang w:val="en-GB"/>
        </w:rPr>
        <w:t xml:space="preserve"> University, Istanbul, Turkey; dr.pinarsoysal@hotmail.com</w:t>
      </w:r>
    </w:p>
    <w:p w14:paraId="3B29C25A" w14:textId="160E6352" w:rsidR="00F538A4" w:rsidRPr="006F225A" w:rsidRDefault="0081410D" w:rsidP="0081410D">
      <w:pPr>
        <w:pStyle w:val="MDPI16affiliation"/>
        <w:rPr>
          <w:lang w:val="en-GB"/>
        </w:rPr>
      </w:pPr>
      <w:r w:rsidRPr="006F225A">
        <w:rPr>
          <w:b/>
          <w:lang w:val="en-GB"/>
        </w:rPr>
        <w:t>*</w:t>
      </w:r>
      <w:r w:rsidRPr="006F225A">
        <w:rPr>
          <w:lang w:val="en-GB"/>
        </w:rPr>
        <w:tab/>
        <w:t xml:space="preserve">Correspondence: </w:t>
      </w:r>
      <w:r w:rsidR="00CE17F9" w:rsidRPr="006F225A">
        <w:rPr>
          <w:lang w:val="en-GB"/>
        </w:rPr>
        <w:t>Lee.Smith@aru.ac.uk</w:t>
      </w:r>
    </w:p>
    <w:p w14:paraId="4C11C37F" w14:textId="403C0B7E" w:rsidR="00F538A4" w:rsidRPr="006F225A" w:rsidRDefault="00F538A4" w:rsidP="0081410D">
      <w:pPr>
        <w:pStyle w:val="MDPI17abstract"/>
        <w:rPr>
          <w:lang w:val="en-GB"/>
        </w:rPr>
      </w:pPr>
      <w:r w:rsidRPr="006F225A">
        <w:rPr>
          <w:b/>
          <w:lang w:val="en-GB"/>
        </w:rPr>
        <w:t xml:space="preserve">Abstract: </w:t>
      </w:r>
      <w:r w:rsidR="000841B0" w:rsidRPr="006F225A">
        <w:rPr>
          <w:lang w:val="en-GB"/>
        </w:rPr>
        <w:t>(1) Objective: We performed a systematic review to explore the prevalence of intravenous (IV) rehydration therapy in hospital settings, and we assessed it by patient groups and populations</w:t>
      </w:r>
      <w:r w:rsidR="0014066D" w:rsidRPr="006F225A">
        <w:rPr>
          <w:lang w:val="en-GB"/>
        </w:rPr>
        <w:t>.</w:t>
      </w:r>
      <w:r w:rsidR="000841B0" w:rsidRPr="006F225A">
        <w:rPr>
          <w:lang w:val="en-GB"/>
        </w:rPr>
        <w:t xml:space="preserve"> (2) Methods: A systematic review of major databases and grey literature was undertaken from inception to 28</w:t>
      </w:r>
      <w:r w:rsidR="002F7493" w:rsidRPr="006F225A">
        <w:rPr>
          <w:lang w:val="en-GB"/>
        </w:rPr>
        <w:t xml:space="preserve"> March </w:t>
      </w:r>
      <w:r w:rsidR="000841B0" w:rsidRPr="006F225A">
        <w:rPr>
          <w:lang w:val="en-GB"/>
        </w:rPr>
        <w:t>2022. Studies reporting prevalence of IV rehydration therapy in a hospital setting were identified. The data w</w:t>
      </w:r>
      <w:r w:rsidR="0014066D" w:rsidRPr="006F225A">
        <w:rPr>
          <w:lang w:val="en-GB"/>
        </w:rPr>
        <w:t>ere</w:t>
      </w:r>
      <w:r w:rsidR="000841B0" w:rsidRPr="006F225A">
        <w:rPr>
          <w:lang w:val="en-GB"/>
        </w:rPr>
        <w:t xml:space="preserve"> synthesised in a narrative approach</w:t>
      </w:r>
      <w:r w:rsidR="0014066D" w:rsidRPr="006F225A">
        <w:rPr>
          <w:lang w:val="en-GB"/>
        </w:rPr>
        <w:t>.</w:t>
      </w:r>
      <w:r w:rsidR="000841B0" w:rsidRPr="006F225A">
        <w:rPr>
          <w:lang w:val="en-GB"/>
        </w:rPr>
        <w:t xml:space="preserve"> (3) Results: </w:t>
      </w:r>
      <w:r w:rsidR="0014066D" w:rsidRPr="006F225A">
        <w:rPr>
          <w:lang w:val="en-GB"/>
        </w:rPr>
        <w:t xml:space="preserve">Overall, </w:t>
      </w:r>
      <w:r w:rsidR="000841B0" w:rsidRPr="006F225A">
        <w:rPr>
          <w:lang w:val="en-GB"/>
        </w:rPr>
        <w:t xml:space="preserve">29 papers met the inclusion criteria. </w:t>
      </w:r>
      <w:bookmarkStart w:id="0" w:name="_Hlk121986503"/>
      <w:r w:rsidR="000841B0" w:rsidRPr="006F225A">
        <w:rPr>
          <w:lang w:val="en-GB"/>
        </w:rPr>
        <w:t>The prevalence of IV rehydration therapy in paediatric patients ranged from 4.5%</w:t>
      </w:r>
      <w:r w:rsidR="00CA11BE" w:rsidRPr="006F225A">
        <w:rPr>
          <w:lang w:val="en-GB"/>
        </w:rPr>
        <w:t xml:space="preserve"> (hospitalised with </w:t>
      </w:r>
      <w:r w:rsidR="005F4355" w:rsidRPr="006F225A">
        <w:rPr>
          <w:lang w:val="en-GB"/>
        </w:rPr>
        <w:t>diarrhoea</w:t>
      </w:r>
      <w:r w:rsidR="00CA11BE" w:rsidRPr="006F225A">
        <w:rPr>
          <w:lang w:val="en-GB"/>
        </w:rPr>
        <w:t xml:space="preserve"> and dehydration)</w:t>
      </w:r>
      <w:r w:rsidR="000841B0" w:rsidRPr="006F225A">
        <w:rPr>
          <w:lang w:val="en-GB"/>
        </w:rPr>
        <w:t xml:space="preserve"> to 100%</w:t>
      </w:r>
      <w:r w:rsidR="00CA11BE" w:rsidRPr="006F225A">
        <w:rPr>
          <w:lang w:val="en-GB"/>
        </w:rPr>
        <w:t xml:space="preserve"> (admitted to the emergency department with mild to moderate dehydration caused by viral gastroenteritis),</w:t>
      </w:r>
      <w:r w:rsidR="000841B0" w:rsidRPr="006F225A">
        <w:rPr>
          <w:lang w:val="en-GB"/>
        </w:rPr>
        <w:t xml:space="preserve"> and in adults this ranged from 1.5%</w:t>
      </w:r>
      <w:r w:rsidR="009A0705" w:rsidRPr="006F225A">
        <w:rPr>
          <w:lang w:val="en-GB"/>
        </w:rPr>
        <w:t xml:space="preserve"> (had single substance ingestion of modafinil)</w:t>
      </w:r>
      <w:r w:rsidR="000841B0" w:rsidRPr="006F225A">
        <w:rPr>
          <w:lang w:val="en-GB"/>
        </w:rPr>
        <w:t xml:space="preserve"> to 100%</w:t>
      </w:r>
      <w:r w:rsidR="009A0705" w:rsidRPr="006F225A">
        <w:rPr>
          <w:lang w:val="en-GB"/>
        </w:rPr>
        <w:t xml:space="preserve"> (hospitalised with hypercalcemia)</w:t>
      </w:r>
      <w:r w:rsidR="000841B0" w:rsidRPr="006F225A">
        <w:rPr>
          <w:lang w:val="en-GB"/>
        </w:rPr>
        <w:t xml:space="preserve">. </w:t>
      </w:r>
      <w:bookmarkEnd w:id="0"/>
      <w:r w:rsidR="000841B0" w:rsidRPr="006F225A">
        <w:rPr>
          <w:lang w:val="en-GB"/>
        </w:rPr>
        <w:t xml:space="preserve">The most common indication for IV rehydration therapy in </w:t>
      </w:r>
      <w:r w:rsidR="00A22CD3" w:rsidRPr="006F225A">
        <w:rPr>
          <w:lang w:val="en-GB"/>
        </w:rPr>
        <w:t>paediatric</w:t>
      </w:r>
      <w:r w:rsidR="000841B0" w:rsidRPr="006F225A">
        <w:rPr>
          <w:lang w:val="en-GB"/>
        </w:rPr>
        <w:t xml:space="preserve"> patients was dehydration due to fluid loss from the gastrointestinal tract. Other causes included malnutrition, neuromuscular disease, bronchiolitis, and influenza. In adults, indications for IV rehydration therapy were much more diverse: fever, </w:t>
      </w:r>
      <w:r w:rsidR="00A22CD3" w:rsidRPr="006F225A">
        <w:rPr>
          <w:lang w:val="en-GB"/>
        </w:rPr>
        <w:t>diarrhoea</w:t>
      </w:r>
      <w:r w:rsidR="000841B0" w:rsidRPr="006F225A">
        <w:rPr>
          <w:lang w:val="en-GB"/>
        </w:rPr>
        <w:t xml:space="preserve">, drug intoxication, hypercalcemia, cancer, and postural tachycardia syndrome; (4) Conclusion: This systematic review showed that IV rehydration therapy in paediatric patients is often used to treat dehydration and </w:t>
      </w:r>
      <w:r w:rsidR="00A22CD3" w:rsidRPr="006F225A">
        <w:rPr>
          <w:lang w:val="en-GB"/>
        </w:rPr>
        <w:t>diarrhoea</w:t>
      </w:r>
      <w:r w:rsidR="000841B0" w:rsidRPr="006F225A">
        <w:rPr>
          <w:lang w:val="en-GB"/>
        </w:rPr>
        <w:t>, while in adults it has a broader spectrum of use. While IV rehydration therapy is important in correcting fluid problems and electrolyte status, the maintenance fluid prescribing practices vary considerably, and guidelines are scarce</w:t>
      </w:r>
      <w:r w:rsidR="00BB425C" w:rsidRPr="006F225A">
        <w:rPr>
          <w:lang w:val="en-GB"/>
        </w:rPr>
        <w:t>.</w:t>
      </w:r>
    </w:p>
    <w:p w14:paraId="6085BFF1" w14:textId="117B1A7A" w:rsidR="00F538A4" w:rsidRPr="006F225A" w:rsidRDefault="0081410D" w:rsidP="0081410D">
      <w:pPr>
        <w:pStyle w:val="MDPI18keywords"/>
        <w:rPr>
          <w:lang w:val="en-GB"/>
        </w:rPr>
      </w:pPr>
      <w:r w:rsidRPr="006F225A">
        <w:rPr>
          <w:b/>
          <w:lang w:val="en-GB"/>
        </w:rPr>
        <w:t>Keywords:</w:t>
      </w:r>
      <w:r w:rsidR="00F538A4" w:rsidRPr="006F225A">
        <w:rPr>
          <w:b/>
          <w:lang w:val="en-GB"/>
        </w:rPr>
        <w:t xml:space="preserve"> </w:t>
      </w:r>
      <w:r w:rsidR="002F7493" w:rsidRPr="006F225A">
        <w:rPr>
          <w:lang w:val="en-GB"/>
        </w:rPr>
        <w:t xml:space="preserve">intravenous </w:t>
      </w:r>
      <w:r w:rsidR="00DD3105" w:rsidRPr="006F225A">
        <w:rPr>
          <w:lang w:val="en-GB"/>
        </w:rPr>
        <w:t>fluids therapy</w:t>
      </w:r>
      <w:r w:rsidR="00C374DF" w:rsidRPr="006F225A">
        <w:rPr>
          <w:lang w:val="en-GB"/>
        </w:rPr>
        <w:t xml:space="preserve">; </w:t>
      </w:r>
      <w:r w:rsidR="00DD3105" w:rsidRPr="006F225A">
        <w:rPr>
          <w:lang w:val="en-GB"/>
        </w:rPr>
        <w:t>IV rehydration</w:t>
      </w:r>
      <w:r w:rsidR="00C374DF" w:rsidRPr="006F225A">
        <w:rPr>
          <w:lang w:val="en-GB"/>
        </w:rPr>
        <w:t xml:space="preserve">; </w:t>
      </w:r>
      <w:r w:rsidR="002F7493" w:rsidRPr="006F225A">
        <w:rPr>
          <w:lang w:val="en-GB"/>
        </w:rPr>
        <w:t xml:space="preserve">paediatric </w:t>
      </w:r>
      <w:r w:rsidR="00DD3105" w:rsidRPr="006F225A">
        <w:rPr>
          <w:lang w:val="en-GB"/>
        </w:rPr>
        <w:t>patients</w:t>
      </w:r>
      <w:r w:rsidR="00C374DF" w:rsidRPr="006F225A">
        <w:rPr>
          <w:lang w:val="en-GB"/>
        </w:rPr>
        <w:t xml:space="preserve">; </w:t>
      </w:r>
      <w:r w:rsidR="002F7493" w:rsidRPr="006F225A">
        <w:rPr>
          <w:lang w:val="en-GB"/>
        </w:rPr>
        <w:t xml:space="preserve">adult </w:t>
      </w:r>
      <w:r w:rsidR="00DD3105" w:rsidRPr="006F225A">
        <w:rPr>
          <w:lang w:val="en-GB"/>
        </w:rPr>
        <w:t>patients</w:t>
      </w:r>
    </w:p>
    <w:p w14:paraId="06217478" w14:textId="77777777" w:rsidR="00F538A4" w:rsidRPr="006F225A" w:rsidRDefault="00F538A4" w:rsidP="0081410D">
      <w:pPr>
        <w:pStyle w:val="MDPI19line"/>
        <w:pBdr>
          <w:bottom w:val="single" w:sz="4" w:space="1" w:color="000000"/>
        </w:pBdr>
        <w:rPr>
          <w:lang w:val="en-GB"/>
        </w:rPr>
      </w:pPr>
    </w:p>
    <w:p w14:paraId="4C7DD2FE" w14:textId="62F7C2A8" w:rsidR="00F538A4" w:rsidRPr="006F225A" w:rsidRDefault="0081410D" w:rsidP="0081410D">
      <w:pPr>
        <w:pStyle w:val="MDPI21heading1"/>
        <w:rPr>
          <w:lang w:val="en-GB"/>
        </w:rPr>
      </w:pPr>
      <w:r w:rsidRPr="006F225A">
        <w:rPr>
          <w:lang w:val="en-GB"/>
        </w:rPr>
        <w:t xml:space="preserve">1. </w:t>
      </w:r>
      <w:r w:rsidR="00F538A4" w:rsidRPr="006F225A">
        <w:rPr>
          <w:lang w:val="en-GB"/>
        </w:rPr>
        <w:t>Introduction</w:t>
      </w:r>
    </w:p>
    <w:p w14:paraId="12144B58" w14:textId="3295C168" w:rsidR="00BD11E9" w:rsidRPr="006F225A" w:rsidRDefault="00BD11E9" w:rsidP="0081410D">
      <w:pPr>
        <w:pStyle w:val="MDPI31text"/>
        <w:rPr>
          <w:b/>
          <w:lang w:val="en-GB"/>
        </w:rPr>
      </w:pPr>
      <w:r w:rsidRPr="006F225A">
        <w:rPr>
          <w:lang w:val="en-GB"/>
        </w:rPr>
        <w:t xml:space="preserve">Intravenous (IV) rehydration therapy is widely used to prevent or correct problems with fluid and electrolyte status when oral administration is not possible, or it is impaired </w:t>
      </w:r>
      <w:r w:rsidR="00861746" w:rsidRPr="006F225A">
        <w:rPr>
          <w:lang w:val="en-GB"/>
        </w:rPr>
        <w:t>[1]</w:t>
      </w:r>
      <w:r w:rsidRPr="006F225A">
        <w:rPr>
          <w:lang w:val="en-GB"/>
        </w:rPr>
        <w:t xml:space="preserve">. IV fluids enter the bloodstream directly, bypassing the waiting time associated with oral rehydration. Fluid loss can be caused by surgery, accident, or common conditions such as fever, vomiting, and </w:t>
      </w:r>
      <w:r w:rsidR="00A22CD3" w:rsidRPr="006F225A">
        <w:rPr>
          <w:lang w:val="en-GB"/>
        </w:rPr>
        <w:t>diarrhoea</w:t>
      </w:r>
      <w:r w:rsidRPr="006F225A">
        <w:rPr>
          <w:lang w:val="en-GB"/>
        </w:rPr>
        <w:t>. Moreover, in some cases requiring hospitali</w:t>
      </w:r>
      <w:r w:rsidR="00A22CD3" w:rsidRPr="006F225A">
        <w:rPr>
          <w:lang w:val="en-GB"/>
        </w:rPr>
        <w:t>sation</w:t>
      </w:r>
      <w:r w:rsidRPr="006F225A">
        <w:rPr>
          <w:lang w:val="en-GB"/>
        </w:rPr>
        <w:t xml:space="preserve"> </w:t>
      </w:r>
      <w:r w:rsidRPr="006F225A">
        <w:rPr>
          <w:lang w:val="en-GB"/>
        </w:rPr>
        <w:lastRenderedPageBreak/>
        <w:t xml:space="preserve">such as acute renal failure, hyponatremia, hypercalcemia, acute pancreatitis, and sepsis, which are more common in adults, IV rehydration is the most important part of the treatment and can be lifesaving, even if there is no loss of fluid </w:t>
      </w:r>
      <w:r w:rsidR="00861746" w:rsidRPr="006F225A">
        <w:rPr>
          <w:lang w:val="en-GB"/>
        </w:rPr>
        <w:t>[2,3]</w:t>
      </w:r>
      <w:r w:rsidRPr="006F225A">
        <w:rPr>
          <w:lang w:val="en-GB"/>
        </w:rPr>
        <w:t xml:space="preserve">. In addition, IV hydration is used to maintain hydration in </w:t>
      </w:r>
      <w:r w:rsidR="005F4355" w:rsidRPr="006F225A">
        <w:rPr>
          <w:lang w:val="en-GB"/>
        </w:rPr>
        <w:t>paediatric</w:t>
      </w:r>
      <w:r w:rsidRPr="006F225A">
        <w:rPr>
          <w:lang w:val="en-GB"/>
        </w:rPr>
        <w:t xml:space="preserve"> and adult cancer patients or terminal care patients who do not have adequate oral intake </w:t>
      </w:r>
      <w:r w:rsidR="00861746" w:rsidRPr="006F225A">
        <w:rPr>
          <w:lang w:val="en-GB"/>
        </w:rPr>
        <w:t>[4]</w:t>
      </w:r>
      <w:r w:rsidRPr="006F225A">
        <w:rPr>
          <w:lang w:val="en-GB"/>
        </w:rPr>
        <w:t>. Therefore, IV rehydration therapy has a wide range of uses.</w:t>
      </w:r>
    </w:p>
    <w:p w14:paraId="2F9B261E" w14:textId="797357FA" w:rsidR="00BD11E9" w:rsidRPr="006F225A" w:rsidRDefault="00BD11E9" w:rsidP="0081410D">
      <w:pPr>
        <w:pStyle w:val="MDPI31text"/>
        <w:rPr>
          <w:lang w:val="en-GB"/>
        </w:rPr>
      </w:pPr>
      <w:r w:rsidRPr="006F225A">
        <w:rPr>
          <w:lang w:val="en-GB"/>
        </w:rPr>
        <w:t>IV rehydration therapy is the procedure by which a specially formulated IV solution is administrated through a tube attached to a needle</w:t>
      </w:r>
      <w:r w:rsidR="005F4355" w:rsidRPr="006F225A">
        <w:rPr>
          <w:lang w:val="en-GB"/>
        </w:rPr>
        <w:t>,</w:t>
      </w:r>
      <w:r w:rsidRPr="006F225A">
        <w:rPr>
          <w:lang w:val="en-GB"/>
        </w:rPr>
        <w:t xml:space="preserve"> which is inserted into a vein. IV solutions contain small amounts of salt (sodium chloride) or sugar (dextrose, glucose</w:t>
      </w:r>
      <w:r w:rsidR="005F4355" w:rsidRPr="006F225A">
        <w:rPr>
          <w:lang w:val="en-GB"/>
        </w:rPr>
        <w:t>,</w:t>
      </w:r>
      <w:r w:rsidRPr="006F225A">
        <w:rPr>
          <w:lang w:val="en-GB"/>
        </w:rPr>
        <w:t xml:space="preserve"> or levulose) that are dissolved in sterile water </w:t>
      </w:r>
      <w:r w:rsidR="00861746" w:rsidRPr="006F225A">
        <w:rPr>
          <w:lang w:val="en-GB"/>
        </w:rPr>
        <w:t>[1]</w:t>
      </w:r>
      <w:r w:rsidRPr="006F225A">
        <w:rPr>
          <w:lang w:val="en-GB"/>
        </w:rPr>
        <w:t xml:space="preserve">. One of the most used IV fluids is 0.9% normal saline that contains sterile water and 0.9% sodium chloride. IV rehydration therapy is a simple and effective way of supplying fluids directly into the intravascular fluid compartment. However, an interprofessional team approach is sometimes required to achieve optimum fluid balance for patients </w:t>
      </w:r>
      <w:r w:rsidR="00861746" w:rsidRPr="006F225A">
        <w:rPr>
          <w:lang w:val="en-GB"/>
        </w:rPr>
        <w:t>[5]</w:t>
      </w:r>
      <w:r w:rsidRPr="006F225A">
        <w:rPr>
          <w:lang w:val="en-GB"/>
        </w:rPr>
        <w:t>. The type, amount, and infusion rate of IV rehydration therapy may vary according to body composition, dehydration level, and cardiac output status of each patient, a</w:t>
      </w:r>
      <w:r w:rsidR="005F4355" w:rsidRPr="006F225A">
        <w:rPr>
          <w:lang w:val="en-GB"/>
        </w:rPr>
        <w:t>s well as</w:t>
      </w:r>
      <w:r w:rsidRPr="006F225A">
        <w:rPr>
          <w:lang w:val="en-GB"/>
        </w:rPr>
        <w:t xml:space="preserve"> clinical and hemodynamic parameters such as daily urine output or blood pressure. Therefore, fluid prescription may be difficult, especially in patients with impaired homeostatic mechanisms, such as those with renal or heart failure, or in patients with ongoing excessive losses (e.g., </w:t>
      </w:r>
      <w:proofErr w:type="gramStart"/>
      <w:r w:rsidRPr="006F225A">
        <w:rPr>
          <w:lang w:val="en-GB"/>
        </w:rPr>
        <w:t>as a result of</w:t>
      </w:r>
      <w:proofErr w:type="gramEnd"/>
      <w:r w:rsidRPr="006F225A">
        <w:rPr>
          <w:lang w:val="en-GB"/>
        </w:rPr>
        <w:t xml:space="preserve"> </w:t>
      </w:r>
      <w:r w:rsidR="005F4355" w:rsidRPr="006F225A">
        <w:rPr>
          <w:lang w:val="en-GB"/>
        </w:rPr>
        <w:t>diarrhoea</w:t>
      </w:r>
      <w:r w:rsidRPr="006F225A">
        <w:rPr>
          <w:lang w:val="en-GB"/>
        </w:rPr>
        <w:t xml:space="preserve">) </w:t>
      </w:r>
      <w:r w:rsidR="00861746" w:rsidRPr="006F225A">
        <w:rPr>
          <w:lang w:val="en-GB"/>
        </w:rPr>
        <w:t>[6]</w:t>
      </w:r>
      <w:r w:rsidRPr="006F225A">
        <w:rPr>
          <w:lang w:val="en-GB"/>
        </w:rPr>
        <w:t>. Moreover, incorrect management of fluid assessment and monitoring is associated with adverse outcomes such as hyponatremia</w:t>
      </w:r>
      <w:r w:rsidR="00072471" w:rsidRPr="006F225A">
        <w:rPr>
          <w:lang w:val="en-GB"/>
        </w:rPr>
        <w:t xml:space="preserve"> (sodium concentration of less than 135 mmol/L (135 </w:t>
      </w:r>
      <w:proofErr w:type="spellStart"/>
      <w:r w:rsidR="00072471" w:rsidRPr="006F225A">
        <w:rPr>
          <w:lang w:val="en-GB"/>
        </w:rPr>
        <w:t>mEq</w:t>
      </w:r>
      <w:proofErr w:type="spellEnd"/>
      <w:r w:rsidR="00072471" w:rsidRPr="006F225A">
        <w:rPr>
          <w:lang w:val="en-GB"/>
        </w:rPr>
        <w:t>/L))</w:t>
      </w:r>
      <w:r w:rsidRPr="006F225A">
        <w:rPr>
          <w:lang w:val="en-GB"/>
        </w:rPr>
        <w:t>, fluid overload</w:t>
      </w:r>
      <w:r w:rsidR="005F4355" w:rsidRPr="006F225A">
        <w:rPr>
          <w:lang w:val="en-GB"/>
        </w:rPr>
        <w:t>,</w:t>
      </w:r>
      <w:r w:rsidRPr="006F225A">
        <w:rPr>
          <w:lang w:val="en-GB"/>
        </w:rPr>
        <w:t xml:space="preserve"> and hyperchloremic acidosis</w:t>
      </w:r>
      <w:r w:rsidR="00072471" w:rsidRPr="006F225A">
        <w:rPr>
          <w:lang w:val="en-GB"/>
        </w:rPr>
        <w:t xml:space="preserve"> (pH less than 7.35 develops with an increase in ionic chloride)</w:t>
      </w:r>
      <w:r w:rsidRPr="006F225A">
        <w:rPr>
          <w:lang w:val="en-GB"/>
        </w:rPr>
        <w:t xml:space="preserve"> due to inappropriate fluid composition and/or infusion rates/volumes </w:t>
      </w:r>
      <w:r w:rsidR="00861746" w:rsidRPr="006F225A">
        <w:rPr>
          <w:lang w:val="en-GB"/>
        </w:rPr>
        <w:t>[2]</w:t>
      </w:r>
      <w:r w:rsidRPr="006F225A">
        <w:rPr>
          <w:lang w:val="en-GB"/>
        </w:rPr>
        <w:t xml:space="preserve">. For example, despite the obvious benefits of IV fluid therapy, excessive fluid administration may lead to various complications </w:t>
      </w:r>
      <w:r w:rsidR="00861746" w:rsidRPr="006F225A">
        <w:rPr>
          <w:lang w:val="en-GB"/>
        </w:rPr>
        <w:t>[7]</w:t>
      </w:r>
      <w:r w:rsidRPr="006F225A">
        <w:rPr>
          <w:lang w:val="en-GB"/>
        </w:rPr>
        <w:t xml:space="preserve">. High volumes of IV fluids may be retained in the interstitial space, causing interstitial </w:t>
      </w:r>
      <w:r w:rsidR="005F4355" w:rsidRPr="006F225A">
        <w:rPr>
          <w:lang w:val="en-GB"/>
        </w:rPr>
        <w:t>oedema</w:t>
      </w:r>
      <w:r w:rsidRPr="006F225A">
        <w:rPr>
          <w:lang w:val="en-GB"/>
        </w:rPr>
        <w:t xml:space="preserve">, impaired organ perfusion, possibly acute pulmonary </w:t>
      </w:r>
      <w:r w:rsidR="005F4355" w:rsidRPr="006F225A">
        <w:rPr>
          <w:lang w:val="en-GB"/>
        </w:rPr>
        <w:t>oedema</w:t>
      </w:r>
      <w:r w:rsidRPr="006F225A">
        <w:rPr>
          <w:lang w:val="en-GB"/>
        </w:rPr>
        <w:t xml:space="preserve">, and increased mortality </w:t>
      </w:r>
      <w:r w:rsidR="00861746" w:rsidRPr="006F225A">
        <w:rPr>
          <w:lang w:val="en-GB"/>
        </w:rPr>
        <w:t>[7]</w:t>
      </w:r>
      <w:r w:rsidRPr="006F225A">
        <w:rPr>
          <w:lang w:val="en-GB"/>
        </w:rPr>
        <w:t xml:space="preserve">. Optimal fluid status not only shortens hospital stay, but may also reduce the incidence of postoperative complications, mortality, </w:t>
      </w:r>
      <w:r w:rsidR="005F4355" w:rsidRPr="006F225A">
        <w:rPr>
          <w:lang w:val="en-GB"/>
        </w:rPr>
        <w:t xml:space="preserve">and </w:t>
      </w:r>
      <w:r w:rsidRPr="006F225A">
        <w:rPr>
          <w:lang w:val="en-GB"/>
        </w:rPr>
        <w:t>ad</w:t>
      </w:r>
      <w:r w:rsidRPr="006F225A">
        <w:rPr>
          <w:spacing w:val="-2"/>
          <w:lang w:val="en-GB"/>
        </w:rPr>
        <w:t xml:space="preserve">verse outcomes related to dehydration, such as acute confusion, constipation, urinary tract infections, fatigue, falls, and delayed wound healing, particularly in older adults </w:t>
      </w:r>
      <w:r w:rsidR="00861746" w:rsidRPr="006F225A">
        <w:rPr>
          <w:spacing w:val="-2"/>
          <w:lang w:val="en-GB"/>
        </w:rPr>
        <w:t>[8]</w:t>
      </w:r>
      <w:r w:rsidRPr="006F225A">
        <w:rPr>
          <w:spacing w:val="-2"/>
          <w:lang w:val="en-GB"/>
        </w:rPr>
        <w:t xml:space="preserve">. Dehydration has also been associated with longer hospital stays, </w:t>
      </w:r>
      <w:bookmarkStart w:id="1" w:name="_Hlk121989402"/>
      <w:r w:rsidRPr="006F225A">
        <w:rPr>
          <w:spacing w:val="-2"/>
          <w:lang w:val="en-GB"/>
        </w:rPr>
        <w:t xml:space="preserve">with an annual cost estimate of &gt;1.14 billion USD </w:t>
      </w:r>
      <w:r w:rsidR="00072471" w:rsidRPr="006F225A">
        <w:rPr>
          <w:spacing w:val="-2"/>
          <w:lang w:val="en-GB"/>
        </w:rPr>
        <w:t>in 1999</w:t>
      </w:r>
      <w:bookmarkEnd w:id="1"/>
      <w:r w:rsidR="00072471" w:rsidRPr="006F225A">
        <w:rPr>
          <w:spacing w:val="-2"/>
          <w:lang w:val="en-GB"/>
        </w:rPr>
        <w:t xml:space="preserve"> </w:t>
      </w:r>
      <w:r w:rsidRPr="006F225A">
        <w:rPr>
          <w:spacing w:val="-2"/>
          <w:lang w:val="en-GB"/>
        </w:rPr>
        <w:t xml:space="preserve">for the diagnosis of primary dehydration </w:t>
      </w:r>
      <w:r w:rsidR="00861746" w:rsidRPr="006F225A">
        <w:rPr>
          <w:spacing w:val="-2"/>
          <w:lang w:val="en-GB"/>
        </w:rPr>
        <w:t>[9]</w:t>
      </w:r>
      <w:r w:rsidRPr="006F225A">
        <w:rPr>
          <w:spacing w:val="-2"/>
          <w:lang w:val="en-GB"/>
        </w:rPr>
        <w:t xml:space="preserve">. </w:t>
      </w:r>
      <w:bookmarkStart w:id="2" w:name="_Hlk122287946"/>
      <w:r w:rsidRPr="006F225A">
        <w:rPr>
          <w:spacing w:val="-2"/>
          <w:lang w:val="en-GB"/>
        </w:rPr>
        <w:t xml:space="preserve">All this clearly shows how important interventions to improve hydration are </w:t>
      </w:r>
      <w:r w:rsidR="00A80FEA" w:rsidRPr="006F225A">
        <w:rPr>
          <w:spacing w:val="-2"/>
          <w:lang w:val="en-GB"/>
        </w:rPr>
        <w:t>in older adults.</w:t>
      </w:r>
      <w:bookmarkEnd w:id="2"/>
    </w:p>
    <w:p w14:paraId="6E121ABF" w14:textId="1E543357" w:rsidR="00687A78" w:rsidRPr="006F225A" w:rsidRDefault="00BD11E9" w:rsidP="0081410D">
      <w:pPr>
        <w:pStyle w:val="MDPI31text"/>
        <w:rPr>
          <w:b/>
          <w:lang w:val="en-GB"/>
        </w:rPr>
      </w:pPr>
      <w:bookmarkStart w:id="3" w:name="_Hlk121990544"/>
      <w:r w:rsidRPr="006F225A">
        <w:rPr>
          <w:lang w:val="en-GB"/>
        </w:rPr>
        <w:t xml:space="preserve">However, </w:t>
      </w:r>
      <w:r w:rsidR="007F6530" w:rsidRPr="006F225A">
        <w:rPr>
          <w:lang w:val="en-GB"/>
        </w:rPr>
        <w:t xml:space="preserve">to date, no attempt has been made to collate the literature on the prevalence of IV </w:t>
      </w:r>
      <w:r w:rsidR="007F6530" w:rsidRPr="006F225A">
        <w:rPr>
          <w:spacing w:val="-2"/>
          <w:lang w:val="en-GB"/>
        </w:rPr>
        <w:t>rehydration therapy in hospital settings</w:t>
      </w:r>
      <w:r w:rsidR="005F4355" w:rsidRPr="006F225A">
        <w:rPr>
          <w:spacing w:val="-2"/>
          <w:lang w:val="en-GB"/>
        </w:rPr>
        <w:t>,</w:t>
      </w:r>
      <w:r w:rsidR="007F6530" w:rsidRPr="006F225A">
        <w:rPr>
          <w:spacing w:val="-2"/>
          <w:lang w:val="en-GB"/>
        </w:rPr>
        <w:t xml:space="preserve"> and </w:t>
      </w:r>
      <w:r w:rsidRPr="006F225A">
        <w:rPr>
          <w:spacing w:val="-2"/>
          <w:lang w:val="en-GB"/>
        </w:rPr>
        <w:t xml:space="preserve">little is known </w:t>
      </w:r>
      <w:r w:rsidR="007F6530" w:rsidRPr="006F225A">
        <w:rPr>
          <w:spacing w:val="-2"/>
          <w:lang w:val="en-GB"/>
        </w:rPr>
        <w:t xml:space="preserve">about this, </w:t>
      </w:r>
      <w:r w:rsidRPr="006F225A">
        <w:rPr>
          <w:spacing w:val="-2"/>
          <w:lang w:val="en-GB"/>
        </w:rPr>
        <w:t>particularly by patient groups or populations</w:t>
      </w:r>
      <w:bookmarkStart w:id="4" w:name="_Hlk121990393"/>
      <w:r w:rsidRPr="006F225A">
        <w:rPr>
          <w:spacing w:val="-2"/>
          <w:lang w:val="en-GB"/>
        </w:rPr>
        <w:t xml:space="preserve">. </w:t>
      </w:r>
      <w:r w:rsidR="00410CE8" w:rsidRPr="006F225A">
        <w:rPr>
          <w:spacing w:val="-2"/>
          <w:lang w:val="en-GB"/>
        </w:rPr>
        <w:t>Information on prevalence of IV rehydration therapy in hospital settings is of upmost importance to aid in hospital decision making (procurement and medical practice), the development of policy</w:t>
      </w:r>
      <w:r w:rsidR="005F4355" w:rsidRPr="006F225A">
        <w:rPr>
          <w:spacing w:val="-2"/>
          <w:lang w:val="en-GB"/>
        </w:rPr>
        <w:t>,</w:t>
      </w:r>
      <w:r w:rsidR="00410CE8" w:rsidRPr="006F225A">
        <w:rPr>
          <w:spacing w:val="-2"/>
          <w:lang w:val="en-GB"/>
        </w:rPr>
        <w:t xml:space="preserve"> and medical guidelines</w:t>
      </w:r>
      <w:r w:rsidR="007F6530" w:rsidRPr="006F225A">
        <w:rPr>
          <w:spacing w:val="-2"/>
          <w:lang w:val="en-GB"/>
        </w:rPr>
        <w:t xml:space="preserve"> (i.e., is it over or under used)</w:t>
      </w:r>
      <w:r w:rsidR="00410CE8" w:rsidRPr="006F225A">
        <w:rPr>
          <w:spacing w:val="-2"/>
          <w:lang w:val="en-GB"/>
        </w:rPr>
        <w:t xml:space="preserve">. </w:t>
      </w:r>
      <w:bookmarkEnd w:id="3"/>
      <w:bookmarkEnd w:id="4"/>
      <w:r w:rsidRPr="006F225A">
        <w:rPr>
          <w:spacing w:val="-2"/>
          <w:lang w:val="en-GB"/>
        </w:rPr>
        <w:t xml:space="preserve">Therefore, in this </w:t>
      </w:r>
      <w:r w:rsidR="00BA3E13" w:rsidRPr="006F225A">
        <w:rPr>
          <w:spacing w:val="-2"/>
          <w:lang w:val="en-GB"/>
        </w:rPr>
        <w:t>systematic</w:t>
      </w:r>
      <w:r w:rsidRPr="006F225A">
        <w:rPr>
          <w:spacing w:val="-2"/>
          <w:lang w:val="en-GB"/>
        </w:rPr>
        <w:t xml:space="preserve"> review, we provide an overview of the prevalence of IV rehydration therapy in hospital settings in </w:t>
      </w:r>
      <w:r w:rsidR="005F4355" w:rsidRPr="006F225A">
        <w:rPr>
          <w:spacing w:val="-2"/>
          <w:lang w:val="en-GB"/>
        </w:rPr>
        <w:t>paediatric</w:t>
      </w:r>
      <w:r w:rsidRPr="006F225A">
        <w:rPr>
          <w:spacing w:val="-2"/>
          <w:lang w:val="en-GB"/>
        </w:rPr>
        <w:t xml:space="preserve"> and adult populations.</w:t>
      </w:r>
    </w:p>
    <w:p w14:paraId="47990706" w14:textId="4FC2ABF6" w:rsidR="00F538A4" w:rsidRPr="006F225A" w:rsidRDefault="0081410D" w:rsidP="0081410D">
      <w:pPr>
        <w:pStyle w:val="MDPI21heading1"/>
        <w:rPr>
          <w:lang w:val="en-GB"/>
        </w:rPr>
      </w:pPr>
      <w:r w:rsidRPr="006F225A">
        <w:rPr>
          <w:lang w:val="en-GB" w:eastAsia="zh-CN"/>
        </w:rPr>
        <w:t xml:space="preserve">2. </w:t>
      </w:r>
      <w:r w:rsidR="00F538A4" w:rsidRPr="006F225A">
        <w:rPr>
          <w:lang w:val="en-GB"/>
        </w:rPr>
        <w:t>Materials and Methods</w:t>
      </w:r>
    </w:p>
    <w:p w14:paraId="54AF51E9" w14:textId="22C021BF" w:rsidR="00687A78" w:rsidRPr="006F225A" w:rsidRDefault="00687A78" w:rsidP="0081410D">
      <w:pPr>
        <w:pStyle w:val="MDPI31text"/>
        <w:rPr>
          <w:b/>
          <w:lang w:val="en-GB"/>
        </w:rPr>
      </w:pPr>
      <w:r w:rsidRPr="006F225A">
        <w:rPr>
          <w:lang w:val="en-GB"/>
        </w:rPr>
        <w:t xml:space="preserve">The current systematic review followed the Preferred Reporting Items for Systematic Reviews and Meta-Analyses (PRISMA) guidelines </w:t>
      </w:r>
      <w:r w:rsidR="00861746" w:rsidRPr="006F225A">
        <w:rPr>
          <w:lang w:val="en-GB"/>
        </w:rPr>
        <w:t>[10]</w:t>
      </w:r>
      <w:r w:rsidRPr="006F225A">
        <w:rPr>
          <w:lang w:val="en-GB"/>
        </w:rPr>
        <w:t>. Prior to conducting our review, we identified the following questions to guide our search:</w:t>
      </w:r>
    </w:p>
    <w:p w14:paraId="64E64497" w14:textId="3FDB4EBD" w:rsidR="00687A78" w:rsidRPr="006F225A" w:rsidRDefault="00687A78" w:rsidP="0081410D">
      <w:pPr>
        <w:pStyle w:val="MDPI31text"/>
        <w:rPr>
          <w:b/>
          <w:lang w:val="en-GB"/>
        </w:rPr>
      </w:pPr>
      <w:r w:rsidRPr="006F225A">
        <w:rPr>
          <w:lang w:val="en-GB"/>
        </w:rPr>
        <w:t>The following two questions were established to guide the search:</w:t>
      </w:r>
    </w:p>
    <w:p w14:paraId="70E232BD" w14:textId="77777777" w:rsidR="00687A78" w:rsidRPr="006F225A" w:rsidRDefault="00687A78" w:rsidP="0081410D">
      <w:pPr>
        <w:pStyle w:val="MDPI21heading1"/>
        <w:spacing w:before="60" w:after="0"/>
        <w:ind w:left="3033" w:hanging="425"/>
        <w:jc w:val="both"/>
        <w:outlineLvl w:val="9"/>
        <w:rPr>
          <w:b w:val="0"/>
          <w:bCs/>
          <w:color w:val="auto"/>
          <w:lang w:val="en-GB"/>
        </w:rPr>
      </w:pPr>
      <w:r w:rsidRPr="006F225A">
        <w:rPr>
          <w:b w:val="0"/>
          <w:bCs/>
          <w:color w:val="auto"/>
          <w:lang w:val="en-GB"/>
        </w:rPr>
        <w:t>1.</w:t>
      </w:r>
      <w:r w:rsidRPr="006F225A">
        <w:rPr>
          <w:b w:val="0"/>
          <w:bCs/>
          <w:color w:val="auto"/>
          <w:lang w:val="en-GB"/>
        </w:rPr>
        <w:tab/>
        <w:t>What is the prevalence of IV rehydration therapy in hospital settings?</w:t>
      </w:r>
    </w:p>
    <w:p w14:paraId="30C16D5B" w14:textId="77777777" w:rsidR="00687A78" w:rsidRPr="006F225A" w:rsidRDefault="00687A78" w:rsidP="0081410D">
      <w:pPr>
        <w:pStyle w:val="MDPI21heading1"/>
        <w:spacing w:before="0" w:after="0"/>
        <w:ind w:left="3033" w:hanging="425"/>
        <w:jc w:val="both"/>
        <w:outlineLvl w:val="9"/>
        <w:rPr>
          <w:b w:val="0"/>
          <w:bCs/>
          <w:color w:val="auto"/>
          <w:lang w:val="en-GB"/>
        </w:rPr>
      </w:pPr>
      <w:r w:rsidRPr="006F225A">
        <w:rPr>
          <w:b w:val="0"/>
          <w:bCs/>
          <w:color w:val="auto"/>
          <w:lang w:val="en-GB"/>
        </w:rPr>
        <w:t>2.</w:t>
      </w:r>
      <w:r w:rsidRPr="006F225A">
        <w:rPr>
          <w:b w:val="0"/>
          <w:bCs/>
          <w:color w:val="auto"/>
          <w:lang w:val="en-GB"/>
        </w:rPr>
        <w:tab/>
        <w:t>Is there a certain age group of people that is more likely to receive IV rehydration therapy in hospital settings?</w:t>
      </w:r>
    </w:p>
    <w:p w14:paraId="3F25BF7C" w14:textId="77777777" w:rsidR="00667FAD" w:rsidRPr="006F225A" w:rsidRDefault="00667FAD">
      <w:pPr>
        <w:spacing w:line="240" w:lineRule="auto"/>
        <w:jc w:val="left"/>
        <w:rPr>
          <w:rFonts w:eastAsia="Times New Roman"/>
          <w:i/>
          <w:noProof/>
          <w:snapToGrid w:val="0"/>
          <w:szCs w:val="22"/>
          <w:lang w:val="en-GB" w:eastAsia="de-DE" w:bidi="en-US"/>
        </w:rPr>
      </w:pPr>
      <w:r w:rsidRPr="006F225A">
        <w:rPr>
          <w:lang w:val="en-GB"/>
        </w:rPr>
        <w:br w:type="page"/>
      </w:r>
    </w:p>
    <w:p w14:paraId="45E22007" w14:textId="0681DDC7" w:rsidR="00687A78" w:rsidRPr="006F225A" w:rsidRDefault="0081410D" w:rsidP="0081410D">
      <w:pPr>
        <w:pStyle w:val="MDPI22heading2"/>
        <w:spacing w:before="240"/>
        <w:rPr>
          <w:lang w:val="en-GB"/>
        </w:rPr>
      </w:pPr>
      <w:r w:rsidRPr="006F225A">
        <w:rPr>
          <w:lang w:val="en-GB"/>
        </w:rPr>
        <w:lastRenderedPageBreak/>
        <w:t xml:space="preserve">2.1. </w:t>
      </w:r>
      <w:r w:rsidR="00687A78" w:rsidRPr="006F225A">
        <w:rPr>
          <w:lang w:val="en-GB"/>
        </w:rPr>
        <w:t>Search Strategy</w:t>
      </w:r>
    </w:p>
    <w:p w14:paraId="0EF379F2" w14:textId="4AC0FE5F" w:rsidR="00687A78" w:rsidRPr="006F225A" w:rsidRDefault="00687A78" w:rsidP="0081410D">
      <w:pPr>
        <w:pStyle w:val="MDPI31text"/>
        <w:rPr>
          <w:b/>
          <w:lang w:val="en-GB"/>
        </w:rPr>
      </w:pPr>
      <w:r w:rsidRPr="006F225A">
        <w:rPr>
          <w:lang w:val="en-GB"/>
        </w:rPr>
        <w:t>Electronic databases were searched from database inception until 28th March 2022 including PubMed/Medline, Embase, Web of Science, and Scopus. In PubMed, the following search strategy was used: “(</w:t>
      </w:r>
      <w:r w:rsidR="00733890" w:rsidRPr="006F225A">
        <w:rPr>
          <w:lang w:val="en-GB"/>
        </w:rPr>
        <w:t>“</w:t>
      </w:r>
      <w:r w:rsidRPr="006F225A">
        <w:rPr>
          <w:lang w:val="en-GB"/>
        </w:rPr>
        <w:t>intravenous fluids</w:t>
      </w:r>
      <w:r w:rsidR="00733890" w:rsidRPr="006F225A">
        <w:rPr>
          <w:lang w:val="en-GB"/>
        </w:rPr>
        <w:t>”</w:t>
      </w:r>
      <w:r w:rsidRPr="006F225A">
        <w:rPr>
          <w:lang w:val="en-GB"/>
        </w:rPr>
        <w:t xml:space="preserve">[Title/Abstract] OR </w:t>
      </w:r>
      <w:r w:rsidR="00733890" w:rsidRPr="006F225A">
        <w:rPr>
          <w:lang w:val="en-GB"/>
        </w:rPr>
        <w:t>“</w:t>
      </w:r>
      <w:r w:rsidRPr="006F225A">
        <w:rPr>
          <w:lang w:val="en-GB"/>
        </w:rPr>
        <w:t>parenteral fluids</w:t>
      </w:r>
      <w:r w:rsidR="00733890" w:rsidRPr="006F225A">
        <w:rPr>
          <w:lang w:val="en-GB"/>
        </w:rPr>
        <w:t>”</w:t>
      </w:r>
      <w:r w:rsidRPr="006F225A">
        <w:rPr>
          <w:lang w:val="en-GB"/>
        </w:rPr>
        <w:t xml:space="preserve">[Title/Abstract] OR </w:t>
      </w:r>
      <w:r w:rsidR="00733890" w:rsidRPr="006F225A">
        <w:rPr>
          <w:lang w:val="en-GB"/>
        </w:rPr>
        <w:t>“</w:t>
      </w:r>
      <w:r w:rsidRPr="006F225A">
        <w:rPr>
          <w:lang w:val="en-GB"/>
        </w:rPr>
        <w:t>IV fluids</w:t>
      </w:r>
      <w:r w:rsidR="00733890" w:rsidRPr="006F225A">
        <w:rPr>
          <w:lang w:val="en-GB"/>
        </w:rPr>
        <w:t>”</w:t>
      </w:r>
      <w:r w:rsidRPr="006F225A">
        <w:rPr>
          <w:lang w:val="en-GB"/>
        </w:rPr>
        <w:t xml:space="preserve">[Title/Abstract] OR </w:t>
      </w:r>
      <w:r w:rsidR="00733890" w:rsidRPr="006F225A">
        <w:rPr>
          <w:lang w:val="en-GB"/>
        </w:rPr>
        <w:t>“</w:t>
      </w:r>
      <w:r w:rsidRPr="006F225A">
        <w:rPr>
          <w:lang w:val="en-GB"/>
        </w:rPr>
        <w:t>fluid infusion</w:t>
      </w:r>
      <w:r w:rsidR="00733890" w:rsidRPr="006F225A">
        <w:rPr>
          <w:lang w:val="en-GB"/>
        </w:rPr>
        <w:t>”</w:t>
      </w:r>
      <w:r w:rsidRPr="006F225A">
        <w:rPr>
          <w:lang w:val="en-GB"/>
        </w:rPr>
        <w:t xml:space="preserve">[Title/Abstract] OR </w:t>
      </w:r>
      <w:r w:rsidR="00733890" w:rsidRPr="006F225A">
        <w:rPr>
          <w:lang w:val="en-GB"/>
        </w:rPr>
        <w:t>“</w:t>
      </w:r>
      <w:r w:rsidRPr="006F225A">
        <w:rPr>
          <w:lang w:val="en-GB"/>
        </w:rPr>
        <w:t>fluid administration</w:t>
      </w:r>
      <w:r w:rsidR="00733890" w:rsidRPr="006F225A">
        <w:rPr>
          <w:lang w:val="en-GB"/>
        </w:rPr>
        <w:t>”</w:t>
      </w:r>
      <w:r w:rsidRPr="006F225A">
        <w:rPr>
          <w:lang w:val="en-GB"/>
        </w:rPr>
        <w:t xml:space="preserve">[Title/Abstract] OR </w:t>
      </w:r>
      <w:r w:rsidR="00733890" w:rsidRPr="006F225A">
        <w:rPr>
          <w:lang w:val="en-GB"/>
        </w:rPr>
        <w:t>“</w:t>
      </w:r>
      <w:r w:rsidRPr="006F225A">
        <w:rPr>
          <w:lang w:val="en-GB"/>
        </w:rPr>
        <w:t>fluid therapy</w:t>
      </w:r>
      <w:r w:rsidR="00733890" w:rsidRPr="006F225A">
        <w:rPr>
          <w:lang w:val="en-GB"/>
        </w:rPr>
        <w:t>”</w:t>
      </w:r>
      <w:r w:rsidRPr="006F225A">
        <w:rPr>
          <w:lang w:val="en-GB"/>
        </w:rPr>
        <w:t xml:space="preserve">[Title/Abstract] OR </w:t>
      </w:r>
      <w:r w:rsidR="00733890" w:rsidRPr="006F225A">
        <w:rPr>
          <w:lang w:val="en-GB"/>
        </w:rPr>
        <w:t>“</w:t>
      </w:r>
      <w:r w:rsidRPr="006F225A">
        <w:rPr>
          <w:lang w:val="en-GB"/>
        </w:rPr>
        <w:t>fluid perfusion</w:t>
      </w:r>
      <w:r w:rsidR="00733890" w:rsidRPr="006F225A">
        <w:rPr>
          <w:lang w:val="en-GB"/>
        </w:rPr>
        <w:t>”</w:t>
      </w:r>
      <w:r w:rsidRPr="006F225A">
        <w:rPr>
          <w:lang w:val="en-GB"/>
        </w:rPr>
        <w:t xml:space="preserve">[Title/Abstract] OR </w:t>
      </w:r>
      <w:r w:rsidR="00733890" w:rsidRPr="006F225A">
        <w:rPr>
          <w:lang w:val="en-GB"/>
        </w:rPr>
        <w:t>“</w:t>
      </w:r>
      <w:r w:rsidRPr="006F225A">
        <w:rPr>
          <w:lang w:val="en-GB"/>
        </w:rPr>
        <w:t>intravenous rehydration</w:t>
      </w:r>
      <w:r w:rsidR="00733890" w:rsidRPr="006F225A">
        <w:rPr>
          <w:lang w:val="en-GB"/>
        </w:rPr>
        <w:t>”</w:t>
      </w:r>
      <w:r w:rsidRPr="006F225A">
        <w:rPr>
          <w:lang w:val="en-GB"/>
        </w:rPr>
        <w:t xml:space="preserve">[Title/Abstract] OR </w:t>
      </w:r>
      <w:r w:rsidR="00733890" w:rsidRPr="006F225A">
        <w:rPr>
          <w:lang w:val="en-GB"/>
        </w:rPr>
        <w:t>“</w:t>
      </w:r>
      <w:r w:rsidRPr="006F225A">
        <w:rPr>
          <w:lang w:val="en-GB"/>
        </w:rPr>
        <w:t>parenteral rehydration</w:t>
      </w:r>
      <w:r w:rsidR="00733890" w:rsidRPr="006F225A">
        <w:rPr>
          <w:lang w:val="en-GB"/>
        </w:rPr>
        <w:t>”</w:t>
      </w:r>
      <w:r w:rsidRPr="006F225A">
        <w:rPr>
          <w:lang w:val="en-GB"/>
        </w:rPr>
        <w:t>[Title/Abstract]) AND (</w:t>
      </w:r>
      <w:r w:rsidR="00733890" w:rsidRPr="006F225A">
        <w:rPr>
          <w:lang w:val="en-GB"/>
        </w:rPr>
        <w:t>“</w:t>
      </w:r>
      <w:r w:rsidRPr="006F225A">
        <w:rPr>
          <w:lang w:val="en-GB"/>
        </w:rPr>
        <w:t>hospitalised patients</w:t>
      </w:r>
      <w:r w:rsidR="00733890" w:rsidRPr="006F225A">
        <w:rPr>
          <w:lang w:val="en-GB"/>
        </w:rPr>
        <w:t>”</w:t>
      </w:r>
      <w:r w:rsidRPr="006F225A">
        <w:rPr>
          <w:lang w:val="en-GB"/>
        </w:rPr>
        <w:t xml:space="preserve">[Title/Abstract] OR </w:t>
      </w:r>
      <w:r w:rsidR="00733890" w:rsidRPr="006F225A">
        <w:rPr>
          <w:lang w:val="en-GB"/>
        </w:rPr>
        <w:t>“</w:t>
      </w:r>
      <w:r w:rsidRPr="006F225A">
        <w:rPr>
          <w:lang w:val="en-GB"/>
        </w:rPr>
        <w:t>hospitalisation</w:t>
      </w:r>
      <w:r w:rsidR="00733890" w:rsidRPr="006F225A">
        <w:rPr>
          <w:lang w:val="en-GB"/>
        </w:rPr>
        <w:t>”</w:t>
      </w:r>
      <w:r w:rsidRPr="006F225A">
        <w:rPr>
          <w:lang w:val="en-GB"/>
        </w:rPr>
        <w:t xml:space="preserve">[Title/Abstract] OR </w:t>
      </w:r>
      <w:r w:rsidR="00733890" w:rsidRPr="006F225A">
        <w:rPr>
          <w:lang w:val="en-GB"/>
        </w:rPr>
        <w:t>“</w:t>
      </w:r>
      <w:r w:rsidRPr="006F225A">
        <w:rPr>
          <w:lang w:val="en-GB"/>
        </w:rPr>
        <w:t xml:space="preserve">in hospital”[Title/Abstract])”. The strategy was then adapted for the other databases. Full information on database-specific search strategies can be found in online Supplemental Table </w:t>
      </w:r>
      <w:r w:rsidR="00C810FF" w:rsidRPr="006F225A">
        <w:rPr>
          <w:lang w:val="en-GB"/>
        </w:rPr>
        <w:t>S</w:t>
      </w:r>
      <w:r w:rsidRPr="006F225A">
        <w:rPr>
          <w:lang w:val="en-GB"/>
        </w:rPr>
        <w:t>1. Results of the searches were exported to bibliographic database and duplicates removed. Titles and abstracts were screened by two independent reviewers (JG, LS), and then the full paper screening was conducted by the same reviewers before making a final decision on eligibility. Any inconsistencies were discussed and resolved by consensus with a third reviewer (PS).</w:t>
      </w:r>
    </w:p>
    <w:p w14:paraId="2D9A04BE" w14:textId="49E41CB6" w:rsidR="00687A78" w:rsidRPr="006F225A" w:rsidRDefault="0081410D" w:rsidP="0081410D">
      <w:pPr>
        <w:pStyle w:val="MDPI22heading2"/>
        <w:spacing w:before="240"/>
        <w:rPr>
          <w:lang w:val="en-GB"/>
        </w:rPr>
      </w:pPr>
      <w:r w:rsidRPr="006F225A">
        <w:rPr>
          <w:lang w:val="en-GB"/>
        </w:rPr>
        <w:t xml:space="preserve">2.2. </w:t>
      </w:r>
      <w:r w:rsidR="00687A78" w:rsidRPr="006F225A">
        <w:rPr>
          <w:lang w:val="en-GB"/>
        </w:rPr>
        <w:t xml:space="preserve">Study </w:t>
      </w:r>
      <w:r w:rsidR="000C076D" w:rsidRPr="006F225A">
        <w:rPr>
          <w:lang w:val="en-GB"/>
        </w:rPr>
        <w:t xml:space="preserve">Inclusion </w:t>
      </w:r>
      <w:r w:rsidR="00687A78" w:rsidRPr="006F225A">
        <w:rPr>
          <w:lang w:val="en-GB"/>
        </w:rPr>
        <w:t xml:space="preserve">and </w:t>
      </w:r>
      <w:r w:rsidR="000C076D" w:rsidRPr="006F225A">
        <w:rPr>
          <w:lang w:val="en-GB"/>
        </w:rPr>
        <w:t>Exclusion</w:t>
      </w:r>
    </w:p>
    <w:p w14:paraId="08B4BFF9" w14:textId="13841879" w:rsidR="00F365BC" w:rsidRPr="006F225A" w:rsidRDefault="00687A78" w:rsidP="0081410D">
      <w:pPr>
        <w:pStyle w:val="MDPI31text"/>
        <w:rPr>
          <w:lang w:val="en-GB"/>
        </w:rPr>
      </w:pPr>
      <w:r w:rsidRPr="006F225A">
        <w:rPr>
          <w:lang w:val="en-GB"/>
        </w:rPr>
        <w:t>Studies were included if they met the following criteria: (1) observational cross-sectional, prospective, or retrospective cohort studies (2) that investigate the frequency of IV rehydration therapy (3) in any population (healthy or with a specific disease condition) (4) in a hospital setting. Published articles that were written in English were included. Review articles, nonhuman studies, conference abstracts, and articles in a language other than English were excluded from the review. Studies investigating IV therapy for resuscitation</w:t>
      </w:r>
      <w:r w:rsidR="005F4355" w:rsidRPr="006F225A">
        <w:rPr>
          <w:lang w:val="en-GB"/>
        </w:rPr>
        <w:t xml:space="preserve"> and</w:t>
      </w:r>
      <w:r w:rsidRPr="006F225A">
        <w:rPr>
          <w:lang w:val="en-GB"/>
        </w:rPr>
        <w:t xml:space="preserve"> </w:t>
      </w:r>
      <w:r w:rsidR="00842226" w:rsidRPr="006F225A">
        <w:rPr>
          <w:lang w:val="en-GB"/>
        </w:rPr>
        <w:t xml:space="preserve">studies that reported on </w:t>
      </w:r>
      <w:r w:rsidRPr="006F225A">
        <w:rPr>
          <w:lang w:val="en-GB"/>
        </w:rPr>
        <w:t xml:space="preserve">IV </w:t>
      </w:r>
      <w:r w:rsidR="00820367" w:rsidRPr="006F225A">
        <w:rPr>
          <w:lang w:val="en-GB"/>
        </w:rPr>
        <w:t xml:space="preserve">rehydration </w:t>
      </w:r>
      <w:r w:rsidR="00842226" w:rsidRPr="006F225A">
        <w:rPr>
          <w:lang w:val="en-GB"/>
        </w:rPr>
        <w:t>solutions with added medications into the IV bolus</w:t>
      </w:r>
      <w:r w:rsidRPr="006F225A">
        <w:rPr>
          <w:lang w:val="en-GB"/>
        </w:rPr>
        <w:t xml:space="preserve"> and goal</w:t>
      </w:r>
      <w:r w:rsidR="005F4355" w:rsidRPr="006F225A">
        <w:rPr>
          <w:lang w:val="en-GB"/>
        </w:rPr>
        <w:t>-</w:t>
      </w:r>
      <w:r w:rsidRPr="006F225A">
        <w:rPr>
          <w:lang w:val="en-GB"/>
        </w:rPr>
        <w:t>directed fluid therapy were excluded.</w:t>
      </w:r>
    </w:p>
    <w:p w14:paraId="312ACB74" w14:textId="56F57FF2" w:rsidR="00753D37" w:rsidRPr="006F225A" w:rsidRDefault="00753D37" w:rsidP="0081410D">
      <w:pPr>
        <w:pStyle w:val="MDPI31text"/>
        <w:rPr>
          <w:i/>
          <w:shd w:val="clear" w:color="auto" w:fill="FFFFFF"/>
          <w:lang w:val="en-GB"/>
        </w:rPr>
      </w:pPr>
      <w:r w:rsidRPr="006F225A">
        <w:rPr>
          <w:shd w:val="clear" w:color="auto" w:fill="FFFFFF"/>
          <w:lang w:val="en-GB"/>
        </w:rPr>
        <w:t>Studies were excluded at full text for the following criteria: (1) IV fluids for resuscitation</w:t>
      </w:r>
      <w:r w:rsidR="005F4355" w:rsidRPr="006F225A">
        <w:rPr>
          <w:shd w:val="clear" w:color="auto" w:fill="FFFFFF"/>
          <w:lang w:val="en-GB"/>
        </w:rPr>
        <w:t>,</w:t>
      </w:r>
      <w:r w:rsidRPr="006F225A">
        <w:rPr>
          <w:shd w:val="clear" w:color="auto" w:fill="FFFFFF"/>
          <w:lang w:val="en-GB"/>
        </w:rPr>
        <w:t xml:space="preserve"> (2) fluid overload related to IV fluids</w:t>
      </w:r>
      <w:r w:rsidR="005F4355" w:rsidRPr="006F225A">
        <w:rPr>
          <w:shd w:val="clear" w:color="auto" w:fill="FFFFFF"/>
          <w:lang w:val="en-GB"/>
        </w:rPr>
        <w:t>,</w:t>
      </w:r>
      <w:r w:rsidRPr="006F225A">
        <w:rPr>
          <w:shd w:val="clear" w:color="auto" w:fill="FFFFFF"/>
          <w:lang w:val="en-GB"/>
        </w:rPr>
        <w:t xml:space="preserve"> (3) hyponatraemia related to IV fluids</w:t>
      </w:r>
      <w:r w:rsidR="005F4355" w:rsidRPr="006F225A">
        <w:rPr>
          <w:shd w:val="clear" w:color="auto" w:fill="FFFFFF"/>
          <w:lang w:val="en-GB"/>
        </w:rPr>
        <w:t>,</w:t>
      </w:r>
      <w:r w:rsidRPr="006F225A">
        <w:rPr>
          <w:shd w:val="clear" w:color="auto" w:fill="FFFFFF"/>
          <w:lang w:val="en-GB"/>
        </w:rPr>
        <w:t xml:space="preserve"> (4) guided IV therapy or restricted IV fluid therapy</w:t>
      </w:r>
      <w:r w:rsidR="005F4355" w:rsidRPr="006F225A">
        <w:rPr>
          <w:shd w:val="clear" w:color="auto" w:fill="FFFFFF"/>
          <w:lang w:val="en-GB"/>
        </w:rPr>
        <w:t>,</w:t>
      </w:r>
      <w:r w:rsidR="007E7A90" w:rsidRPr="006F225A">
        <w:rPr>
          <w:shd w:val="clear" w:color="auto" w:fill="FFFFFF"/>
          <w:lang w:val="en-GB"/>
        </w:rPr>
        <w:t xml:space="preserve"> </w:t>
      </w:r>
      <w:r w:rsidRPr="006F225A">
        <w:rPr>
          <w:shd w:val="clear" w:color="auto" w:fill="FFFFFF"/>
          <w:lang w:val="en-GB"/>
        </w:rPr>
        <w:t>(5) intraoperative/postoperative IV fluid administration</w:t>
      </w:r>
      <w:r w:rsidR="005F4355" w:rsidRPr="006F225A">
        <w:rPr>
          <w:shd w:val="clear" w:color="auto" w:fill="FFFFFF"/>
          <w:lang w:val="en-GB"/>
        </w:rPr>
        <w:t>,</w:t>
      </w:r>
      <w:r w:rsidRPr="006F225A">
        <w:rPr>
          <w:shd w:val="clear" w:color="auto" w:fill="FFFFFF"/>
          <w:lang w:val="en-GB"/>
        </w:rPr>
        <w:t xml:space="preserve"> (6) hydration by </w:t>
      </w:r>
      <w:proofErr w:type="spellStart"/>
      <w:r w:rsidRPr="006F225A">
        <w:rPr>
          <w:shd w:val="clear" w:color="auto" w:fill="FFFFFF"/>
          <w:lang w:val="en-GB"/>
        </w:rPr>
        <w:t>enteroclysis</w:t>
      </w:r>
      <w:proofErr w:type="spellEnd"/>
      <w:r w:rsidR="005F4355" w:rsidRPr="006F225A">
        <w:rPr>
          <w:shd w:val="clear" w:color="auto" w:fill="FFFFFF"/>
          <w:lang w:val="en-GB"/>
        </w:rPr>
        <w:t>,</w:t>
      </w:r>
      <w:r w:rsidRPr="006F225A">
        <w:rPr>
          <w:shd w:val="clear" w:color="auto" w:fill="FFFFFF"/>
          <w:lang w:val="en-GB"/>
        </w:rPr>
        <w:t xml:space="preserve"> (7) outpatient IV rehydration</w:t>
      </w:r>
      <w:r w:rsidR="005F4355" w:rsidRPr="006F225A">
        <w:rPr>
          <w:shd w:val="clear" w:color="auto" w:fill="FFFFFF"/>
          <w:lang w:val="en-GB"/>
        </w:rPr>
        <w:t>,</w:t>
      </w:r>
      <w:r w:rsidRPr="006F225A">
        <w:rPr>
          <w:shd w:val="clear" w:color="auto" w:fill="FFFFFF"/>
          <w:lang w:val="en-GB"/>
        </w:rPr>
        <w:t xml:space="preserve"> (8) IV fluids use at home</w:t>
      </w:r>
      <w:r w:rsidR="005F4355" w:rsidRPr="006F225A">
        <w:rPr>
          <w:shd w:val="clear" w:color="auto" w:fill="FFFFFF"/>
          <w:lang w:val="en-GB"/>
        </w:rPr>
        <w:t>,</w:t>
      </w:r>
      <w:r w:rsidRPr="006F225A">
        <w:rPr>
          <w:shd w:val="clear" w:color="auto" w:fill="FFFFFF"/>
          <w:lang w:val="en-GB"/>
        </w:rPr>
        <w:t xml:space="preserve"> (9) use of IV fluids not specified</w:t>
      </w:r>
      <w:r w:rsidR="005F4355" w:rsidRPr="006F225A">
        <w:rPr>
          <w:shd w:val="clear" w:color="auto" w:fill="FFFFFF"/>
          <w:lang w:val="en-GB"/>
        </w:rPr>
        <w:t>,</w:t>
      </w:r>
      <w:r w:rsidRPr="006F225A">
        <w:rPr>
          <w:shd w:val="clear" w:color="auto" w:fill="FFFFFF"/>
          <w:lang w:val="en-GB"/>
        </w:rPr>
        <w:t xml:space="preserve"> (10) RCT</w:t>
      </w:r>
      <w:r w:rsidR="005F4355" w:rsidRPr="006F225A">
        <w:rPr>
          <w:shd w:val="clear" w:color="auto" w:fill="FFFFFF"/>
          <w:lang w:val="en-GB"/>
        </w:rPr>
        <w:t>, or</w:t>
      </w:r>
      <w:r w:rsidRPr="006F225A">
        <w:rPr>
          <w:shd w:val="clear" w:color="auto" w:fill="FFFFFF"/>
          <w:lang w:val="en-GB"/>
        </w:rPr>
        <w:t xml:space="preserve"> (11) combined data for IV fluids and oral rehydration solution.</w:t>
      </w:r>
    </w:p>
    <w:p w14:paraId="51CBF343" w14:textId="3FF392DB" w:rsidR="00687A78" w:rsidRPr="006F225A" w:rsidRDefault="0081410D" w:rsidP="0081410D">
      <w:pPr>
        <w:pStyle w:val="MDPI22heading2"/>
        <w:spacing w:before="240"/>
        <w:rPr>
          <w:lang w:val="en-GB"/>
        </w:rPr>
      </w:pPr>
      <w:r w:rsidRPr="006F225A">
        <w:rPr>
          <w:lang w:val="en-GB"/>
        </w:rPr>
        <w:t xml:space="preserve">2.3. </w:t>
      </w:r>
      <w:r w:rsidR="00687A78" w:rsidRPr="006F225A">
        <w:rPr>
          <w:lang w:val="en-GB"/>
        </w:rPr>
        <w:t xml:space="preserve">Data </w:t>
      </w:r>
      <w:r w:rsidR="000C076D" w:rsidRPr="006F225A">
        <w:rPr>
          <w:lang w:val="en-GB"/>
        </w:rPr>
        <w:t>Extraction</w:t>
      </w:r>
    </w:p>
    <w:p w14:paraId="18402E2E" w14:textId="4DABA7CF" w:rsidR="00687A78" w:rsidRPr="006F225A" w:rsidRDefault="00687A78" w:rsidP="0081410D">
      <w:pPr>
        <w:pStyle w:val="MDPI31text"/>
        <w:rPr>
          <w:b/>
          <w:lang w:val="en-GB"/>
        </w:rPr>
      </w:pPr>
      <w:r w:rsidRPr="006F225A">
        <w:rPr>
          <w:lang w:val="en-GB"/>
        </w:rPr>
        <w:t>Data were extracted by an independent reviewer (JG) including</w:t>
      </w:r>
      <w:r w:rsidR="005F4355" w:rsidRPr="006F225A">
        <w:rPr>
          <w:lang w:val="en-GB"/>
        </w:rPr>
        <w:t xml:space="preserve"> the following</w:t>
      </w:r>
      <w:r w:rsidRPr="006F225A">
        <w:rPr>
          <w:lang w:val="en-GB"/>
        </w:rPr>
        <w:t xml:space="preserve">: first author, year, country, type of the study design (cross-sectional, cohort), population, sample size </w:t>
      </w:r>
      <w:proofErr w:type="gramStart"/>
      <w:r w:rsidRPr="006F225A">
        <w:rPr>
          <w:lang w:val="en-GB"/>
        </w:rPr>
        <w:t>included,</w:t>
      </w:r>
      <w:proofErr w:type="gramEnd"/>
      <w:r w:rsidRPr="006F225A">
        <w:rPr>
          <w:lang w:val="en-GB"/>
        </w:rPr>
        <w:t xml:space="preserve"> participants’ characteristics (e.g., age, sex)</w:t>
      </w:r>
      <w:r w:rsidR="005F4355" w:rsidRPr="006F225A">
        <w:rPr>
          <w:lang w:val="en-GB"/>
        </w:rPr>
        <w:t>,</w:t>
      </w:r>
      <w:r w:rsidRPr="006F225A">
        <w:rPr>
          <w:lang w:val="en-GB"/>
        </w:rPr>
        <w:t xml:space="preserve"> number of participants receiving IV rehydration therapy, information of control/comparator group, </w:t>
      </w:r>
      <w:r w:rsidR="005F4355" w:rsidRPr="006F225A">
        <w:rPr>
          <w:lang w:val="en-GB"/>
        </w:rPr>
        <w:t xml:space="preserve">and </w:t>
      </w:r>
      <w:r w:rsidRPr="006F225A">
        <w:rPr>
          <w:lang w:val="en-GB"/>
        </w:rPr>
        <w:t>the period of observation. A second independent reviewer (LS) validated the data extraction. The data w</w:t>
      </w:r>
      <w:r w:rsidR="005F4355" w:rsidRPr="006F225A">
        <w:rPr>
          <w:lang w:val="en-GB"/>
        </w:rPr>
        <w:t>ere</w:t>
      </w:r>
      <w:r w:rsidRPr="006F225A">
        <w:rPr>
          <w:lang w:val="en-GB"/>
        </w:rPr>
        <w:t xml:space="preserve"> synthesised in a narrative approach.</w:t>
      </w:r>
    </w:p>
    <w:p w14:paraId="71385035" w14:textId="37599008" w:rsidR="00687A78" w:rsidRPr="006F225A" w:rsidRDefault="0081410D" w:rsidP="0081410D">
      <w:pPr>
        <w:pStyle w:val="MDPI22heading2"/>
        <w:spacing w:before="240"/>
        <w:rPr>
          <w:lang w:val="en-GB"/>
        </w:rPr>
      </w:pPr>
      <w:r w:rsidRPr="006F225A">
        <w:rPr>
          <w:lang w:val="en-GB"/>
        </w:rPr>
        <w:t xml:space="preserve">2.4. </w:t>
      </w:r>
      <w:r w:rsidR="00687A78" w:rsidRPr="006F225A">
        <w:rPr>
          <w:lang w:val="en-GB"/>
        </w:rPr>
        <w:t xml:space="preserve">Quality </w:t>
      </w:r>
      <w:r w:rsidR="000C076D" w:rsidRPr="006F225A">
        <w:rPr>
          <w:lang w:val="en-GB"/>
        </w:rPr>
        <w:t>Assessment</w:t>
      </w:r>
    </w:p>
    <w:p w14:paraId="1869F59F" w14:textId="4D517F79" w:rsidR="00687A78" w:rsidRPr="006F225A" w:rsidRDefault="00687A78" w:rsidP="0081410D">
      <w:pPr>
        <w:pStyle w:val="MDPI31text"/>
        <w:rPr>
          <w:b/>
          <w:lang w:val="en-GB"/>
        </w:rPr>
      </w:pPr>
      <w:r w:rsidRPr="006F225A">
        <w:rPr>
          <w:lang w:val="en-GB"/>
        </w:rPr>
        <w:t xml:space="preserve">Risk of bias in individual studies was assessed by one independent reviewer (JG) and checked by another (LS) using the Critical Appraisal Skills Programme </w:t>
      </w:r>
      <w:r w:rsidR="0073208A" w:rsidRPr="006F225A">
        <w:rPr>
          <w:lang w:val="en-GB"/>
        </w:rPr>
        <w:t>[11]</w:t>
      </w:r>
      <w:r w:rsidRPr="006F225A">
        <w:rPr>
          <w:lang w:val="en-GB"/>
        </w:rPr>
        <w:t xml:space="preserve">. The Cohort Study checklist was used for the cohort studies </w:t>
      </w:r>
      <w:r w:rsidR="0073208A" w:rsidRPr="006F225A">
        <w:rPr>
          <w:lang w:val="en-GB"/>
        </w:rPr>
        <w:t>[12]</w:t>
      </w:r>
      <w:r w:rsidRPr="006F225A">
        <w:rPr>
          <w:lang w:val="en-GB"/>
        </w:rPr>
        <w:t>. This checklist contains 12 questions to which the reviewer answered ‘yes’, ‘can</w:t>
      </w:r>
      <w:r w:rsidR="005F4355" w:rsidRPr="006F225A">
        <w:rPr>
          <w:lang w:val="en-GB"/>
        </w:rPr>
        <w:t>no</w:t>
      </w:r>
      <w:r w:rsidRPr="006F225A">
        <w:rPr>
          <w:lang w:val="en-GB"/>
        </w:rPr>
        <w:t xml:space="preserve">t tell’, or ‘no’. The Cohort Study checklist was also </w:t>
      </w:r>
      <w:r w:rsidRPr="006F225A">
        <w:rPr>
          <w:spacing w:val="-2"/>
          <w:lang w:val="en-GB"/>
        </w:rPr>
        <w:t>used for the cross-sectional studies because there is no separate cross-sectional survey checklist in the CASP series. Questions 6(a) and 6(b), which assessed the follow up of the study, were not applicable to the cross-sectional designs and were therefore marked as not applicable. The quality was evaluated as ‘fair’, ‘good’</w:t>
      </w:r>
      <w:r w:rsidR="005F4355" w:rsidRPr="006F225A">
        <w:rPr>
          <w:spacing w:val="-2"/>
          <w:lang w:val="en-GB"/>
        </w:rPr>
        <w:t>,</w:t>
      </w:r>
      <w:r w:rsidRPr="006F225A">
        <w:rPr>
          <w:spacing w:val="-2"/>
          <w:lang w:val="en-GB"/>
        </w:rPr>
        <w:t xml:space="preserve"> and ‘poor’ based on the CASP checklists. Any discrepancies were resolved during a discussion with a third reviewer (PS).</w:t>
      </w:r>
    </w:p>
    <w:p w14:paraId="5EC0C76E" w14:textId="77777777" w:rsidR="009C6253" w:rsidRPr="006F225A" w:rsidRDefault="009C6253">
      <w:pPr>
        <w:spacing w:line="240" w:lineRule="auto"/>
        <w:jc w:val="left"/>
        <w:rPr>
          <w:rFonts w:eastAsia="Times New Roman"/>
          <w:b/>
          <w:snapToGrid w:val="0"/>
          <w:szCs w:val="22"/>
          <w:lang w:val="en-GB" w:eastAsia="de-DE" w:bidi="en-US"/>
        </w:rPr>
      </w:pPr>
      <w:r w:rsidRPr="006F225A">
        <w:rPr>
          <w:lang w:val="en-GB"/>
        </w:rPr>
        <w:br w:type="page"/>
      </w:r>
    </w:p>
    <w:p w14:paraId="34008BAF" w14:textId="51DB2254" w:rsidR="00F538A4" w:rsidRPr="006F225A" w:rsidRDefault="0081410D" w:rsidP="0081410D">
      <w:pPr>
        <w:pStyle w:val="MDPI21heading1"/>
        <w:rPr>
          <w:lang w:val="en-GB"/>
        </w:rPr>
      </w:pPr>
      <w:r w:rsidRPr="006F225A">
        <w:rPr>
          <w:lang w:val="en-GB"/>
        </w:rPr>
        <w:lastRenderedPageBreak/>
        <w:t xml:space="preserve">3. </w:t>
      </w:r>
      <w:r w:rsidR="00F538A4" w:rsidRPr="006F225A">
        <w:rPr>
          <w:lang w:val="en-GB"/>
        </w:rPr>
        <w:t>Results</w:t>
      </w:r>
    </w:p>
    <w:p w14:paraId="13FB97E3" w14:textId="08D926A2" w:rsidR="00D23865" w:rsidRPr="006F225A" w:rsidRDefault="0081410D" w:rsidP="0081410D">
      <w:pPr>
        <w:pStyle w:val="MDPI22heading2"/>
        <w:rPr>
          <w:lang w:val="en-GB"/>
        </w:rPr>
      </w:pPr>
      <w:r w:rsidRPr="006F225A">
        <w:rPr>
          <w:lang w:val="en-GB"/>
        </w:rPr>
        <w:t xml:space="preserve">3.1. </w:t>
      </w:r>
      <w:r w:rsidR="00D23865" w:rsidRPr="006F225A">
        <w:rPr>
          <w:lang w:val="en-GB"/>
        </w:rPr>
        <w:t xml:space="preserve">Search </w:t>
      </w:r>
      <w:r w:rsidR="000C076D" w:rsidRPr="006F225A">
        <w:rPr>
          <w:lang w:val="en-GB"/>
        </w:rPr>
        <w:t>Results</w:t>
      </w:r>
    </w:p>
    <w:p w14:paraId="35FE94BD" w14:textId="77777777" w:rsidR="00D23865" w:rsidRPr="006F225A" w:rsidRDefault="00D23865" w:rsidP="0081410D">
      <w:pPr>
        <w:pStyle w:val="MDPI31text"/>
        <w:rPr>
          <w:lang w:val="en-GB"/>
        </w:rPr>
      </w:pPr>
      <w:r w:rsidRPr="006F225A">
        <w:rPr>
          <w:lang w:val="en-GB"/>
        </w:rPr>
        <w:t>Of 2257 articles screened, we reviewed the full text of 59 studies. After careful review, the authors agreed on the inclusion of 29 studies for the narrative synthesis. Figure 1 shows the PRISMA flow diagram.</w:t>
      </w:r>
    </w:p>
    <w:p w14:paraId="5A9AC679" w14:textId="77777777" w:rsidR="00D23865" w:rsidRPr="006F225A" w:rsidRDefault="00753D37" w:rsidP="008E4C96">
      <w:pPr>
        <w:pStyle w:val="MDPI52figure"/>
        <w:ind w:left="2608"/>
        <w:jc w:val="left"/>
        <w:rPr>
          <w:lang w:val="en-GB"/>
        </w:rPr>
      </w:pPr>
      <w:r w:rsidRPr="006F225A">
        <w:rPr>
          <w:noProof/>
          <w:snapToGrid/>
          <w:lang w:val="en-GB"/>
        </w:rPr>
        <w:drawing>
          <wp:inline distT="0" distB="0" distL="0" distR="0" wp14:anchorId="0C354C25" wp14:editId="416BA472">
            <wp:extent cx="4135981" cy="5416550"/>
            <wp:effectExtent l="0" t="0" r="0" b="0"/>
            <wp:docPr id="6" name="Obraz 2" descr="C:\Users\Ela\Desktop\Prisma flow diagram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Ela\Desktop\Prisma flow diagram .png"/>
                    <pic:cNvPicPr>
                      <a:picLocks noChangeAspect="1" noChangeArrowheads="1"/>
                    </pic:cNvPicPr>
                  </pic:nvPicPr>
                  <pic:blipFill>
                    <a:blip r:embed="rId9"/>
                    <a:srcRect/>
                    <a:stretch>
                      <a:fillRect/>
                    </a:stretch>
                  </pic:blipFill>
                  <pic:spPr bwMode="auto">
                    <a:xfrm>
                      <a:off x="0" y="0"/>
                      <a:ext cx="4143764" cy="5426743"/>
                    </a:xfrm>
                    <a:prstGeom prst="rect">
                      <a:avLst/>
                    </a:prstGeom>
                    <a:noFill/>
                    <a:ln w="9525">
                      <a:noFill/>
                      <a:miter lim="800000"/>
                      <a:headEnd/>
                      <a:tailEnd/>
                    </a:ln>
                  </pic:spPr>
                </pic:pic>
              </a:graphicData>
            </a:graphic>
          </wp:inline>
        </w:drawing>
      </w:r>
    </w:p>
    <w:p w14:paraId="74B0F1A9" w14:textId="338CFBB9" w:rsidR="00D23865" w:rsidRPr="006F225A" w:rsidRDefault="0081410D" w:rsidP="0081410D">
      <w:pPr>
        <w:pStyle w:val="MDPI51figurecaption"/>
        <w:rPr>
          <w:lang w:val="en-GB"/>
        </w:rPr>
      </w:pPr>
      <w:r w:rsidRPr="006F225A">
        <w:rPr>
          <w:b/>
          <w:bCs/>
          <w:lang w:val="en-GB"/>
        </w:rPr>
        <w:t xml:space="preserve">Figure 1. </w:t>
      </w:r>
      <w:r w:rsidR="00D23865" w:rsidRPr="006F225A">
        <w:rPr>
          <w:lang w:val="en-GB"/>
        </w:rPr>
        <w:t>PRISMA flow diagram illustrating article selection</w:t>
      </w:r>
      <w:r w:rsidR="00C374DF" w:rsidRPr="006F225A">
        <w:rPr>
          <w:lang w:val="en-GB"/>
        </w:rPr>
        <w:t>.</w:t>
      </w:r>
    </w:p>
    <w:p w14:paraId="736609F3" w14:textId="3A359C8D" w:rsidR="00905164" w:rsidRPr="006F225A" w:rsidRDefault="00CD5111" w:rsidP="00CD5111">
      <w:pPr>
        <w:pStyle w:val="MDPI22heading2"/>
        <w:spacing w:before="240"/>
        <w:rPr>
          <w:lang w:val="en-GB"/>
        </w:rPr>
      </w:pPr>
      <w:r w:rsidRPr="006F225A">
        <w:rPr>
          <w:lang w:val="en-GB"/>
        </w:rPr>
        <w:t xml:space="preserve">3.2. </w:t>
      </w:r>
      <w:r w:rsidR="00905164" w:rsidRPr="006F225A">
        <w:rPr>
          <w:lang w:val="en-GB"/>
        </w:rPr>
        <w:t xml:space="preserve">Studies’ </w:t>
      </w:r>
      <w:r w:rsidR="00747F47" w:rsidRPr="006F225A">
        <w:rPr>
          <w:lang w:val="en-GB"/>
        </w:rPr>
        <w:t>Characteristics</w:t>
      </w:r>
    </w:p>
    <w:p w14:paraId="2C98B2B4" w14:textId="31434502" w:rsidR="00905164" w:rsidRPr="006F225A" w:rsidRDefault="00905164" w:rsidP="00CD5111">
      <w:pPr>
        <w:pStyle w:val="MDPI31text"/>
        <w:rPr>
          <w:lang w:val="en-GB"/>
        </w:rPr>
      </w:pPr>
      <w:r w:rsidRPr="006F225A">
        <w:rPr>
          <w:lang w:val="en-GB"/>
        </w:rPr>
        <w:t>All included studies were published between 1991 and 2021. The 29 included studies yielded a total of 863,346 patients and the age ranged from 3 days to 87 years old. Study characteristics can be found in Table 1. A total of 51.5% were male.</w:t>
      </w:r>
    </w:p>
    <w:p w14:paraId="790C6DF1" w14:textId="7F242BD9" w:rsidR="00905164" w:rsidRPr="006F225A" w:rsidRDefault="00905164" w:rsidP="00CD5111">
      <w:pPr>
        <w:pStyle w:val="MDPI31text"/>
        <w:rPr>
          <w:lang w:val="en-GB"/>
        </w:rPr>
      </w:pPr>
      <w:r w:rsidRPr="006F225A">
        <w:rPr>
          <w:lang w:val="en-GB"/>
        </w:rPr>
        <w:t xml:space="preserve">Regarding populations, 21 studies were conducted on paediatric patients. Four studies </w:t>
      </w:r>
      <w:r w:rsidRPr="006F225A">
        <w:rPr>
          <w:spacing w:val="-4"/>
          <w:lang w:val="en-GB"/>
        </w:rPr>
        <w:t xml:space="preserve">reported the prevalence of IV rehydration in children admitted to the hospital with diagnosis of diarrhoea </w:t>
      </w:r>
      <w:r w:rsidR="0073208A" w:rsidRPr="006F225A">
        <w:rPr>
          <w:spacing w:val="-4"/>
          <w:lang w:val="en-GB"/>
        </w:rPr>
        <w:t>[13</w:t>
      </w:r>
      <w:r w:rsidR="008B393C" w:rsidRPr="006F225A">
        <w:rPr>
          <w:spacing w:val="-4"/>
          <w:lang w:val="en-GB"/>
        </w:rPr>
        <w:t>–</w:t>
      </w:r>
      <w:r w:rsidR="0073208A" w:rsidRPr="006F225A">
        <w:rPr>
          <w:spacing w:val="-4"/>
          <w:lang w:val="en-GB"/>
        </w:rPr>
        <w:t>16]</w:t>
      </w:r>
      <w:r w:rsidR="00307EE0" w:rsidRPr="006F225A">
        <w:rPr>
          <w:spacing w:val="-4"/>
          <w:lang w:val="en-GB"/>
        </w:rPr>
        <w:t>;</w:t>
      </w:r>
      <w:r w:rsidR="0073208A" w:rsidRPr="006F225A">
        <w:rPr>
          <w:spacing w:val="-4"/>
          <w:lang w:val="en-GB"/>
        </w:rPr>
        <w:t xml:space="preserve"> </w:t>
      </w:r>
      <w:r w:rsidRPr="006F225A">
        <w:rPr>
          <w:spacing w:val="-4"/>
          <w:lang w:val="en-GB"/>
        </w:rPr>
        <w:t xml:space="preserve">ten studies </w:t>
      </w:r>
      <w:r w:rsidR="00D56F18" w:rsidRPr="006F225A">
        <w:rPr>
          <w:spacing w:val="-4"/>
          <w:lang w:val="en-GB"/>
        </w:rPr>
        <w:t>considered</w:t>
      </w:r>
      <w:r w:rsidRPr="006F225A">
        <w:rPr>
          <w:spacing w:val="-4"/>
          <w:lang w:val="en-GB"/>
        </w:rPr>
        <w:t xml:space="preserve"> children admitted to the hospital with diagnosis of acute gastroenteritis </w:t>
      </w:r>
      <w:r w:rsidR="00307EE0" w:rsidRPr="006F225A">
        <w:rPr>
          <w:spacing w:val="-4"/>
          <w:lang w:val="en-GB"/>
        </w:rPr>
        <w:t>[</w:t>
      </w:r>
      <w:r w:rsidR="0073208A" w:rsidRPr="006F225A">
        <w:rPr>
          <w:spacing w:val="-4"/>
          <w:lang w:val="en-GB"/>
        </w:rPr>
        <w:t>18</w:t>
      </w:r>
      <w:r w:rsidR="008B393C" w:rsidRPr="006F225A">
        <w:rPr>
          <w:spacing w:val="-4"/>
          <w:lang w:val="en-GB"/>
        </w:rPr>
        <w:t>–</w:t>
      </w:r>
      <w:r w:rsidR="007E66E2" w:rsidRPr="006F225A">
        <w:rPr>
          <w:spacing w:val="-4"/>
          <w:lang w:val="en-GB"/>
        </w:rPr>
        <w:t>28</w:t>
      </w:r>
      <w:r w:rsidR="00307EE0" w:rsidRPr="006F225A">
        <w:rPr>
          <w:spacing w:val="-4"/>
          <w:lang w:val="en-GB"/>
        </w:rPr>
        <w:t xml:space="preserve">]; </w:t>
      </w:r>
      <w:r w:rsidRPr="006F225A">
        <w:rPr>
          <w:spacing w:val="-4"/>
          <w:lang w:val="en-GB"/>
        </w:rPr>
        <w:t xml:space="preserve">two studies </w:t>
      </w:r>
      <w:r w:rsidR="00D56F18" w:rsidRPr="006F225A">
        <w:rPr>
          <w:spacing w:val="-4"/>
          <w:lang w:val="en-GB"/>
        </w:rPr>
        <w:t xml:space="preserve">considered </w:t>
      </w:r>
      <w:r w:rsidRPr="006F225A">
        <w:rPr>
          <w:spacing w:val="-4"/>
          <w:lang w:val="en-GB"/>
        </w:rPr>
        <w:t xml:space="preserve">children hospitalised with dehydration </w:t>
      </w:r>
      <w:r w:rsidR="00307EE0" w:rsidRPr="006F225A">
        <w:rPr>
          <w:spacing w:val="-4"/>
          <w:lang w:val="en-GB"/>
        </w:rPr>
        <w:t>[2</w:t>
      </w:r>
      <w:r w:rsidR="007E66E2" w:rsidRPr="006F225A">
        <w:rPr>
          <w:spacing w:val="-4"/>
          <w:lang w:val="en-GB"/>
        </w:rPr>
        <w:t>9</w:t>
      </w:r>
      <w:r w:rsidR="00307EE0" w:rsidRPr="006F225A">
        <w:rPr>
          <w:spacing w:val="-4"/>
          <w:lang w:val="en-GB"/>
        </w:rPr>
        <w:t>,</w:t>
      </w:r>
      <w:r w:rsidR="007E66E2" w:rsidRPr="006F225A">
        <w:rPr>
          <w:spacing w:val="-4"/>
          <w:lang w:val="en-GB"/>
        </w:rPr>
        <w:t>30</w:t>
      </w:r>
      <w:r w:rsidR="00307EE0" w:rsidRPr="006F225A">
        <w:rPr>
          <w:spacing w:val="-4"/>
          <w:lang w:val="en-GB"/>
        </w:rPr>
        <w:t>]</w:t>
      </w:r>
      <w:r w:rsidRPr="006F225A">
        <w:rPr>
          <w:spacing w:val="-4"/>
          <w:lang w:val="en-GB"/>
        </w:rPr>
        <w:t xml:space="preserve">; one study </w:t>
      </w:r>
      <w:r w:rsidR="00D56F18" w:rsidRPr="006F225A">
        <w:rPr>
          <w:spacing w:val="-4"/>
          <w:lang w:val="en-GB"/>
        </w:rPr>
        <w:t xml:space="preserve">considered </w:t>
      </w:r>
      <w:r w:rsidRPr="006F225A">
        <w:rPr>
          <w:spacing w:val="-4"/>
          <w:lang w:val="en-GB"/>
        </w:rPr>
        <w:t xml:space="preserve">children admitted to the hospital with chronic neuromuscular disorder </w:t>
      </w:r>
      <w:r w:rsidR="00307EE0" w:rsidRPr="006F225A">
        <w:rPr>
          <w:spacing w:val="-4"/>
          <w:lang w:val="en-GB"/>
        </w:rPr>
        <w:t>[3</w:t>
      </w:r>
      <w:r w:rsidR="007E66E2" w:rsidRPr="006F225A">
        <w:rPr>
          <w:spacing w:val="-4"/>
          <w:lang w:val="en-GB"/>
        </w:rPr>
        <w:t>1</w:t>
      </w:r>
      <w:r w:rsidR="00307EE0" w:rsidRPr="006F225A">
        <w:rPr>
          <w:spacing w:val="-4"/>
          <w:lang w:val="en-GB"/>
        </w:rPr>
        <w:t xml:space="preserve">]; </w:t>
      </w:r>
      <w:r w:rsidRPr="006F225A">
        <w:rPr>
          <w:spacing w:val="-4"/>
          <w:lang w:val="en-GB"/>
        </w:rPr>
        <w:t xml:space="preserve">one study </w:t>
      </w:r>
      <w:r w:rsidR="00D56F18" w:rsidRPr="006F225A">
        <w:rPr>
          <w:spacing w:val="-4"/>
          <w:lang w:val="en-GB"/>
        </w:rPr>
        <w:t>considered</w:t>
      </w:r>
      <w:r w:rsidRPr="006F225A">
        <w:rPr>
          <w:spacing w:val="-4"/>
          <w:lang w:val="en-GB"/>
        </w:rPr>
        <w:t xml:space="preserve"> children admitted to the hospital with severe acute malnutrition </w:t>
      </w:r>
      <w:r w:rsidR="00307EE0" w:rsidRPr="006F225A">
        <w:rPr>
          <w:spacing w:val="-4"/>
          <w:lang w:val="en-GB"/>
        </w:rPr>
        <w:t>[3</w:t>
      </w:r>
      <w:r w:rsidR="007E66E2" w:rsidRPr="006F225A">
        <w:rPr>
          <w:spacing w:val="-4"/>
          <w:lang w:val="en-GB"/>
        </w:rPr>
        <w:t>2</w:t>
      </w:r>
      <w:r w:rsidR="00307EE0" w:rsidRPr="006F225A">
        <w:rPr>
          <w:spacing w:val="-4"/>
          <w:lang w:val="en-GB"/>
        </w:rPr>
        <w:t>]</w:t>
      </w:r>
      <w:r w:rsidRPr="006F225A">
        <w:rPr>
          <w:spacing w:val="-4"/>
          <w:lang w:val="en-GB"/>
        </w:rPr>
        <w:t xml:space="preserve">; one study </w:t>
      </w:r>
      <w:r w:rsidR="00D56F18" w:rsidRPr="006F225A">
        <w:rPr>
          <w:spacing w:val="-4"/>
          <w:lang w:val="en-GB"/>
        </w:rPr>
        <w:t>considered</w:t>
      </w:r>
      <w:r w:rsidRPr="006F225A">
        <w:rPr>
          <w:spacing w:val="-4"/>
          <w:lang w:val="en-GB"/>
        </w:rPr>
        <w:t xml:space="preserve"> children hospitalised with laboratory-confirmed influenza </w:t>
      </w:r>
      <w:r w:rsidR="00307EE0" w:rsidRPr="006F225A">
        <w:rPr>
          <w:spacing w:val="-4"/>
          <w:lang w:val="en-GB"/>
        </w:rPr>
        <w:t>[3</w:t>
      </w:r>
      <w:r w:rsidR="007E66E2" w:rsidRPr="006F225A">
        <w:rPr>
          <w:spacing w:val="-4"/>
          <w:lang w:val="en-GB"/>
        </w:rPr>
        <w:t>3</w:t>
      </w:r>
      <w:r w:rsidR="00307EE0" w:rsidRPr="006F225A">
        <w:rPr>
          <w:spacing w:val="-4"/>
          <w:lang w:val="en-GB"/>
        </w:rPr>
        <w:t>]</w:t>
      </w:r>
      <w:r w:rsidRPr="006F225A">
        <w:rPr>
          <w:spacing w:val="-4"/>
          <w:lang w:val="en-GB"/>
        </w:rPr>
        <w:t xml:space="preserve">; and one study </w:t>
      </w:r>
      <w:r w:rsidR="00D56F18" w:rsidRPr="006F225A">
        <w:rPr>
          <w:spacing w:val="-4"/>
          <w:lang w:val="en-GB"/>
        </w:rPr>
        <w:t>considered</w:t>
      </w:r>
      <w:r w:rsidRPr="006F225A">
        <w:rPr>
          <w:spacing w:val="-4"/>
          <w:lang w:val="en-GB"/>
        </w:rPr>
        <w:t xml:space="preserve"> children hospitalised with bronchiolitis </w:t>
      </w:r>
      <w:r w:rsidR="00307EE0" w:rsidRPr="006F225A">
        <w:rPr>
          <w:spacing w:val="-4"/>
          <w:lang w:val="en-GB"/>
        </w:rPr>
        <w:t>[3</w:t>
      </w:r>
      <w:r w:rsidR="007E66E2" w:rsidRPr="006F225A">
        <w:rPr>
          <w:spacing w:val="-4"/>
          <w:lang w:val="en-GB"/>
        </w:rPr>
        <w:t>4</w:t>
      </w:r>
      <w:r w:rsidR="00307EE0" w:rsidRPr="006F225A">
        <w:rPr>
          <w:spacing w:val="-4"/>
          <w:lang w:val="en-GB"/>
        </w:rPr>
        <w:t>]</w:t>
      </w:r>
      <w:r w:rsidRPr="006F225A">
        <w:rPr>
          <w:spacing w:val="-4"/>
          <w:lang w:val="en-GB"/>
        </w:rPr>
        <w:t>.</w:t>
      </w:r>
    </w:p>
    <w:p w14:paraId="6CE2AC7C" w14:textId="29B313A0" w:rsidR="001A7897" w:rsidRPr="006F225A" w:rsidRDefault="00905164" w:rsidP="00CD5111">
      <w:pPr>
        <w:pStyle w:val="MDPI31text"/>
        <w:rPr>
          <w:lang w:val="en-GB"/>
        </w:rPr>
        <w:sectPr w:rsidR="001A7897" w:rsidRPr="006F225A" w:rsidSect="00070C6E">
          <w:headerReference w:type="even" r:id="rId10"/>
          <w:headerReference w:type="default" r:id="rId11"/>
          <w:footerReference w:type="default" r:id="rId12"/>
          <w:headerReference w:type="first" r:id="rId13"/>
          <w:footerReference w:type="first" r:id="rId14"/>
          <w:type w:val="continuous"/>
          <w:pgSz w:w="11906" w:h="16838" w:code="9"/>
          <w:pgMar w:top="1417" w:right="720" w:bottom="1077" w:left="720" w:header="1020" w:footer="340" w:gutter="0"/>
          <w:pgNumType w:start="1"/>
          <w:cols w:space="425"/>
          <w:titlePg/>
          <w:bidi/>
          <w:docGrid w:type="lines" w:linePitch="326"/>
        </w:sectPr>
      </w:pPr>
      <w:r w:rsidRPr="006F225A">
        <w:rPr>
          <w:lang w:val="en-GB"/>
        </w:rPr>
        <w:lastRenderedPageBreak/>
        <w:t xml:space="preserve">Eight studies were conducted on adult patients. One study investigated the prevalence of IV rehydration in patients with incurable cancer </w:t>
      </w:r>
      <w:r w:rsidR="00307EE0" w:rsidRPr="006F225A">
        <w:rPr>
          <w:lang w:val="en-GB"/>
        </w:rPr>
        <w:t>[3</w:t>
      </w:r>
      <w:r w:rsidR="007E66E2" w:rsidRPr="006F225A">
        <w:rPr>
          <w:lang w:val="en-GB"/>
        </w:rPr>
        <w:t>5</w:t>
      </w:r>
      <w:r w:rsidR="00307EE0" w:rsidRPr="006F225A">
        <w:rPr>
          <w:lang w:val="en-GB"/>
        </w:rPr>
        <w:t>]</w:t>
      </w:r>
      <w:r w:rsidRPr="006F225A">
        <w:rPr>
          <w:lang w:val="en-GB"/>
        </w:rPr>
        <w:t>; two studies in</w:t>
      </w:r>
      <w:r w:rsidR="00D56F18" w:rsidRPr="006F225A">
        <w:rPr>
          <w:lang w:val="en-GB"/>
        </w:rPr>
        <w:t>vestigated</w:t>
      </w:r>
      <w:r w:rsidRPr="006F225A">
        <w:rPr>
          <w:lang w:val="en-GB"/>
        </w:rPr>
        <w:t xml:space="preserve"> patients with fever and other signs of dengue </w:t>
      </w:r>
      <w:r w:rsidR="00307EE0" w:rsidRPr="006F225A">
        <w:rPr>
          <w:lang w:val="en-GB"/>
        </w:rPr>
        <w:t>[3</w:t>
      </w:r>
      <w:r w:rsidR="007E66E2" w:rsidRPr="006F225A">
        <w:rPr>
          <w:lang w:val="en-GB"/>
        </w:rPr>
        <w:t>6</w:t>
      </w:r>
      <w:r w:rsidR="00307EE0" w:rsidRPr="006F225A">
        <w:rPr>
          <w:lang w:val="en-GB"/>
        </w:rPr>
        <w:t>,3</w:t>
      </w:r>
      <w:r w:rsidR="007E66E2" w:rsidRPr="006F225A">
        <w:rPr>
          <w:lang w:val="en-GB"/>
        </w:rPr>
        <w:t>7</w:t>
      </w:r>
      <w:r w:rsidR="00307EE0" w:rsidRPr="006F225A">
        <w:rPr>
          <w:lang w:val="en-GB"/>
        </w:rPr>
        <w:t>]</w:t>
      </w:r>
      <w:r w:rsidRPr="006F225A">
        <w:rPr>
          <w:lang w:val="en-GB"/>
        </w:rPr>
        <w:t>; one study in</w:t>
      </w:r>
      <w:r w:rsidR="00D56F18" w:rsidRPr="006F225A">
        <w:rPr>
          <w:lang w:val="en-GB"/>
        </w:rPr>
        <w:t>vestigated</w:t>
      </w:r>
      <w:r w:rsidRPr="006F225A">
        <w:rPr>
          <w:lang w:val="en-GB"/>
        </w:rPr>
        <w:t xml:space="preserve"> patients admitted to the cholera isolation ward </w:t>
      </w:r>
      <w:r w:rsidR="00307EE0" w:rsidRPr="006F225A">
        <w:rPr>
          <w:lang w:val="en-GB"/>
        </w:rPr>
        <w:t>[3</w:t>
      </w:r>
      <w:r w:rsidR="007E66E2" w:rsidRPr="006F225A">
        <w:rPr>
          <w:lang w:val="en-GB"/>
        </w:rPr>
        <w:t>8</w:t>
      </w:r>
      <w:r w:rsidR="00307EE0" w:rsidRPr="006F225A">
        <w:rPr>
          <w:lang w:val="en-GB"/>
        </w:rPr>
        <w:t>]</w:t>
      </w:r>
      <w:r w:rsidRPr="006F225A">
        <w:rPr>
          <w:lang w:val="en-GB"/>
        </w:rPr>
        <w:t>; one study in</w:t>
      </w:r>
      <w:r w:rsidR="00D56F18" w:rsidRPr="006F225A">
        <w:rPr>
          <w:lang w:val="en-GB"/>
        </w:rPr>
        <w:t>vestigated</w:t>
      </w:r>
      <w:r w:rsidRPr="006F225A">
        <w:rPr>
          <w:lang w:val="en-GB"/>
        </w:rPr>
        <w:t xml:space="preserve"> patients who had single substance ingestion of </w:t>
      </w:r>
      <w:proofErr w:type="spellStart"/>
      <w:r w:rsidRPr="006F225A">
        <w:rPr>
          <w:lang w:val="en-GB"/>
        </w:rPr>
        <w:t>modafani</w:t>
      </w:r>
      <w:proofErr w:type="spellEnd"/>
      <w:r w:rsidRPr="006F225A">
        <w:rPr>
          <w:lang w:val="en-GB"/>
        </w:rPr>
        <w:t xml:space="preserve"> </w:t>
      </w:r>
      <w:r w:rsidR="00307EE0" w:rsidRPr="006F225A">
        <w:rPr>
          <w:lang w:val="en-GB"/>
        </w:rPr>
        <w:t>[3</w:t>
      </w:r>
      <w:r w:rsidR="007E66E2" w:rsidRPr="006F225A">
        <w:rPr>
          <w:lang w:val="en-GB"/>
        </w:rPr>
        <w:t>9</w:t>
      </w:r>
      <w:r w:rsidR="00307EE0" w:rsidRPr="006F225A">
        <w:rPr>
          <w:lang w:val="en-GB"/>
        </w:rPr>
        <w:t>]</w:t>
      </w:r>
      <w:r w:rsidRPr="006F225A">
        <w:rPr>
          <w:lang w:val="en-GB"/>
        </w:rPr>
        <w:t>; one study in</w:t>
      </w:r>
      <w:r w:rsidR="00D56F18" w:rsidRPr="006F225A">
        <w:rPr>
          <w:lang w:val="en-GB"/>
        </w:rPr>
        <w:t>vestigated</w:t>
      </w:r>
      <w:r w:rsidRPr="006F225A">
        <w:rPr>
          <w:lang w:val="en-GB"/>
        </w:rPr>
        <w:t xml:space="preserve"> patients with diarrhoea </w:t>
      </w:r>
      <w:r w:rsidR="00307EE0" w:rsidRPr="006F225A">
        <w:rPr>
          <w:lang w:val="en-GB"/>
        </w:rPr>
        <w:t>[</w:t>
      </w:r>
      <w:r w:rsidR="007E66E2" w:rsidRPr="006F225A">
        <w:rPr>
          <w:lang w:val="en-GB"/>
        </w:rPr>
        <w:t>40</w:t>
      </w:r>
      <w:r w:rsidR="00307EE0" w:rsidRPr="006F225A">
        <w:rPr>
          <w:lang w:val="en-GB"/>
        </w:rPr>
        <w:t>]</w:t>
      </w:r>
      <w:r w:rsidRPr="006F225A">
        <w:rPr>
          <w:lang w:val="en-GB"/>
        </w:rPr>
        <w:t>; one study in</w:t>
      </w:r>
      <w:r w:rsidR="00D56F18" w:rsidRPr="006F225A">
        <w:rPr>
          <w:lang w:val="en-GB"/>
        </w:rPr>
        <w:t>vestigated</w:t>
      </w:r>
      <w:r w:rsidRPr="006F225A">
        <w:rPr>
          <w:lang w:val="en-GB"/>
        </w:rPr>
        <w:t xml:space="preserve"> patients with hypercalcemia </w:t>
      </w:r>
      <w:r w:rsidR="00307EE0" w:rsidRPr="006F225A">
        <w:rPr>
          <w:lang w:val="en-GB"/>
        </w:rPr>
        <w:t>[4</w:t>
      </w:r>
      <w:r w:rsidR="007E66E2" w:rsidRPr="006F225A">
        <w:rPr>
          <w:lang w:val="en-GB"/>
        </w:rPr>
        <w:t>1</w:t>
      </w:r>
      <w:r w:rsidR="00307EE0" w:rsidRPr="006F225A">
        <w:rPr>
          <w:lang w:val="en-GB"/>
        </w:rPr>
        <w:t>]</w:t>
      </w:r>
      <w:r w:rsidRPr="006F225A">
        <w:rPr>
          <w:lang w:val="en-GB"/>
        </w:rPr>
        <w:t>; and one study in</w:t>
      </w:r>
      <w:r w:rsidR="00D56F18" w:rsidRPr="006F225A">
        <w:rPr>
          <w:lang w:val="en-GB"/>
        </w:rPr>
        <w:t>vestigated</w:t>
      </w:r>
      <w:r w:rsidRPr="006F225A">
        <w:rPr>
          <w:lang w:val="en-GB"/>
        </w:rPr>
        <w:t xml:space="preserve"> patients with postural tachycardia syndrome </w:t>
      </w:r>
      <w:r w:rsidR="00307EE0" w:rsidRPr="006F225A">
        <w:rPr>
          <w:lang w:val="en-GB"/>
        </w:rPr>
        <w:t>[4</w:t>
      </w:r>
      <w:r w:rsidR="007E66E2" w:rsidRPr="006F225A">
        <w:rPr>
          <w:lang w:val="en-GB"/>
        </w:rPr>
        <w:t>2</w:t>
      </w:r>
      <w:r w:rsidR="00307EE0" w:rsidRPr="006F225A">
        <w:rPr>
          <w:lang w:val="en-GB"/>
        </w:rPr>
        <w:t>]</w:t>
      </w:r>
      <w:r w:rsidR="001A7897" w:rsidRPr="006F225A">
        <w:rPr>
          <w:lang w:val="en-GB"/>
        </w:rPr>
        <w:t>.</w:t>
      </w:r>
    </w:p>
    <w:p w14:paraId="5B2D5D3E" w14:textId="141CD19B" w:rsidR="00D0052F" w:rsidRPr="006F225A" w:rsidRDefault="00A57945" w:rsidP="00A57945">
      <w:pPr>
        <w:pStyle w:val="MDPI41tablecaption"/>
        <w:rPr>
          <w:lang w:val="en-GB"/>
        </w:rPr>
      </w:pPr>
      <w:r w:rsidRPr="006F225A">
        <w:rPr>
          <w:b/>
          <w:bCs/>
          <w:lang w:val="en-GB"/>
        </w:rPr>
        <w:lastRenderedPageBreak/>
        <w:t xml:space="preserve">Table 1. </w:t>
      </w:r>
      <w:r w:rsidR="001A7897" w:rsidRPr="006F225A">
        <w:rPr>
          <w:lang w:val="en-GB"/>
        </w:rPr>
        <w:t>Demographic characteristics of included studies</w:t>
      </w:r>
      <w:r w:rsidRPr="006F225A">
        <w:rPr>
          <w:lang w:val="en-GB"/>
        </w:rPr>
        <w:t>.</w:t>
      </w:r>
    </w:p>
    <w:tbl>
      <w:tblPr>
        <w:tblW w:w="5000" w:type="pct"/>
        <w:jc w:val="center"/>
        <w:shd w:val="clear" w:color="auto" w:fill="00A2FF"/>
        <w:tblCellMar>
          <w:left w:w="0" w:type="dxa"/>
          <w:right w:w="0" w:type="dxa"/>
        </w:tblCellMar>
        <w:tblLook w:val="04A0" w:firstRow="1" w:lastRow="0" w:firstColumn="1" w:lastColumn="0" w:noHBand="0" w:noVBand="1"/>
      </w:tblPr>
      <w:tblGrid>
        <w:gridCol w:w="1515"/>
        <w:gridCol w:w="1210"/>
        <w:gridCol w:w="1361"/>
        <w:gridCol w:w="1358"/>
        <w:gridCol w:w="1220"/>
        <w:gridCol w:w="1503"/>
        <w:gridCol w:w="1361"/>
        <w:gridCol w:w="1783"/>
        <w:gridCol w:w="1081"/>
        <w:gridCol w:w="1928"/>
        <w:gridCol w:w="1078"/>
      </w:tblGrid>
      <w:tr w:rsidR="009D7BC8" w:rsidRPr="006F225A" w14:paraId="76E21269" w14:textId="77777777" w:rsidTr="00A57945">
        <w:trPr>
          <w:jc w:val="center"/>
        </w:trPr>
        <w:tc>
          <w:tcPr>
            <w:tcW w:w="492" w:type="pct"/>
            <w:tcBorders>
              <w:top w:val="single" w:sz="8" w:space="0" w:color="auto"/>
              <w:bottom w:val="single" w:sz="4" w:space="0" w:color="auto"/>
            </w:tcBorders>
            <w:shd w:val="clear" w:color="auto" w:fill="FFFFFF"/>
            <w:tcMar>
              <w:top w:w="80" w:type="dxa"/>
              <w:left w:w="80" w:type="dxa"/>
              <w:bottom w:w="80" w:type="dxa"/>
              <w:right w:w="80" w:type="dxa"/>
            </w:tcMar>
            <w:vAlign w:val="center"/>
          </w:tcPr>
          <w:p w14:paraId="765EF201" w14:textId="00C3AEB8" w:rsidR="00D0052F" w:rsidRPr="006F225A" w:rsidRDefault="00D0052F" w:rsidP="00A57945">
            <w:pPr>
              <w:pStyle w:val="BodyA"/>
              <w:autoSpaceDE w:val="0"/>
              <w:autoSpaceDN w:val="0"/>
              <w:adjustRightInd w:val="0"/>
              <w:snapToGrid w:val="0"/>
              <w:jc w:val="center"/>
              <w:rPr>
                <w:rFonts w:ascii="Palatino Linotype" w:hAnsi="Palatino Linotype"/>
                <w:b/>
                <w:color w:val="auto"/>
                <w:sz w:val="18"/>
                <w:szCs w:val="16"/>
                <w:lang w:val="en-GB"/>
              </w:rPr>
            </w:pPr>
            <w:r w:rsidRPr="006F225A">
              <w:rPr>
                <w:rStyle w:val="None"/>
                <w:rFonts w:ascii="Palatino Linotype" w:hAnsi="Palatino Linotype"/>
                <w:b/>
                <w:bCs/>
                <w:color w:val="auto"/>
                <w:sz w:val="18"/>
                <w:szCs w:val="16"/>
                <w:lang w:val="en-GB"/>
              </w:rPr>
              <w:t xml:space="preserve">Author, </w:t>
            </w:r>
            <w:r w:rsidR="0034123F" w:rsidRPr="006F225A">
              <w:rPr>
                <w:rStyle w:val="None"/>
                <w:rFonts w:ascii="Palatino Linotype" w:hAnsi="Palatino Linotype"/>
                <w:b/>
                <w:bCs/>
                <w:color w:val="auto"/>
                <w:sz w:val="18"/>
                <w:szCs w:val="16"/>
                <w:lang w:val="en-GB"/>
              </w:rPr>
              <w:t>Year</w:t>
            </w:r>
          </w:p>
        </w:tc>
        <w:tc>
          <w:tcPr>
            <w:tcW w:w="393" w:type="pct"/>
            <w:tcBorders>
              <w:top w:val="single" w:sz="8" w:space="0" w:color="auto"/>
              <w:bottom w:val="single" w:sz="4" w:space="0" w:color="auto"/>
            </w:tcBorders>
            <w:shd w:val="clear" w:color="auto" w:fill="FFFFFF"/>
            <w:tcMar>
              <w:top w:w="80" w:type="dxa"/>
              <w:left w:w="80" w:type="dxa"/>
              <w:bottom w:w="80" w:type="dxa"/>
              <w:right w:w="80" w:type="dxa"/>
            </w:tcMar>
            <w:vAlign w:val="center"/>
          </w:tcPr>
          <w:p w14:paraId="33771271" w14:textId="570CDDE4" w:rsidR="00D0052F" w:rsidRPr="006F225A" w:rsidRDefault="00D0052F" w:rsidP="00A57945">
            <w:pPr>
              <w:pStyle w:val="BodyA"/>
              <w:autoSpaceDE w:val="0"/>
              <w:autoSpaceDN w:val="0"/>
              <w:adjustRightInd w:val="0"/>
              <w:snapToGrid w:val="0"/>
              <w:jc w:val="center"/>
              <w:rPr>
                <w:rFonts w:ascii="Palatino Linotype" w:hAnsi="Palatino Linotype"/>
                <w:b/>
                <w:color w:val="auto"/>
                <w:sz w:val="18"/>
                <w:szCs w:val="16"/>
                <w:lang w:val="en-GB"/>
              </w:rPr>
            </w:pPr>
            <w:r w:rsidRPr="006F225A">
              <w:rPr>
                <w:rStyle w:val="None"/>
                <w:rFonts w:ascii="Palatino Linotype" w:hAnsi="Palatino Linotype"/>
                <w:b/>
                <w:bCs/>
                <w:color w:val="auto"/>
                <w:sz w:val="18"/>
                <w:szCs w:val="16"/>
                <w:lang w:val="en-GB"/>
              </w:rPr>
              <w:t>Country</w:t>
            </w:r>
            <w:r w:rsidR="00E239B6" w:rsidRPr="006F225A">
              <w:rPr>
                <w:rStyle w:val="None"/>
                <w:rFonts w:ascii="Palatino Linotype" w:hAnsi="Palatino Linotype"/>
                <w:b/>
                <w:bCs/>
                <w:color w:val="auto"/>
                <w:sz w:val="18"/>
                <w:szCs w:val="16"/>
                <w:lang w:val="en-GB"/>
              </w:rPr>
              <w:t xml:space="preserve"> or </w:t>
            </w:r>
            <w:r w:rsidR="0034123F" w:rsidRPr="006F225A">
              <w:rPr>
                <w:rStyle w:val="None"/>
                <w:rFonts w:ascii="Palatino Linotype" w:hAnsi="Palatino Linotype"/>
                <w:b/>
                <w:bCs/>
                <w:color w:val="auto"/>
                <w:sz w:val="18"/>
                <w:szCs w:val="16"/>
                <w:lang w:val="en-GB"/>
              </w:rPr>
              <w:t>Region</w:t>
            </w:r>
          </w:p>
        </w:tc>
        <w:tc>
          <w:tcPr>
            <w:tcW w:w="442" w:type="pct"/>
            <w:tcBorders>
              <w:top w:val="single" w:sz="8" w:space="0" w:color="auto"/>
              <w:bottom w:val="single" w:sz="4" w:space="0" w:color="auto"/>
            </w:tcBorders>
            <w:shd w:val="clear" w:color="auto" w:fill="FFFFFF"/>
            <w:tcMar>
              <w:top w:w="80" w:type="dxa"/>
              <w:left w:w="80" w:type="dxa"/>
              <w:bottom w:w="80" w:type="dxa"/>
              <w:right w:w="80" w:type="dxa"/>
            </w:tcMar>
            <w:vAlign w:val="center"/>
          </w:tcPr>
          <w:p w14:paraId="7A0B391C" w14:textId="3309944B" w:rsidR="00D0052F" w:rsidRPr="006F225A" w:rsidRDefault="00D0052F" w:rsidP="00A57945">
            <w:pPr>
              <w:pStyle w:val="BodyA"/>
              <w:autoSpaceDE w:val="0"/>
              <w:autoSpaceDN w:val="0"/>
              <w:adjustRightInd w:val="0"/>
              <w:snapToGrid w:val="0"/>
              <w:jc w:val="center"/>
              <w:rPr>
                <w:rFonts w:ascii="Palatino Linotype" w:hAnsi="Palatino Linotype"/>
                <w:b/>
                <w:color w:val="auto"/>
                <w:sz w:val="18"/>
                <w:szCs w:val="16"/>
                <w:lang w:val="en-GB"/>
              </w:rPr>
            </w:pPr>
            <w:r w:rsidRPr="006F225A">
              <w:rPr>
                <w:rStyle w:val="None"/>
                <w:rFonts w:ascii="Palatino Linotype" w:hAnsi="Palatino Linotype"/>
                <w:b/>
                <w:bCs/>
                <w:color w:val="auto"/>
                <w:sz w:val="18"/>
                <w:szCs w:val="16"/>
                <w:lang w:val="en-GB"/>
              </w:rPr>
              <w:t xml:space="preserve">Study </w:t>
            </w:r>
            <w:r w:rsidR="0034123F" w:rsidRPr="006F225A">
              <w:rPr>
                <w:rStyle w:val="None"/>
                <w:rFonts w:ascii="Palatino Linotype" w:hAnsi="Palatino Linotype"/>
                <w:b/>
                <w:bCs/>
                <w:color w:val="auto"/>
                <w:sz w:val="18"/>
                <w:szCs w:val="16"/>
                <w:lang w:val="en-GB"/>
              </w:rPr>
              <w:t>Duration</w:t>
            </w:r>
          </w:p>
        </w:tc>
        <w:tc>
          <w:tcPr>
            <w:tcW w:w="441" w:type="pct"/>
            <w:tcBorders>
              <w:top w:val="single" w:sz="8" w:space="0" w:color="auto"/>
              <w:bottom w:val="single" w:sz="4" w:space="0" w:color="auto"/>
            </w:tcBorders>
            <w:shd w:val="clear" w:color="auto" w:fill="FFFFFF"/>
            <w:tcMar>
              <w:top w:w="80" w:type="dxa"/>
              <w:left w:w="80" w:type="dxa"/>
              <w:bottom w:w="80" w:type="dxa"/>
              <w:right w:w="80" w:type="dxa"/>
            </w:tcMar>
            <w:vAlign w:val="center"/>
          </w:tcPr>
          <w:p w14:paraId="1B9AF2FE" w14:textId="12F8DB39" w:rsidR="00D0052F" w:rsidRPr="006F225A" w:rsidRDefault="00D0052F" w:rsidP="00A57945">
            <w:pPr>
              <w:pStyle w:val="BodyA"/>
              <w:autoSpaceDE w:val="0"/>
              <w:autoSpaceDN w:val="0"/>
              <w:adjustRightInd w:val="0"/>
              <w:snapToGrid w:val="0"/>
              <w:jc w:val="center"/>
              <w:rPr>
                <w:rFonts w:ascii="Palatino Linotype" w:hAnsi="Palatino Linotype"/>
                <w:b/>
                <w:color w:val="auto"/>
                <w:sz w:val="18"/>
                <w:szCs w:val="16"/>
                <w:lang w:val="en-GB"/>
              </w:rPr>
            </w:pPr>
            <w:r w:rsidRPr="006F225A">
              <w:rPr>
                <w:rStyle w:val="None"/>
                <w:rFonts w:ascii="Palatino Linotype" w:hAnsi="Palatino Linotype"/>
                <w:b/>
                <w:bCs/>
                <w:color w:val="auto"/>
                <w:sz w:val="18"/>
                <w:szCs w:val="16"/>
                <w:lang w:val="en-GB"/>
              </w:rPr>
              <w:t xml:space="preserve">Study </w:t>
            </w:r>
            <w:r w:rsidR="0034123F" w:rsidRPr="006F225A">
              <w:rPr>
                <w:rStyle w:val="None"/>
                <w:rFonts w:ascii="Palatino Linotype" w:hAnsi="Palatino Linotype"/>
                <w:b/>
                <w:bCs/>
                <w:color w:val="auto"/>
                <w:sz w:val="18"/>
                <w:szCs w:val="16"/>
                <w:lang w:val="en-GB"/>
              </w:rPr>
              <w:t>Design</w:t>
            </w:r>
          </w:p>
        </w:tc>
        <w:tc>
          <w:tcPr>
            <w:tcW w:w="396" w:type="pct"/>
            <w:tcBorders>
              <w:top w:val="single" w:sz="8" w:space="0" w:color="auto"/>
              <w:bottom w:val="single" w:sz="4" w:space="0" w:color="auto"/>
            </w:tcBorders>
            <w:shd w:val="clear" w:color="auto" w:fill="FFFFFF"/>
            <w:tcMar>
              <w:top w:w="80" w:type="dxa"/>
              <w:left w:w="80" w:type="dxa"/>
              <w:bottom w:w="80" w:type="dxa"/>
              <w:right w:w="80" w:type="dxa"/>
            </w:tcMar>
            <w:vAlign w:val="center"/>
          </w:tcPr>
          <w:p w14:paraId="2268ABA7" w14:textId="20DDEA09" w:rsidR="00D0052F" w:rsidRPr="006F225A" w:rsidRDefault="00D0052F" w:rsidP="00A57945">
            <w:pPr>
              <w:pStyle w:val="BodyA"/>
              <w:autoSpaceDE w:val="0"/>
              <w:autoSpaceDN w:val="0"/>
              <w:adjustRightInd w:val="0"/>
              <w:snapToGrid w:val="0"/>
              <w:jc w:val="center"/>
              <w:rPr>
                <w:rFonts w:ascii="Palatino Linotype" w:hAnsi="Palatino Linotype"/>
                <w:b/>
                <w:color w:val="auto"/>
                <w:sz w:val="18"/>
                <w:szCs w:val="16"/>
                <w:lang w:val="en-GB"/>
              </w:rPr>
            </w:pPr>
            <w:r w:rsidRPr="006F225A">
              <w:rPr>
                <w:rStyle w:val="None"/>
                <w:rFonts w:ascii="Palatino Linotype" w:hAnsi="Palatino Linotype"/>
                <w:b/>
                <w:bCs/>
                <w:color w:val="auto"/>
                <w:sz w:val="18"/>
                <w:szCs w:val="16"/>
                <w:lang w:val="en-GB"/>
              </w:rPr>
              <w:t xml:space="preserve">Sample </w:t>
            </w:r>
            <w:r w:rsidR="0034123F" w:rsidRPr="006F225A">
              <w:rPr>
                <w:rStyle w:val="None"/>
                <w:rFonts w:ascii="Palatino Linotype" w:hAnsi="Palatino Linotype"/>
                <w:b/>
                <w:bCs/>
                <w:color w:val="auto"/>
                <w:sz w:val="18"/>
                <w:szCs w:val="16"/>
                <w:lang w:val="en-GB"/>
              </w:rPr>
              <w:t>Size</w:t>
            </w:r>
          </w:p>
        </w:tc>
        <w:tc>
          <w:tcPr>
            <w:tcW w:w="488" w:type="pct"/>
            <w:tcBorders>
              <w:top w:val="single" w:sz="8" w:space="0" w:color="auto"/>
              <w:bottom w:val="single" w:sz="4" w:space="0" w:color="auto"/>
            </w:tcBorders>
            <w:shd w:val="clear" w:color="auto" w:fill="FFFFFF"/>
            <w:tcMar>
              <w:top w:w="80" w:type="dxa"/>
              <w:left w:w="80" w:type="dxa"/>
              <w:bottom w:w="80" w:type="dxa"/>
              <w:right w:w="80" w:type="dxa"/>
            </w:tcMar>
            <w:vAlign w:val="center"/>
          </w:tcPr>
          <w:p w14:paraId="248DF40C" w14:textId="77777777" w:rsidR="00D0052F" w:rsidRPr="006F225A" w:rsidRDefault="00D0052F" w:rsidP="00A57945">
            <w:pPr>
              <w:pStyle w:val="BodyA"/>
              <w:autoSpaceDE w:val="0"/>
              <w:autoSpaceDN w:val="0"/>
              <w:adjustRightInd w:val="0"/>
              <w:snapToGrid w:val="0"/>
              <w:jc w:val="center"/>
              <w:rPr>
                <w:rFonts w:ascii="Palatino Linotype" w:hAnsi="Palatino Linotype"/>
                <w:b/>
                <w:color w:val="auto"/>
                <w:sz w:val="18"/>
                <w:szCs w:val="16"/>
                <w:lang w:val="en-GB"/>
              </w:rPr>
            </w:pPr>
            <w:r w:rsidRPr="006F225A">
              <w:rPr>
                <w:rStyle w:val="None"/>
                <w:rFonts w:ascii="Palatino Linotype" w:hAnsi="Palatino Linotype"/>
                <w:b/>
                <w:bCs/>
                <w:color w:val="auto"/>
                <w:sz w:val="18"/>
                <w:szCs w:val="16"/>
                <w:lang w:val="en-GB"/>
              </w:rPr>
              <w:t>Age Range</w:t>
            </w:r>
          </w:p>
        </w:tc>
        <w:tc>
          <w:tcPr>
            <w:tcW w:w="442" w:type="pct"/>
            <w:tcBorders>
              <w:top w:val="single" w:sz="8" w:space="0" w:color="auto"/>
              <w:bottom w:val="single" w:sz="4" w:space="0" w:color="auto"/>
            </w:tcBorders>
            <w:shd w:val="clear" w:color="auto" w:fill="FFFFFF"/>
            <w:tcMar>
              <w:top w:w="80" w:type="dxa"/>
              <w:left w:w="80" w:type="dxa"/>
              <w:bottom w:w="80" w:type="dxa"/>
              <w:right w:w="80" w:type="dxa"/>
            </w:tcMar>
            <w:vAlign w:val="center"/>
          </w:tcPr>
          <w:p w14:paraId="74D823AF" w14:textId="77777777" w:rsidR="00D0052F" w:rsidRPr="006F225A" w:rsidRDefault="00D0052F" w:rsidP="00A57945">
            <w:pPr>
              <w:pStyle w:val="BodyD"/>
              <w:autoSpaceDE w:val="0"/>
              <w:autoSpaceDN w:val="0"/>
              <w:adjustRightInd w:val="0"/>
              <w:snapToGrid w:val="0"/>
              <w:jc w:val="center"/>
              <w:rPr>
                <w:rStyle w:val="None"/>
                <w:rFonts w:ascii="Palatino Linotype" w:eastAsia="Arial" w:hAnsi="Palatino Linotype" w:cs="Arial"/>
                <w:b/>
                <w:color w:val="auto"/>
                <w:sz w:val="18"/>
                <w:szCs w:val="16"/>
                <w:lang w:val="en-GB"/>
              </w:rPr>
            </w:pPr>
            <w:r w:rsidRPr="006F225A">
              <w:rPr>
                <w:rStyle w:val="None"/>
                <w:rFonts w:ascii="Palatino Linotype" w:hAnsi="Palatino Linotype"/>
                <w:b/>
                <w:bCs/>
                <w:color w:val="auto"/>
                <w:sz w:val="18"/>
                <w:szCs w:val="16"/>
                <w:lang w:val="en-GB"/>
              </w:rPr>
              <w:t>Age Mean</w:t>
            </w:r>
          </w:p>
          <w:p w14:paraId="22DDDAAD" w14:textId="77777777" w:rsidR="00D0052F" w:rsidRPr="006F225A" w:rsidRDefault="00D0052F" w:rsidP="00A57945">
            <w:pPr>
              <w:pStyle w:val="BodyD"/>
              <w:autoSpaceDE w:val="0"/>
              <w:autoSpaceDN w:val="0"/>
              <w:adjustRightInd w:val="0"/>
              <w:snapToGrid w:val="0"/>
              <w:jc w:val="center"/>
              <w:rPr>
                <w:rFonts w:ascii="Palatino Linotype" w:hAnsi="Palatino Linotype"/>
                <w:b/>
                <w:color w:val="auto"/>
                <w:sz w:val="18"/>
                <w:szCs w:val="16"/>
                <w:lang w:val="en-GB"/>
              </w:rPr>
            </w:pPr>
            <w:r w:rsidRPr="006F225A">
              <w:rPr>
                <w:rStyle w:val="None"/>
                <w:rFonts w:ascii="Palatino Linotype" w:hAnsi="Palatino Linotype"/>
                <w:b/>
                <w:bCs/>
                <w:color w:val="auto"/>
                <w:sz w:val="18"/>
                <w:szCs w:val="16"/>
                <w:lang w:val="en-GB"/>
              </w:rPr>
              <w:t>(SD)</w:t>
            </w:r>
          </w:p>
        </w:tc>
        <w:tc>
          <w:tcPr>
            <w:tcW w:w="579" w:type="pct"/>
            <w:tcBorders>
              <w:top w:val="single" w:sz="8" w:space="0" w:color="auto"/>
              <w:bottom w:val="single" w:sz="4" w:space="0" w:color="auto"/>
            </w:tcBorders>
            <w:shd w:val="clear" w:color="auto" w:fill="FFFFFF"/>
            <w:tcMar>
              <w:top w:w="80" w:type="dxa"/>
              <w:left w:w="80" w:type="dxa"/>
              <w:bottom w:w="80" w:type="dxa"/>
              <w:right w:w="80" w:type="dxa"/>
            </w:tcMar>
            <w:vAlign w:val="center"/>
          </w:tcPr>
          <w:p w14:paraId="341ADA1E" w14:textId="77777777" w:rsidR="00D0052F" w:rsidRPr="006F225A" w:rsidRDefault="00D0052F" w:rsidP="00A57945">
            <w:pPr>
              <w:pStyle w:val="BodyD"/>
              <w:autoSpaceDE w:val="0"/>
              <w:autoSpaceDN w:val="0"/>
              <w:adjustRightInd w:val="0"/>
              <w:snapToGrid w:val="0"/>
              <w:jc w:val="center"/>
              <w:rPr>
                <w:rStyle w:val="None"/>
                <w:rFonts w:ascii="Palatino Linotype" w:eastAsia="Arial" w:hAnsi="Palatino Linotype" w:cs="Arial"/>
                <w:b/>
                <w:color w:val="auto"/>
                <w:sz w:val="18"/>
                <w:szCs w:val="16"/>
                <w:lang w:val="en-GB"/>
              </w:rPr>
            </w:pPr>
            <w:r w:rsidRPr="006F225A">
              <w:rPr>
                <w:rStyle w:val="None"/>
                <w:rFonts w:ascii="Palatino Linotype" w:hAnsi="Palatino Linotype"/>
                <w:b/>
                <w:bCs/>
                <w:color w:val="auto"/>
                <w:sz w:val="18"/>
                <w:szCs w:val="16"/>
                <w:lang w:val="en-GB"/>
              </w:rPr>
              <w:t>Age Median</w:t>
            </w:r>
          </w:p>
          <w:p w14:paraId="052E7E61" w14:textId="77777777" w:rsidR="00D0052F" w:rsidRPr="006F225A" w:rsidRDefault="00D0052F" w:rsidP="00A57945">
            <w:pPr>
              <w:pStyle w:val="BodyD"/>
              <w:autoSpaceDE w:val="0"/>
              <w:autoSpaceDN w:val="0"/>
              <w:adjustRightInd w:val="0"/>
              <w:snapToGrid w:val="0"/>
              <w:jc w:val="center"/>
              <w:rPr>
                <w:rFonts w:ascii="Palatino Linotype" w:hAnsi="Palatino Linotype"/>
                <w:b/>
                <w:color w:val="auto"/>
                <w:sz w:val="18"/>
                <w:szCs w:val="16"/>
                <w:lang w:val="en-GB"/>
              </w:rPr>
            </w:pPr>
            <w:r w:rsidRPr="006F225A">
              <w:rPr>
                <w:rStyle w:val="None"/>
                <w:rFonts w:ascii="Palatino Linotype" w:hAnsi="Palatino Linotype"/>
                <w:b/>
                <w:bCs/>
                <w:color w:val="auto"/>
                <w:sz w:val="18"/>
                <w:szCs w:val="16"/>
                <w:lang w:val="en-GB"/>
              </w:rPr>
              <w:t xml:space="preserve">(IQR) </w:t>
            </w:r>
          </w:p>
        </w:tc>
        <w:tc>
          <w:tcPr>
            <w:tcW w:w="351" w:type="pct"/>
            <w:tcBorders>
              <w:top w:val="single" w:sz="8" w:space="0" w:color="auto"/>
              <w:bottom w:val="single" w:sz="4" w:space="0" w:color="auto"/>
            </w:tcBorders>
            <w:shd w:val="clear" w:color="auto" w:fill="FFFFFF"/>
            <w:tcMar>
              <w:top w:w="80" w:type="dxa"/>
              <w:left w:w="80" w:type="dxa"/>
              <w:bottom w:w="80" w:type="dxa"/>
              <w:right w:w="80" w:type="dxa"/>
            </w:tcMar>
            <w:vAlign w:val="center"/>
          </w:tcPr>
          <w:p w14:paraId="63B2FBAB" w14:textId="77777777" w:rsidR="00D0052F" w:rsidRPr="006F225A" w:rsidRDefault="00D0052F" w:rsidP="00A57945">
            <w:pPr>
              <w:pStyle w:val="BodyD"/>
              <w:autoSpaceDE w:val="0"/>
              <w:autoSpaceDN w:val="0"/>
              <w:adjustRightInd w:val="0"/>
              <w:snapToGrid w:val="0"/>
              <w:jc w:val="center"/>
              <w:rPr>
                <w:rStyle w:val="None"/>
                <w:rFonts w:ascii="Palatino Linotype" w:eastAsia="Arial" w:hAnsi="Palatino Linotype" w:cs="Arial"/>
                <w:b/>
                <w:color w:val="auto"/>
                <w:sz w:val="18"/>
                <w:szCs w:val="16"/>
                <w:lang w:val="en-GB"/>
              </w:rPr>
            </w:pPr>
            <w:r w:rsidRPr="006F225A">
              <w:rPr>
                <w:rStyle w:val="None"/>
                <w:rFonts w:ascii="Palatino Linotype" w:hAnsi="Palatino Linotype"/>
                <w:b/>
                <w:bCs/>
                <w:color w:val="auto"/>
                <w:sz w:val="18"/>
                <w:szCs w:val="16"/>
                <w:lang w:val="en-GB"/>
              </w:rPr>
              <w:t>Sex %</w:t>
            </w:r>
          </w:p>
          <w:p w14:paraId="646DC44F" w14:textId="77777777" w:rsidR="00D0052F" w:rsidRPr="006F225A" w:rsidRDefault="00D0052F" w:rsidP="00A57945">
            <w:pPr>
              <w:pStyle w:val="BodyD"/>
              <w:autoSpaceDE w:val="0"/>
              <w:autoSpaceDN w:val="0"/>
              <w:adjustRightInd w:val="0"/>
              <w:snapToGrid w:val="0"/>
              <w:jc w:val="center"/>
              <w:rPr>
                <w:rFonts w:ascii="Palatino Linotype" w:hAnsi="Palatino Linotype"/>
                <w:b/>
                <w:color w:val="auto"/>
                <w:sz w:val="18"/>
                <w:szCs w:val="16"/>
                <w:lang w:val="en-GB"/>
              </w:rPr>
            </w:pPr>
            <w:r w:rsidRPr="006F225A">
              <w:rPr>
                <w:rStyle w:val="None"/>
                <w:rFonts w:ascii="Palatino Linotype" w:hAnsi="Palatino Linotype"/>
                <w:b/>
                <w:bCs/>
                <w:color w:val="auto"/>
                <w:sz w:val="18"/>
                <w:szCs w:val="16"/>
                <w:lang w:val="en-GB"/>
              </w:rPr>
              <w:t>Male</w:t>
            </w:r>
          </w:p>
        </w:tc>
        <w:tc>
          <w:tcPr>
            <w:tcW w:w="626" w:type="pct"/>
            <w:tcBorders>
              <w:top w:val="single" w:sz="8" w:space="0" w:color="auto"/>
              <w:bottom w:val="single" w:sz="4" w:space="0" w:color="auto"/>
            </w:tcBorders>
            <w:shd w:val="clear" w:color="auto" w:fill="FFFFFF"/>
            <w:tcMar>
              <w:top w:w="80" w:type="dxa"/>
              <w:left w:w="80" w:type="dxa"/>
              <w:bottom w:w="80" w:type="dxa"/>
              <w:right w:w="80" w:type="dxa"/>
            </w:tcMar>
            <w:vAlign w:val="center"/>
          </w:tcPr>
          <w:p w14:paraId="6210E7D5" w14:textId="77777777" w:rsidR="00D0052F" w:rsidRPr="006F225A" w:rsidRDefault="00D0052F" w:rsidP="00A57945">
            <w:pPr>
              <w:pStyle w:val="BodyA"/>
              <w:autoSpaceDE w:val="0"/>
              <w:autoSpaceDN w:val="0"/>
              <w:adjustRightInd w:val="0"/>
              <w:snapToGrid w:val="0"/>
              <w:jc w:val="center"/>
              <w:rPr>
                <w:rFonts w:ascii="Palatino Linotype" w:hAnsi="Palatino Linotype"/>
                <w:b/>
                <w:color w:val="auto"/>
                <w:sz w:val="18"/>
                <w:szCs w:val="16"/>
                <w:lang w:val="en-GB"/>
              </w:rPr>
            </w:pPr>
            <w:r w:rsidRPr="006F225A">
              <w:rPr>
                <w:rStyle w:val="None"/>
                <w:rFonts w:ascii="Palatino Linotype" w:hAnsi="Palatino Linotype"/>
                <w:b/>
                <w:bCs/>
                <w:color w:val="auto"/>
                <w:sz w:val="18"/>
                <w:szCs w:val="16"/>
                <w:lang w:val="en-GB"/>
              </w:rPr>
              <w:t xml:space="preserve">Population </w:t>
            </w:r>
          </w:p>
        </w:tc>
        <w:tc>
          <w:tcPr>
            <w:tcW w:w="351" w:type="pct"/>
            <w:tcBorders>
              <w:top w:val="single" w:sz="8" w:space="0" w:color="auto"/>
              <w:bottom w:val="single" w:sz="4" w:space="0" w:color="auto"/>
            </w:tcBorders>
            <w:shd w:val="clear" w:color="auto" w:fill="FFFFFF"/>
            <w:tcMar>
              <w:top w:w="80" w:type="dxa"/>
              <w:left w:w="80" w:type="dxa"/>
              <w:bottom w:w="80" w:type="dxa"/>
              <w:right w:w="80" w:type="dxa"/>
            </w:tcMar>
            <w:vAlign w:val="center"/>
          </w:tcPr>
          <w:p w14:paraId="3D9ACE1D" w14:textId="77777777" w:rsidR="00D0052F" w:rsidRPr="006F225A" w:rsidRDefault="00D0052F" w:rsidP="00A57945">
            <w:pPr>
              <w:pStyle w:val="BodyE"/>
              <w:autoSpaceDE w:val="0"/>
              <w:autoSpaceDN w:val="0"/>
              <w:adjustRightInd w:val="0"/>
              <w:snapToGrid w:val="0"/>
              <w:jc w:val="center"/>
              <w:rPr>
                <w:rFonts w:ascii="Palatino Linotype" w:hAnsi="Palatino Linotype"/>
                <w:b/>
                <w:color w:val="auto"/>
                <w:sz w:val="18"/>
                <w:szCs w:val="16"/>
                <w:lang w:val="en-GB"/>
              </w:rPr>
            </w:pPr>
            <w:r w:rsidRPr="006F225A">
              <w:rPr>
                <w:rStyle w:val="None"/>
                <w:rFonts w:ascii="Palatino Linotype" w:hAnsi="Palatino Linotype"/>
                <w:b/>
                <w:bCs/>
                <w:color w:val="auto"/>
                <w:sz w:val="18"/>
                <w:szCs w:val="16"/>
                <w:lang w:val="en-GB"/>
              </w:rPr>
              <w:t xml:space="preserve">Quality </w:t>
            </w:r>
          </w:p>
        </w:tc>
      </w:tr>
      <w:tr w:rsidR="009D7BC8" w:rsidRPr="006F225A" w14:paraId="2E28EED6" w14:textId="77777777" w:rsidTr="00A57945">
        <w:tblPrEx>
          <w:shd w:val="clear" w:color="auto" w:fill="CADFFF"/>
        </w:tblPrEx>
        <w:trPr>
          <w:jc w:val="center"/>
        </w:trPr>
        <w:tc>
          <w:tcPr>
            <w:tcW w:w="492" w:type="pct"/>
            <w:tcBorders>
              <w:top w:val="single" w:sz="4" w:space="0" w:color="auto"/>
            </w:tcBorders>
            <w:shd w:val="clear" w:color="auto" w:fill="FFFFFF"/>
            <w:tcMar>
              <w:top w:w="80" w:type="dxa"/>
              <w:left w:w="80" w:type="dxa"/>
              <w:bottom w:w="80" w:type="dxa"/>
              <w:right w:w="80" w:type="dxa"/>
            </w:tcMar>
            <w:vAlign w:val="center"/>
          </w:tcPr>
          <w:p w14:paraId="59E94B37"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Abdul-</w:t>
            </w:r>
            <w:proofErr w:type="spellStart"/>
            <w:r w:rsidRPr="006F225A">
              <w:rPr>
                <w:rStyle w:val="None"/>
                <w:rFonts w:ascii="Palatino Linotype" w:hAnsi="Palatino Linotype"/>
                <w:color w:val="auto"/>
                <w:sz w:val="18"/>
                <w:szCs w:val="16"/>
                <w:lang w:val="en-GB"/>
              </w:rPr>
              <w:t>Mumin</w:t>
            </w:r>
            <w:proofErr w:type="spellEnd"/>
            <w:r w:rsidRPr="006F225A">
              <w:rPr>
                <w:rStyle w:val="None"/>
                <w:rFonts w:ascii="Palatino Linotype" w:hAnsi="Palatino Linotype"/>
                <w:color w:val="auto"/>
                <w:sz w:val="18"/>
                <w:szCs w:val="16"/>
                <w:lang w:val="en-GB"/>
              </w:rPr>
              <w:t>, Ervin and Halvorson, 2019</w:t>
            </w:r>
            <w:r w:rsidR="00FB1B04" w:rsidRPr="006F225A">
              <w:rPr>
                <w:rStyle w:val="None"/>
                <w:rFonts w:ascii="Palatino Linotype" w:hAnsi="Palatino Linotype"/>
                <w:color w:val="auto"/>
                <w:sz w:val="18"/>
                <w:szCs w:val="16"/>
                <w:lang w:val="en-GB"/>
              </w:rPr>
              <w:t xml:space="preserve"> [18]</w:t>
            </w:r>
          </w:p>
        </w:tc>
        <w:tc>
          <w:tcPr>
            <w:tcW w:w="393" w:type="pct"/>
            <w:tcBorders>
              <w:top w:val="single" w:sz="4" w:space="0" w:color="auto"/>
            </w:tcBorders>
            <w:shd w:val="clear" w:color="auto" w:fill="FFFFFF"/>
            <w:tcMar>
              <w:top w:w="80" w:type="dxa"/>
              <w:left w:w="80" w:type="dxa"/>
              <w:bottom w:w="80" w:type="dxa"/>
              <w:right w:w="80" w:type="dxa"/>
            </w:tcMar>
            <w:vAlign w:val="center"/>
          </w:tcPr>
          <w:p w14:paraId="65F76D98"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 xml:space="preserve">Ghana </w:t>
            </w:r>
          </w:p>
        </w:tc>
        <w:tc>
          <w:tcPr>
            <w:tcW w:w="442" w:type="pct"/>
            <w:tcBorders>
              <w:top w:val="single" w:sz="4" w:space="0" w:color="auto"/>
            </w:tcBorders>
            <w:shd w:val="clear" w:color="auto" w:fill="FFFFFF"/>
            <w:tcMar>
              <w:top w:w="80" w:type="dxa"/>
              <w:left w:w="80" w:type="dxa"/>
              <w:bottom w:w="80" w:type="dxa"/>
              <w:right w:w="80" w:type="dxa"/>
            </w:tcMar>
            <w:vAlign w:val="center"/>
          </w:tcPr>
          <w:p w14:paraId="603460A5" w14:textId="3470EF3A"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January 2013</w:t>
            </w:r>
            <w:r w:rsidR="00733890" w:rsidRPr="006F225A">
              <w:rPr>
                <w:rStyle w:val="None"/>
                <w:rFonts w:ascii="Palatino Linotype" w:hAnsi="Palatino Linotype"/>
                <w:color w:val="auto"/>
                <w:sz w:val="18"/>
                <w:szCs w:val="16"/>
                <w:lang w:val="en-GB"/>
              </w:rPr>
              <w:t>–</w:t>
            </w:r>
            <w:r w:rsidRPr="006F225A">
              <w:rPr>
                <w:rStyle w:val="None"/>
                <w:rFonts w:ascii="Palatino Linotype" w:hAnsi="Palatino Linotype"/>
                <w:color w:val="auto"/>
                <w:sz w:val="18"/>
                <w:szCs w:val="16"/>
                <w:lang w:val="en-GB"/>
              </w:rPr>
              <w:t>December 2014</w:t>
            </w:r>
          </w:p>
        </w:tc>
        <w:tc>
          <w:tcPr>
            <w:tcW w:w="441" w:type="pct"/>
            <w:tcBorders>
              <w:top w:val="single" w:sz="4" w:space="0" w:color="auto"/>
            </w:tcBorders>
            <w:shd w:val="clear" w:color="auto" w:fill="FFFFFF"/>
            <w:tcMar>
              <w:top w:w="80" w:type="dxa"/>
              <w:left w:w="80" w:type="dxa"/>
              <w:bottom w:w="80" w:type="dxa"/>
              <w:right w:w="80" w:type="dxa"/>
            </w:tcMar>
            <w:vAlign w:val="center"/>
          </w:tcPr>
          <w:p w14:paraId="546C8084"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 xml:space="preserve">Retrospective chart review </w:t>
            </w:r>
          </w:p>
        </w:tc>
        <w:tc>
          <w:tcPr>
            <w:tcW w:w="396" w:type="pct"/>
            <w:tcBorders>
              <w:top w:val="single" w:sz="4" w:space="0" w:color="auto"/>
            </w:tcBorders>
            <w:shd w:val="clear" w:color="auto" w:fill="FFFFFF"/>
            <w:tcMar>
              <w:top w:w="80" w:type="dxa"/>
              <w:left w:w="80" w:type="dxa"/>
              <w:bottom w:w="80" w:type="dxa"/>
              <w:right w:w="80" w:type="dxa"/>
            </w:tcMar>
            <w:vAlign w:val="center"/>
          </w:tcPr>
          <w:p w14:paraId="618B3B57"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473</w:t>
            </w:r>
          </w:p>
        </w:tc>
        <w:tc>
          <w:tcPr>
            <w:tcW w:w="488" w:type="pct"/>
            <w:tcBorders>
              <w:top w:val="single" w:sz="4" w:space="0" w:color="auto"/>
            </w:tcBorders>
            <w:shd w:val="clear" w:color="auto" w:fill="FFFFFF"/>
            <w:tcMar>
              <w:top w:w="80" w:type="dxa"/>
              <w:left w:w="80" w:type="dxa"/>
              <w:bottom w:w="80" w:type="dxa"/>
              <w:right w:w="80" w:type="dxa"/>
            </w:tcMar>
            <w:vAlign w:val="center"/>
          </w:tcPr>
          <w:p w14:paraId="35706E52" w14:textId="77777777" w:rsidR="00D0052F" w:rsidRPr="006F225A" w:rsidRDefault="00D0052F" w:rsidP="0034123F">
            <w:pPr>
              <w:pStyle w:val="BodyD"/>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NR</w:t>
            </w:r>
          </w:p>
        </w:tc>
        <w:tc>
          <w:tcPr>
            <w:tcW w:w="442" w:type="pct"/>
            <w:tcBorders>
              <w:top w:val="single" w:sz="4" w:space="0" w:color="auto"/>
            </w:tcBorders>
            <w:shd w:val="clear" w:color="auto" w:fill="FFFFFF"/>
            <w:tcMar>
              <w:top w:w="80" w:type="dxa"/>
              <w:left w:w="80" w:type="dxa"/>
              <w:bottom w:w="80" w:type="dxa"/>
              <w:right w:w="80" w:type="dxa"/>
            </w:tcMar>
            <w:vAlign w:val="center"/>
          </w:tcPr>
          <w:p w14:paraId="354500FA" w14:textId="77777777" w:rsidR="00D0052F" w:rsidRPr="006F225A" w:rsidRDefault="00D0052F" w:rsidP="0034123F">
            <w:pPr>
              <w:pStyle w:val="BodyD"/>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NR</w:t>
            </w:r>
          </w:p>
        </w:tc>
        <w:tc>
          <w:tcPr>
            <w:tcW w:w="579" w:type="pct"/>
            <w:tcBorders>
              <w:top w:val="single" w:sz="4" w:space="0" w:color="auto"/>
            </w:tcBorders>
            <w:shd w:val="clear" w:color="auto" w:fill="FFFFFF"/>
            <w:tcMar>
              <w:top w:w="80" w:type="dxa"/>
              <w:left w:w="80" w:type="dxa"/>
              <w:bottom w:w="80" w:type="dxa"/>
              <w:right w:w="80" w:type="dxa"/>
            </w:tcMar>
            <w:vAlign w:val="center"/>
          </w:tcPr>
          <w:p w14:paraId="334351B6" w14:textId="5A0650FE"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12 (</w:t>
            </w:r>
            <w:r w:rsidR="0056360D" w:rsidRPr="006F225A">
              <w:rPr>
                <w:rStyle w:val="None"/>
                <w:rFonts w:ascii="Palatino Linotype" w:hAnsi="Palatino Linotype"/>
                <w:color w:val="auto"/>
                <w:sz w:val="18"/>
                <w:szCs w:val="16"/>
                <w:lang w:val="en-GB"/>
              </w:rPr>
              <w:t>9–24</w:t>
            </w:r>
            <w:r w:rsidRPr="006F225A">
              <w:rPr>
                <w:rStyle w:val="None"/>
                <w:rFonts w:ascii="Palatino Linotype" w:hAnsi="Palatino Linotype"/>
                <w:color w:val="auto"/>
                <w:sz w:val="18"/>
                <w:szCs w:val="16"/>
                <w:lang w:val="en-GB"/>
              </w:rPr>
              <w:t xml:space="preserve">) months </w:t>
            </w:r>
          </w:p>
        </w:tc>
        <w:tc>
          <w:tcPr>
            <w:tcW w:w="351" w:type="pct"/>
            <w:tcBorders>
              <w:top w:val="single" w:sz="4" w:space="0" w:color="auto"/>
            </w:tcBorders>
            <w:shd w:val="clear" w:color="auto" w:fill="FFFFFF"/>
            <w:tcMar>
              <w:top w:w="80" w:type="dxa"/>
              <w:left w:w="80" w:type="dxa"/>
              <w:bottom w:w="80" w:type="dxa"/>
              <w:right w:w="80" w:type="dxa"/>
            </w:tcMar>
            <w:vAlign w:val="center"/>
          </w:tcPr>
          <w:p w14:paraId="38A27342" w14:textId="77777777" w:rsidR="00D0052F" w:rsidRPr="006F225A" w:rsidRDefault="00D0052F" w:rsidP="0034123F">
            <w:pPr>
              <w:pStyle w:val="BodyD"/>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56</w:t>
            </w:r>
          </w:p>
        </w:tc>
        <w:tc>
          <w:tcPr>
            <w:tcW w:w="626" w:type="pct"/>
            <w:tcBorders>
              <w:top w:val="single" w:sz="4" w:space="0" w:color="auto"/>
            </w:tcBorders>
            <w:shd w:val="clear" w:color="auto" w:fill="FFFFFF"/>
            <w:tcMar>
              <w:top w:w="80" w:type="dxa"/>
              <w:left w:w="80" w:type="dxa"/>
              <w:bottom w:w="80" w:type="dxa"/>
              <w:right w:w="80" w:type="dxa"/>
            </w:tcMar>
            <w:vAlign w:val="center"/>
          </w:tcPr>
          <w:p w14:paraId="4B2C7109" w14:textId="77777777" w:rsidR="001A7897"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Paediatric patients hospitalised with acute gastroenteritis</w:t>
            </w:r>
          </w:p>
        </w:tc>
        <w:tc>
          <w:tcPr>
            <w:tcW w:w="351" w:type="pct"/>
            <w:tcBorders>
              <w:top w:val="single" w:sz="4" w:space="0" w:color="auto"/>
            </w:tcBorders>
            <w:shd w:val="clear" w:color="auto" w:fill="FFFFFF"/>
            <w:tcMar>
              <w:top w:w="80" w:type="dxa"/>
              <w:left w:w="80" w:type="dxa"/>
              <w:bottom w:w="80" w:type="dxa"/>
              <w:right w:w="80" w:type="dxa"/>
            </w:tcMar>
            <w:vAlign w:val="center"/>
          </w:tcPr>
          <w:p w14:paraId="02F939BE" w14:textId="77777777" w:rsidR="00D0052F" w:rsidRPr="006F225A" w:rsidRDefault="00D0052F" w:rsidP="00A57945">
            <w:pPr>
              <w:pStyle w:val="BodyE"/>
              <w:autoSpaceDE w:val="0"/>
              <w:autoSpaceDN w:val="0"/>
              <w:adjustRightInd w:val="0"/>
              <w:snapToGrid w:val="0"/>
              <w:jc w:val="center"/>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Good</w:t>
            </w:r>
          </w:p>
        </w:tc>
      </w:tr>
      <w:tr w:rsidR="009D7BC8" w:rsidRPr="006F225A" w14:paraId="5B600CF7" w14:textId="77777777" w:rsidTr="00A57945">
        <w:tblPrEx>
          <w:shd w:val="clear" w:color="auto" w:fill="CADFFF"/>
        </w:tblPrEx>
        <w:trPr>
          <w:jc w:val="center"/>
        </w:trPr>
        <w:tc>
          <w:tcPr>
            <w:tcW w:w="492" w:type="pct"/>
            <w:shd w:val="clear" w:color="auto" w:fill="FFFFFF"/>
            <w:tcMar>
              <w:top w:w="80" w:type="dxa"/>
              <w:left w:w="80" w:type="dxa"/>
              <w:bottom w:w="80" w:type="dxa"/>
              <w:right w:w="80" w:type="dxa"/>
            </w:tcMar>
            <w:vAlign w:val="center"/>
          </w:tcPr>
          <w:p w14:paraId="735F6627"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Akech et al., 2018</w:t>
            </w:r>
            <w:r w:rsidR="00FB1B04" w:rsidRPr="006F225A">
              <w:rPr>
                <w:rStyle w:val="None"/>
                <w:rFonts w:ascii="Palatino Linotype" w:hAnsi="Palatino Linotype"/>
                <w:color w:val="auto"/>
                <w:sz w:val="18"/>
                <w:szCs w:val="16"/>
                <w:lang w:val="en-GB"/>
              </w:rPr>
              <w:t xml:space="preserve"> [13]</w:t>
            </w:r>
          </w:p>
        </w:tc>
        <w:tc>
          <w:tcPr>
            <w:tcW w:w="393" w:type="pct"/>
            <w:shd w:val="clear" w:color="auto" w:fill="FFFFFF"/>
            <w:tcMar>
              <w:top w:w="80" w:type="dxa"/>
              <w:left w:w="80" w:type="dxa"/>
              <w:bottom w:w="80" w:type="dxa"/>
              <w:right w:w="80" w:type="dxa"/>
            </w:tcMar>
            <w:vAlign w:val="center"/>
          </w:tcPr>
          <w:p w14:paraId="2DDED1EB"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Kenya</w:t>
            </w:r>
          </w:p>
        </w:tc>
        <w:tc>
          <w:tcPr>
            <w:tcW w:w="442" w:type="pct"/>
            <w:shd w:val="clear" w:color="auto" w:fill="FFFFFF"/>
            <w:tcMar>
              <w:top w:w="80" w:type="dxa"/>
              <w:left w:w="80" w:type="dxa"/>
              <w:bottom w:w="80" w:type="dxa"/>
              <w:right w:w="80" w:type="dxa"/>
            </w:tcMar>
            <w:vAlign w:val="center"/>
          </w:tcPr>
          <w:p w14:paraId="5827DFA3" w14:textId="6B964209"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October 2013</w:t>
            </w:r>
            <w:r w:rsidR="00733890" w:rsidRPr="006F225A">
              <w:rPr>
                <w:rStyle w:val="None"/>
                <w:rFonts w:ascii="Palatino Linotype" w:hAnsi="Palatino Linotype"/>
                <w:color w:val="auto"/>
                <w:sz w:val="18"/>
                <w:szCs w:val="16"/>
                <w:lang w:val="en-GB"/>
              </w:rPr>
              <w:t>–</w:t>
            </w:r>
            <w:r w:rsidRPr="006F225A">
              <w:rPr>
                <w:rStyle w:val="None"/>
                <w:rFonts w:ascii="Palatino Linotype" w:hAnsi="Palatino Linotype"/>
                <w:color w:val="auto"/>
                <w:sz w:val="18"/>
                <w:szCs w:val="16"/>
                <w:lang w:val="en-GB"/>
              </w:rPr>
              <w:t xml:space="preserve">December 2016 </w:t>
            </w:r>
          </w:p>
        </w:tc>
        <w:tc>
          <w:tcPr>
            <w:tcW w:w="441" w:type="pct"/>
            <w:shd w:val="clear" w:color="auto" w:fill="FFFFFF"/>
            <w:tcMar>
              <w:top w:w="80" w:type="dxa"/>
              <w:left w:w="80" w:type="dxa"/>
              <w:bottom w:w="80" w:type="dxa"/>
              <w:right w:w="80" w:type="dxa"/>
            </w:tcMar>
            <w:vAlign w:val="center"/>
          </w:tcPr>
          <w:p w14:paraId="0CBB640F"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Prospective chart review</w:t>
            </w:r>
          </w:p>
        </w:tc>
        <w:tc>
          <w:tcPr>
            <w:tcW w:w="396" w:type="pct"/>
            <w:shd w:val="clear" w:color="auto" w:fill="FFFFFF"/>
            <w:tcMar>
              <w:top w:w="80" w:type="dxa"/>
              <w:left w:w="80" w:type="dxa"/>
              <w:bottom w:w="80" w:type="dxa"/>
              <w:right w:w="80" w:type="dxa"/>
            </w:tcMar>
            <w:vAlign w:val="center"/>
          </w:tcPr>
          <w:p w14:paraId="0BFA3FE3"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8025</w:t>
            </w:r>
          </w:p>
        </w:tc>
        <w:tc>
          <w:tcPr>
            <w:tcW w:w="488" w:type="pct"/>
            <w:shd w:val="clear" w:color="auto" w:fill="FFFFFF"/>
            <w:tcMar>
              <w:top w:w="80" w:type="dxa"/>
              <w:left w:w="80" w:type="dxa"/>
              <w:bottom w:w="80" w:type="dxa"/>
              <w:right w:w="80" w:type="dxa"/>
            </w:tcMar>
            <w:vAlign w:val="center"/>
          </w:tcPr>
          <w:p w14:paraId="1A718FEE" w14:textId="77777777" w:rsidR="00D0052F" w:rsidRPr="006F225A" w:rsidRDefault="00D0052F" w:rsidP="0034123F">
            <w:pPr>
              <w:pStyle w:val="BodyD"/>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NR</w:t>
            </w:r>
          </w:p>
        </w:tc>
        <w:tc>
          <w:tcPr>
            <w:tcW w:w="442" w:type="pct"/>
            <w:shd w:val="clear" w:color="auto" w:fill="FFFFFF"/>
            <w:tcMar>
              <w:top w:w="80" w:type="dxa"/>
              <w:left w:w="80" w:type="dxa"/>
              <w:bottom w:w="80" w:type="dxa"/>
              <w:right w:w="80" w:type="dxa"/>
            </w:tcMar>
            <w:vAlign w:val="center"/>
          </w:tcPr>
          <w:p w14:paraId="11AB543D" w14:textId="77777777" w:rsidR="00D0052F" w:rsidRPr="006F225A" w:rsidRDefault="00D0052F" w:rsidP="0034123F">
            <w:pPr>
              <w:pStyle w:val="BodyD"/>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NR</w:t>
            </w:r>
          </w:p>
        </w:tc>
        <w:tc>
          <w:tcPr>
            <w:tcW w:w="579" w:type="pct"/>
            <w:shd w:val="clear" w:color="auto" w:fill="FFFFFF"/>
            <w:tcMar>
              <w:top w:w="80" w:type="dxa"/>
              <w:left w:w="80" w:type="dxa"/>
              <w:bottom w:w="80" w:type="dxa"/>
              <w:right w:w="80" w:type="dxa"/>
            </w:tcMar>
            <w:vAlign w:val="center"/>
          </w:tcPr>
          <w:p w14:paraId="74CB532B" w14:textId="020C6A74"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12 (</w:t>
            </w:r>
            <w:r w:rsidR="0056360D" w:rsidRPr="006F225A">
              <w:rPr>
                <w:rStyle w:val="None"/>
                <w:rFonts w:ascii="Palatino Linotype" w:hAnsi="Palatino Linotype"/>
                <w:color w:val="auto"/>
                <w:sz w:val="18"/>
                <w:szCs w:val="16"/>
                <w:lang w:val="en-GB"/>
              </w:rPr>
              <w:t>8–18</w:t>
            </w:r>
            <w:r w:rsidRPr="006F225A">
              <w:rPr>
                <w:rStyle w:val="None"/>
                <w:rFonts w:ascii="Palatino Linotype" w:hAnsi="Palatino Linotype"/>
                <w:color w:val="auto"/>
                <w:sz w:val="18"/>
                <w:szCs w:val="16"/>
                <w:lang w:val="en-GB"/>
              </w:rPr>
              <w:t xml:space="preserve">) months </w:t>
            </w:r>
          </w:p>
        </w:tc>
        <w:tc>
          <w:tcPr>
            <w:tcW w:w="351" w:type="pct"/>
            <w:shd w:val="clear" w:color="auto" w:fill="FFFFFF"/>
            <w:tcMar>
              <w:top w:w="80" w:type="dxa"/>
              <w:left w:w="80" w:type="dxa"/>
              <w:bottom w:w="80" w:type="dxa"/>
              <w:right w:w="80" w:type="dxa"/>
            </w:tcMar>
            <w:vAlign w:val="center"/>
          </w:tcPr>
          <w:p w14:paraId="37427C80" w14:textId="77777777" w:rsidR="00D0052F" w:rsidRPr="006F225A" w:rsidRDefault="00D0052F" w:rsidP="0034123F">
            <w:pPr>
              <w:pStyle w:val="BodyD"/>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0</w:t>
            </w:r>
          </w:p>
        </w:tc>
        <w:tc>
          <w:tcPr>
            <w:tcW w:w="626" w:type="pct"/>
            <w:shd w:val="clear" w:color="auto" w:fill="FFFFFF"/>
            <w:tcMar>
              <w:top w:w="80" w:type="dxa"/>
              <w:left w:w="80" w:type="dxa"/>
              <w:bottom w:w="80" w:type="dxa"/>
              <w:right w:w="80" w:type="dxa"/>
            </w:tcMar>
            <w:vAlign w:val="center"/>
          </w:tcPr>
          <w:p w14:paraId="0CAF194A"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Paediatric patients hospitalised with diarrhoea and dehydration</w:t>
            </w:r>
          </w:p>
        </w:tc>
        <w:tc>
          <w:tcPr>
            <w:tcW w:w="351" w:type="pct"/>
            <w:shd w:val="clear" w:color="auto" w:fill="FEFFFE"/>
            <w:tcMar>
              <w:top w:w="80" w:type="dxa"/>
              <w:left w:w="80" w:type="dxa"/>
              <w:bottom w:w="80" w:type="dxa"/>
              <w:right w:w="80" w:type="dxa"/>
            </w:tcMar>
            <w:vAlign w:val="center"/>
          </w:tcPr>
          <w:p w14:paraId="3469D6BE" w14:textId="77777777" w:rsidR="00D0052F" w:rsidRPr="006F225A" w:rsidRDefault="00D0052F" w:rsidP="00A57945">
            <w:pPr>
              <w:pStyle w:val="BodyE"/>
              <w:autoSpaceDE w:val="0"/>
              <w:autoSpaceDN w:val="0"/>
              <w:adjustRightInd w:val="0"/>
              <w:snapToGrid w:val="0"/>
              <w:jc w:val="center"/>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Good</w:t>
            </w:r>
          </w:p>
        </w:tc>
      </w:tr>
      <w:tr w:rsidR="009D7BC8" w:rsidRPr="006F225A" w14:paraId="3B01E336" w14:textId="77777777" w:rsidTr="00A57945">
        <w:tblPrEx>
          <w:shd w:val="clear" w:color="auto" w:fill="CADFFF"/>
        </w:tblPrEx>
        <w:trPr>
          <w:jc w:val="center"/>
        </w:trPr>
        <w:tc>
          <w:tcPr>
            <w:tcW w:w="492" w:type="pct"/>
            <w:shd w:val="clear" w:color="auto" w:fill="FFFFFF"/>
            <w:tcMar>
              <w:top w:w="80" w:type="dxa"/>
              <w:left w:w="80" w:type="dxa"/>
              <w:bottom w:w="80" w:type="dxa"/>
              <w:right w:w="80" w:type="dxa"/>
            </w:tcMar>
            <w:vAlign w:val="center"/>
          </w:tcPr>
          <w:p w14:paraId="0EDE46AF"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 xml:space="preserve">Ben- Shalom, </w:t>
            </w:r>
            <w:proofErr w:type="spellStart"/>
            <w:proofErr w:type="gramStart"/>
            <w:r w:rsidRPr="006F225A">
              <w:rPr>
                <w:rStyle w:val="None"/>
                <w:rFonts w:ascii="Palatino Linotype" w:hAnsi="Palatino Linotype"/>
                <w:color w:val="auto"/>
                <w:sz w:val="18"/>
                <w:szCs w:val="16"/>
                <w:lang w:val="en-GB"/>
              </w:rPr>
              <w:t>Toker</w:t>
            </w:r>
            <w:proofErr w:type="spellEnd"/>
            <w:proofErr w:type="gramEnd"/>
            <w:r w:rsidRPr="006F225A">
              <w:rPr>
                <w:rStyle w:val="None"/>
                <w:rFonts w:ascii="Palatino Linotype" w:hAnsi="Palatino Linotype"/>
                <w:color w:val="auto"/>
                <w:sz w:val="18"/>
                <w:szCs w:val="16"/>
                <w:lang w:val="en-GB"/>
              </w:rPr>
              <w:t xml:space="preserve"> and Schwartz, 2016</w:t>
            </w:r>
            <w:r w:rsidR="00FB1B04" w:rsidRPr="006F225A">
              <w:rPr>
                <w:rStyle w:val="None"/>
                <w:rFonts w:ascii="Palatino Linotype" w:hAnsi="Palatino Linotype"/>
                <w:color w:val="auto"/>
                <w:sz w:val="18"/>
                <w:szCs w:val="16"/>
                <w:lang w:val="en-GB"/>
              </w:rPr>
              <w:t xml:space="preserve"> [29]</w:t>
            </w:r>
          </w:p>
        </w:tc>
        <w:tc>
          <w:tcPr>
            <w:tcW w:w="393" w:type="pct"/>
            <w:shd w:val="clear" w:color="auto" w:fill="FFFFFF"/>
            <w:tcMar>
              <w:top w:w="80" w:type="dxa"/>
              <w:left w:w="80" w:type="dxa"/>
              <w:bottom w:w="80" w:type="dxa"/>
              <w:right w:w="80" w:type="dxa"/>
            </w:tcMar>
            <w:vAlign w:val="center"/>
          </w:tcPr>
          <w:p w14:paraId="004A7115"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 xml:space="preserve">Israel </w:t>
            </w:r>
          </w:p>
        </w:tc>
        <w:tc>
          <w:tcPr>
            <w:tcW w:w="442" w:type="pct"/>
            <w:shd w:val="clear" w:color="auto" w:fill="FFFFFF"/>
            <w:tcMar>
              <w:top w:w="80" w:type="dxa"/>
              <w:left w:w="80" w:type="dxa"/>
              <w:bottom w:w="80" w:type="dxa"/>
              <w:right w:w="80" w:type="dxa"/>
            </w:tcMar>
            <w:vAlign w:val="center"/>
          </w:tcPr>
          <w:p w14:paraId="42E0ED5F" w14:textId="7E70356C"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2001</w:t>
            </w:r>
            <w:r w:rsidR="00733890" w:rsidRPr="006F225A">
              <w:rPr>
                <w:rStyle w:val="None"/>
                <w:rFonts w:ascii="Palatino Linotype" w:hAnsi="Palatino Linotype"/>
                <w:color w:val="auto"/>
                <w:sz w:val="18"/>
                <w:szCs w:val="16"/>
                <w:lang w:val="en-GB"/>
              </w:rPr>
              <w:t>–</w:t>
            </w:r>
            <w:r w:rsidRPr="006F225A">
              <w:rPr>
                <w:rStyle w:val="None"/>
                <w:rFonts w:ascii="Palatino Linotype" w:hAnsi="Palatino Linotype"/>
                <w:color w:val="auto"/>
                <w:sz w:val="18"/>
                <w:szCs w:val="16"/>
                <w:lang w:val="en-GB"/>
              </w:rPr>
              <w:t xml:space="preserve">2010 </w:t>
            </w:r>
          </w:p>
        </w:tc>
        <w:tc>
          <w:tcPr>
            <w:tcW w:w="441" w:type="pct"/>
            <w:shd w:val="clear" w:color="auto" w:fill="FFFFFF"/>
            <w:tcMar>
              <w:top w:w="80" w:type="dxa"/>
              <w:left w:w="80" w:type="dxa"/>
              <w:bottom w:w="80" w:type="dxa"/>
              <w:right w:w="80" w:type="dxa"/>
            </w:tcMar>
            <w:vAlign w:val="center"/>
          </w:tcPr>
          <w:p w14:paraId="49FF3EF0"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 xml:space="preserve">Retrospective chart review </w:t>
            </w:r>
          </w:p>
        </w:tc>
        <w:tc>
          <w:tcPr>
            <w:tcW w:w="396" w:type="pct"/>
            <w:shd w:val="clear" w:color="auto" w:fill="FFFFFF"/>
            <w:tcMar>
              <w:top w:w="80" w:type="dxa"/>
              <w:left w:w="80" w:type="dxa"/>
              <w:bottom w:w="80" w:type="dxa"/>
              <w:right w:w="80" w:type="dxa"/>
            </w:tcMar>
            <w:vAlign w:val="center"/>
          </w:tcPr>
          <w:p w14:paraId="601E54DA"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58</w:t>
            </w:r>
          </w:p>
        </w:tc>
        <w:tc>
          <w:tcPr>
            <w:tcW w:w="488" w:type="pct"/>
            <w:shd w:val="clear" w:color="auto" w:fill="FFFFFF"/>
            <w:tcMar>
              <w:top w:w="80" w:type="dxa"/>
              <w:left w:w="80" w:type="dxa"/>
              <w:bottom w:w="80" w:type="dxa"/>
              <w:right w:w="80" w:type="dxa"/>
            </w:tcMar>
            <w:vAlign w:val="center"/>
          </w:tcPr>
          <w:p w14:paraId="06AA1CF8" w14:textId="25A813CE" w:rsidR="00D0052F" w:rsidRPr="006F225A" w:rsidRDefault="0056360D"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0–24</w:t>
            </w:r>
            <w:r w:rsidR="00D0052F" w:rsidRPr="006F225A">
              <w:rPr>
                <w:rStyle w:val="None"/>
                <w:rFonts w:ascii="Palatino Linotype" w:hAnsi="Palatino Linotype"/>
                <w:color w:val="auto"/>
                <w:sz w:val="18"/>
                <w:szCs w:val="16"/>
                <w:lang w:val="en-GB"/>
              </w:rPr>
              <w:t xml:space="preserve"> months</w:t>
            </w:r>
          </w:p>
        </w:tc>
        <w:tc>
          <w:tcPr>
            <w:tcW w:w="442" w:type="pct"/>
            <w:shd w:val="clear" w:color="auto" w:fill="FFFFFF"/>
            <w:tcMar>
              <w:top w:w="80" w:type="dxa"/>
              <w:left w:w="80" w:type="dxa"/>
              <w:bottom w:w="80" w:type="dxa"/>
              <w:right w:w="80" w:type="dxa"/>
            </w:tcMar>
            <w:vAlign w:val="center"/>
          </w:tcPr>
          <w:p w14:paraId="47260D8A"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6.8 (5.27) months</w:t>
            </w:r>
          </w:p>
        </w:tc>
        <w:tc>
          <w:tcPr>
            <w:tcW w:w="579" w:type="pct"/>
            <w:shd w:val="clear" w:color="auto" w:fill="FFFFFF"/>
            <w:tcMar>
              <w:top w:w="80" w:type="dxa"/>
              <w:left w:w="80" w:type="dxa"/>
              <w:bottom w:w="80" w:type="dxa"/>
              <w:right w:w="80" w:type="dxa"/>
            </w:tcMar>
            <w:vAlign w:val="center"/>
          </w:tcPr>
          <w:p w14:paraId="19E250DC" w14:textId="77777777" w:rsidR="00D0052F" w:rsidRPr="006F225A" w:rsidRDefault="00D0052F" w:rsidP="0034123F">
            <w:pPr>
              <w:pStyle w:val="BodyD"/>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NR</w:t>
            </w:r>
          </w:p>
        </w:tc>
        <w:tc>
          <w:tcPr>
            <w:tcW w:w="351" w:type="pct"/>
            <w:shd w:val="clear" w:color="auto" w:fill="FFFFFF"/>
            <w:tcMar>
              <w:top w:w="80" w:type="dxa"/>
              <w:left w:w="80" w:type="dxa"/>
              <w:bottom w:w="80" w:type="dxa"/>
              <w:right w:w="80" w:type="dxa"/>
            </w:tcMar>
            <w:vAlign w:val="center"/>
          </w:tcPr>
          <w:p w14:paraId="1A44C6B7" w14:textId="77777777" w:rsidR="00D0052F" w:rsidRPr="006F225A" w:rsidRDefault="00D0052F" w:rsidP="0034123F">
            <w:pPr>
              <w:pStyle w:val="BodyD"/>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59.7</w:t>
            </w:r>
          </w:p>
        </w:tc>
        <w:tc>
          <w:tcPr>
            <w:tcW w:w="626" w:type="pct"/>
            <w:shd w:val="clear" w:color="auto" w:fill="FFFFFF"/>
            <w:tcMar>
              <w:top w:w="80" w:type="dxa"/>
              <w:left w:w="80" w:type="dxa"/>
              <w:bottom w:w="80" w:type="dxa"/>
              <w:right w:w="80" w:type="dxa"/>
            </w:tcMar>
            <w:vAlign w:val="center"/>
          </w:tcPr>
          <w:p w14:paraId="5B881632"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 xml:space="preserve">Paediatric patients hospitalised with </w:t>
            </w:r>
            <w:proofErr w:type="spellStart"/>
            <w:r w:rsidRPr="006F225A">
              <w:rPr>
                <w:rStyle w:val="None"/>
                <w:rFonts w:ascii="Palatino Linotype" w:hAnsi="Palatino Linotype"/>
                <w:color w:val="auto"/>
                <w:sz w:val="18"/>
                <w:szCs w:val="16"/>
                <w:lang w:val="en-GB"/>
              </w:rPr>
              <w:t>hypernatremic</w:t>
            </w:r>
            <w:proofErr w:type="spellEnd"/>
            <w:r w:rsidRPr="006F225A">
              <w:rPr>
                <w:rStyle w:val="None"/>
                <w:rFonts w:ascii="Palatino Linotype" w:hAnsi="Palatino Linotype"/>
                <w:color w:val="auto"/>
                <w:sz w:val="18"/>
                <w:szCs w:val="16"/>
                <w:lang w:val="en-GB"/>
              </w:rPr>
              <w:t xml:space="preserve"> dehydration </w:t>
            </w:r>
          </w:p>
        </w:tc>
        <w:tc>
          <w:tcPr>
            <w:tcW w:w="351" w:type="pct"/>
            <w:shd w:val="clear" w:color="auto" w:fill="FEFFFE"/>
            <w:tcMar>
              <w:top w:w="80" w:type="dxa"/>
              <w:left w:w="80" w:type="dxa"/>
              <w:bottom w:w="80" w:type="dxa"/>
              <w:right w:w="80" w:type="dxa"/>
            </w:tcMar>
            <w:vAlign w:val="center"/>
          </w:tcPr>
          <w:p w14:paraId="0EC87374" w14:textId="77777777" w:rsidR="00D0052F" w:rsidRPr="006F225A" w:rsidRDefault="00D0052F" w:rsidP="00A57945">
            <w:pPr>
              <w:pStyle w:val="BodyE"/>
              <w:autoSpaceDE w:val="0"/>
              <w:autoSpaceDN w:val="0"/>
              <w:adjustRightInd w:val="0"/>
              <w:snapToGrid w:val="0"/>
              <w:jc w:val="center"/>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Good</w:t>
            </w:r>
          </w:p>
        </w:tc>
      </w:tr>
      <w:tr w:rsidR="009D7BC8" w:rsidRPr="006F225A" w14:paraId="1BE7E125" w14:textId="77777777" w:rsidTr="00A57945">
        <w:tblPrEx>
          <w:shd w:val="clear" w:color="auto" w:fill="CADFFF"/>
        </w:tblPrEx>
        <w:trPr>
          <w:jc w:val="center"/>
        </w:trPr>
        <w:tc>
          <w:tcPr>
            <w:tcW w:w="492" w:type="pct"/>
            <w:shd w:val="clear" w:color="auto" w:fill="FFFFFF"/>
            <w:tcMar>
              <w:top w:w="80" w:type="dxa"/>
              <w:left w:w="80" w:type="dxa"/>
              <w:bottom w:w="80" w:type="dxa"/>
              <w:right w:w="80" w:type="dxa"/>
            </w:tcMar>
            <w:vAlign w:val="center"/>
          </w:tcPr>
          <w:p w14:paraId="52765FB0"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shd w:val="clear" w:color="auto" w:fill="FFFFFF"/>
                <w:lang w:val="en-GB"/>
              </w:rPr>
              <w:t>Blacklock et al., 2015</w:t>
            </w:r>
            <w:r w:rsidR="00FB1B04" w:rsidRPr="006F225A">
              <w:rPr>
                <w:rStyle w:val="None"/>
                <w:rFonts w:ascii="Palatino Linotype" w:hAnsi="Palatino Linotype"/>
                <w:color w:val="auto"/>
                <w:sz w:val="18"/>
                <w:szCs w:val="16"/>
                <w:shd w:val="clear" w:color="auto" w:fill="FFFFFF"/>
                <w:lang w:val="en-GB"/>
              </w:rPr>
              <w:t xml:space="preserve"> [38]</w:t>
            </w:r>
          </w:p>
        </w:tc>
        <w:tc>
          <w:tcPr>
            <w:tcW w:w="393" w:type="pct"/>
            <w:shd w:val="clear" w:color="auto" w:fill="FFFFFF"/>
            <w:tcMar>
              <w:top w:w="80" w:type="dxa"/>
              <w:left w:w="80" w:type="dxa"/>
              <w:bottom w:w="80" w:type="dxa"/>
              <w:right w:w="80" w:type="dxa"/>
            </w:tcMar>
            <w:vAlign w:val="center"/>
          </w:tcPr>
          <w:p w14:paraId="2241D14F"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shd w:val="clear" w:color="auto" w:fill="FFFFFF"/>
                <w:lang w:val="en-GB"/>
              </w:rPr>
              <w:t xml:space="preserve">Sierra Leone </w:t>
            </w:r>
          </w:p>
        </w:tc>
        <w:tc>
          <w:tcPr>
            <w:tcW w:w="442" w:type="pct"/>
            <w:shd w:val="clear" w:color="auto" w:fill="FFFFFF"/>
            <w:tcMar>
              <w:top w:w="80" w:type="dxa"/>
              <w:left w:w="80" w:type="dxa"/>
              <w:bottom w:w="80" w:type="dxa"/>
              <w:right w:w="80" w:type="dxa"/>
            </w:tcMar>
            <w:vAlign w:val="center"/>
          </w:tcPr>
          <w:p w14:paraId="52078C87" w14:textId="0D3C5CDF" w:rsidR="00D0052F" w:rsidRPr="006F225A" w:rsidRDefault="005E2779"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shd w:val="clear" w:color="auto" w:fill="FFFFFF"/>
                <w:lang w:val="en-GB"/>
              </w:rPr>
              <w:t>2</w:t>
            </w:r>
            <w:r w:rsidRPr="006F225A">
              <w:rPr>
                <w:rStyle w:val="None"/>
                <w:rFonts w:ascii="Palatino Linotype" w:hAnsi="Palatino Linotype"/>
                <w:sz w:val="18"/>
                <w:szCs w:val="16"/>
                <w:shd w:val="clear" w:color="auto" w:fill="FFFFFF"/>
                <w:lang w:val="en-GB"/>
              </w:rPr>
              <w:t xml:space="preserve">6 </w:t>
            </w:r>
            <w:r w:rsidR="00D0052F" w:rsidRPr="006F225A">
              <w:rPr>
                <w:rStyle w:val="None"/>
                <w:rFonts w:ascii="Palatino Linotype" w:hAnsi="Palatino Linotype"/>
                <w:color w:val="auto"/>
                <w:sz w:val="18"/>
                <w:szCs w:val="16"/>
                <w:shd w:val="clear" w:color="auto" w:fill="FFFFFF"/>
                <w:lang w:val="en-GB"/>
              </w:rPr>
              <w:t>July 2012</w:t>
            </w:r>
            <w:r w:rsidR="00733890" w:rsidRPr="006F225A">
              <w:rPr>
                <w:rStyle w:val="None"/>
                <w:rFonts w:ascii="Palatino Linotype" w:hAnsi="Palatino Linotype"/>
                <w:color w:val="auto"/>
                <w:sz w:val="18"/>
                <w:szCs w:val="16"/>
                <w:shd w:val="clear" w:color="auto" w:fill="FFFFFF"/>
                <w:lang w:val="en-GB"/>
              </w:rPr>
              <w:t>–</w:t>
            </w:r>
            <w:r w:rsidRPr="006F225A">
              <w:rPr>
                <w:rStyle w:val="None"/>
                <w:rFonts w:ascii="Palatino Linotype" w:hAnsi="Palatino Linotype"/>
                <w:color w:val="auto"/>
                <w:sz w:val="18"/>
                <w:szCs w:val="16"/>
                <w:shd w:val="clear" w:color="auto" w:fill="FFFFFF"/>
                <w:lang w:val="en-GB"/>
              </w:rPr>
              <w:t xml:space="preserve">22 </w:t>
            </w:r>
            <w:r w:rsidR="00D0052F" w:rsidRPr="006F225A">
              <w:rPr>
                <w:rStyle w:val="None"/>
                <w:rFonts w:ascii="Palatino Linotype" w:hAnsi="Palatino Linotype"/>
                <w:color w:val="auto"/>
                <w:sz w:val="18"/>
                <w:szCs w:val="16"/>
                <w:shd w:val="clear" w:color="auto" w:fill="FFFFFF"/>
                <w:lang w:val="en-GB"/>
              </w:rPr>
              <w:t xml:space="preserve">September 2012 </w:t>
            </w:r>
          </w:p>
        </w:tc>
        <w:tc>
          <w:tcPr>
            <w:tcW w:w="441" w:type="pct"/>
            <w:shd w:val="clear" w:color="auto" w:fill="FFFFFF"/>
            <w:tcMar>
              <w:top w:w="80" w:type="dxa"/>
              <w:left w:w="80" w:type="dxa"/>
              <w:bottom w:w="80" w:type="dxa"/>
              <w:right w:w="80" w:type="dxa"/>
            </w:tcMar>
            <w:vAlign w:val="center"/>
          </w:tcPr>
          <w:p w14:paraId="06A7062A"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shd w:val="clear" w:color="auto" w:fill="FFFFFF"/>
                <w:lang w:val="en-GB"/>
              </w:rPr>
              <w:t xml:space="preserve">Retrospective chart review </w:t>
            </w:r>
          </w:p>
        </w:tc>
        <w:tc>
          <w:tcPr>
            <w:tcW w:w="396" w:type="pct"/>
            <w:shd w:val="clear" w:color="auto" w:fill="FFFFFF"/>
            <w:tcMar>
              <w:top w:w="80" w:type="dxa"/>
              <w:left w:w="80" w:type="dxa"/>
              <w:bottom w:w="80" w:type="dxa"/>
              <w:right w:w="80" w:type="dxa"/>
            </w:tcMar>
            <w:vAlign w:val="center"/>
          </w:tcPr>
          <w:p w14:paraId="50A43B0B"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shd w:val="clear" w:color="auto" w:fill="FFFFFF"/>
                <w:lang w:val="en-GB"/>
              </w:rPr>
              <w:t>798</w:t>
            </w:r>
          </w:p>
        </w:tc>
        <w:tc>
          <w:tcPr>
            <w:tcW w:w="488" w:type="pct"/>
            <w:shd w:val="clear" w:color="auto" w:fill="FFFFFF"/>
            <w:tcMar>
              <w:top w:w="80" w:type="dxa"/>
              <w:left w:w="80" w:type="dxa"/>
              <w:bottom w:w="80" w:type="dxa"/>
              <w:right w:w="80" w:type="dxa"/>
            </w:tcMar>
            <w:vAlign w:val="center"/>
          </w:tcPr>
          <w:p w14:paraId="477A0144" w14:textId="71A74D89"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shd w:val="clear" w:color="auto" w:fill="FFFFFF"/>
                <w:lang w:val="en-GB"/>
              </w:rPr>
              <w:t>&lt;5</w:t>
            </w:r>
            <w:r w:rsidR="00733890" w:rsidRPr="006F225A">
              <w:rPr>
                <w:rStyle w:val="None"/>
                <w:rFonts w:ascii="Palatino Linotype" w:hAnsi="Palatino Linotype"/>
                <w:color w:val="auto"/>
                <w:sz w:val="18"/>
                <w:szCs w:val="16"/>
                <w:shd w:val="clear" w:color="auto" w:fill="FFFFFF"/>
                <w:lang w:val="en-GB"/>
              </w:rPr>
              <w:t>–</w:t>
            </w:r>
            <w:r w:rsidRPr="006F225A">
              <w:rPr>
                <w:rStyle w:val="None"/>
                <w:rFonts w:ascii="Palatino Linotype" w:hAnsi="Palatino Linotype"/>
                <w:color w:val="auto"/>
                <w:sz w:val="18"/>
                <w:szCs w:val="16"/>
                <w:shd w:val="clear" w:color="auto" w:fill="FFFFFF"/>
                <w:lang w:val="en-GB"/>
              </w:rPr>
              <w:t xml:space="preserve">≥60y years </w:t>
            </w:r>
          </w:p>
        </w:tc>
        <w:tc>
          <w:tcPr>
            <w:tcW w:w="442" w:type="pct"/>
            <w:shd w:val="clear" w:color="auto" w:fill="FFFFFF"/>
            <w:tcMar>
              <w:top w:w="80" w:type="dxa"/>
              <w:left w:w="80" w:type="dxa"/>
              <w:bottom w:w="80" w:type="dxa"/>
              <w:right w:w="80" w:type="dxa"/>
            </w:tcMar>
            <w:vAlign w:val="center"/>
          </w:tcPr>
          <w:p w14:paraId="2E8F799A" w14:textId="77777777" w:rsidR="00D0052F" w:rsidRPr="006F225A" w:rsidRDefault="00D0052F" w:rsidP="0034123F">
            <w:pPr>
              <w:pStyle w:val="BodyD"/>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NR</w:t>
            </w:r>
          </w:p>
        </w:tc>
        <w:tc>
          <w:tcPr>
            <w:tcW w:w="579" w:type="pct"/>
            <w:shd w:val="clear" w:color="auto" w:fill="FFFFFF"/>
            <w:tcMar>
              <w:top w:w="80" w:type="dxa"/>
              <w:left w:w="80" w:type="dxa"/>
              <w:bottom w:w="80" w:type="dxa"/>
              <w:right w:w="80" w:type="dxa"/>
            </w:tcMar>
            <w:vAlign w:val="center"/>
          </w:tcPr>
          <w:p w14:paraId="5138D200" w14:textId="77777777" w:rsidR="00D0052F" w:rsidRPr="006F225A" w:rsidRDefault="00D0052F" w:rsidP="0034123F">
            <w:pPr>
              <w:pStyle w:val="BodyD"/>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NR</w:t>
            </w:r>
          </w:p>
        </w:tc>
        <w:tc>
          <w:tcPr>
            <w:tcW w:w="351" w:type="pct"/>
            <w:shd w:val="clear" w:color="auto" w:fill="FFFFFF"/>
            <w:tcMar>
              <w:top w:w="80" w:type="dxa"/>
              <w:left w:w="80" w:type="dxa"/>
              <w:bottom w:w="80" w:type="dxa"/>
              <w:right w:w="80" w:type="dxa"/>
            </w:tcMar>
            <w:vAlign w:val="center"/>
          </w:tcPr>
          <w:p w14:paraId="0BDD27AA" w14:textId="77777777" w:rsidR="00D0052F" w:rsidRPr="006F225A" w:rsidRDefault="00D0052F" w:rsidP="0034123F">
            <w:pPr>
              <w:pStyle w:val="BodyD"/>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45</w:t>
            </w:r>
          </w:p>
        </w:tc>
        <w:tc>
          <w:tcPr>
            <w:tcW w:w="626" w:type="pct"/>
            <w:shd w:val="clear" w:color="auto" w:fill="FFFFFF"/>
            <w:tcMar>
              <w:top w:w="80" w:type="dxa"/>
              <w:left w:w="80" w:type="dxa"/>
              <w:bottom w:w="80" w:type="dxa"/>
              <w:right w:w="80" w:type="dxa"/>
            </w:tcMar>
            <w:vAlign w:val="center"/>
          </w:tcPr>
          <w:p w14:paraId="3E475A2F"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Paediatric and adult p</w:t>
            </w:r>
            <w:r w:rsidRPr="006F225A">
              <w:rPr>
                <w:rStyle w:val="None"/>
                <w:rFonts w:ascii="Palatino Linotype" w:hAnsi="Palatino Linotype"/>
                <w:color w:val="auto"/>
                <w:sz w:val="18"/>
                <w:szCs w:val="16"/>
                <w:shd w:val="clear" w:color="auto" w:fill="FFFFFF"/>
                <w:lang w:val="en-GB"/>
              </w:rPr>
              <w:t>atients hospitalised with cholera during the epidemic</w:t>
            </w:r>
          </w:p>
        </w:tc>
        <w:tc>
          <w:tcPr>
            <w:tcW w:w="351" w:type="pct"/>
            <w:shd w:val="clear" w:color="auto" w:fill="FEFFFE"/>
            <w:tcMar>
              <w:top w:w="80" w:type="dxa"/>
              <w:left w:w="80" w:type="dxa"/>
              <w:bottom w:w="80" w:type="dxa"/>
              <w:right w:w="80" w:type="dxa"/>
            </w:tcMar>
            <w:vAlign w:val="center"/>
          </w:tcPr>
          <w:p w14:paraId="525B841B" w14:textId="77777777" w:rsidR="00D0052F" w:rsidRPr="006F225A" w:rsidRDefault="00D0052F" w:rsidP="00A57945">
            <w:pPr>
              <w:pStyle w:val="BodyE"/>
              <w:autoSpaceDE w:val="0"/>
              <w:autoSpaceDN w:val="0"/>
              <w:adjustRightInd w:val="0"/>
              <w:snapToGrid w:val="0"/>
              <w:jc w:val="center"/>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 xml:space="preserve">Fair </w:t>
            </w:r>
          </w:p>
        </w:tc>
      </w:tr>
      <w:tr w:rsidR="009D7BC8" w:rsidRPr="006F225A" w14:paraId="2A69794F" w14:textId="77777777" w:rsidTr="00A57945">
        <w:tblPrEx>
          <w:shd w:val="clear" w:color="auto" w:fill="CADFFF"/>
        </w:tblPrEx>
        <w:trPr>
          <w:jc w:val="center"/>
        </w:trPr>
        <w:tc>
          <w:tcPr>
            <w:tcW w:w="492" w:type="pct"/>
            <w:shd w:val="clear" w:color="auto" w:fill="FFFFFF"/>
            <w:tcMar>
              <w:top w:w="80" w:type="dxa"/>
              <w:left w:w="80" w:type="dxa"/>
              <w:bottom w:w="80" w:type="dxa"/>
              <w:right w:w="80" w:type="dxa"/>
            </w:tcMar>
            <w:vAlign w:val="center"/>
          </w:tcPr>
          <w:p w14:paraId="29B4FA0C"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Chow et al., 2009</w:t>
            </w:r>
            <w:r w:rsidR="00FB1B04" w:rsidRPr="006F225A">
              <w:rPr>
                <w:rStyle w:val="None"/>
                <w:rFonts w:ascii="Palatino Linotype" w:hAnsi="Palatino Linotype"/>
                <w:color w:val="auto"/>
                <w:sz w:val="18"/>
                <w:szCs w:val="16"/>
                <w:lang w:val="en-GB"/>
              </w:rPr>
              <w:t xml:space="preserve"> [14]</w:t>
            </w:r>
          </w:p>
        </w:tc>
        <w:tc>
          <w:tcPr>
            <w:tcW w:w="393" w:type="pct"/>
            <w:shd w:val="clear" w:color="auto" w:fill="FFFFFF"/>
            <w:tcMar>
              <w:top w:w="80" w:type="dxa"/>
              <w:left w:w="80" w:type="dxa"/>
              <w:bottom w:w="80" w:type="dxa"/>
              <w:right w:w="80" w:type="dxa"/>
            </w:tcMar>
            <w:vAlign w:val="center"/>
          </w:tcPr>
          <w:p w14:paraId="1EE95B47"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China</w:t>
            </w:r>
          </w:p>
        </w:tc>
        <w:tc>
          <w:tcPr>
            <w:tcW w:w="442" w:type="pct"/>
            <w:shd w:val="clear" w:color="auto" w:fill="FFFFFF"/>
            <w:tcMar>
              <w:top w:w="80" w:type="dxa"/>
              <w:left w:w="80" w:type="dxa"/>
              <w:bottom w:w="80" w:type="dxa"/>
              <w:right w:w="80" w:type="dxa"/>
            </w:tcMar>
            <w:vAlign w:val="center"/>
          </w:tcPr>
          <w:p w14:paraId="795F801E" w14:textId="3FDB171F" w:rsidR="00D0052F" w:rsidRPr="006F225A" w:rsidRDefault="005E2779"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 xml:space="preserve">1 </w:t>
            </w:r>
            <w:r w:rsidR="00D0052F" w:rsidRPr="006F225A">
              <w:rPr>
                <w:rStyle w:val="None"/>
                <w:rFonts w:ascii="Palatino Linotype" w:hAnsi="Palatino Linotype"/>
                <w:color w:val="auto"/>
                <w:sz w:val="18"/>
                <w:szCs w:val="16"/>
                <w:lang w:val="en-GB"/>
              </w:rPr>
              <w:t xml:space="preserve">April 2021 to </w:t>
            </w:r>
            <w:r w:rsidRPr="006F225A">
              <w:rPr>
                <w:rStyle w:val="None"/>
                <w:rFonts w:ascii="Palatino Linotype" w:hAnsi="Palatino Linotype"/>
                <w:color w:val="auto"/>
                <w:sz w:val="18"/>
                <w:szCs w:val="16"/>
                <w:lang w:val="en-GB"/>
              </w:rPr>
              <w:t xml:space="preserve">31 </w:t>
            </w:r>
            <w:r w:rsidR="00D0052F" w:rsidRPr="006F225A">
              <w:rPr>
                <w:rStyle w:val="None"/>
                <w:rFonts w:ascii="Palatino Linotype" w:hAnsi="Palatino Linotype"/>
                <w:color w:val="auto"/>
                <w:sz w:val="18"/>
                <w:szCs w:val="16"/>
                <w:lang w:val="en-GB"/>
              </w:rPr>
              <w:t>March 2003</w:t>
            </w:r>
          </w:p>
        </w:tc>
        <w:tc>
          <w:tcPr>
            <w:tcW w:w="441" w:type="pct"/>
            <w:shd w:val="clear" w:color="auto" w:fill="FFFFFF"/>
            <w:tcMar>
              <w:top w:w="80" w:type="dxa"/>
              <w:left w:w="80" w:type="dxa"/>
              <w:bottom w:w="80" w:type="dxa"/>
              <w:right w:w="80" w:type="dxa"/>
            </w:tcMar>
            <w:vAlign w:val="center"/>
          </w:tcPr>
          <w:p w14:paraId="5FC2EA1F"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shd w:val="clear" w:color="auto" w:fill="FFFFFF"/>
                <w:lang w:val="en-GB"/>
              </w:rPr>
              <w:t xml:space="preserve">Retrospective chart review </w:t>
            </w:r>
          </w:p>
        </w:tc>
        <w:tc>
          <w:tcPr>
            <w:tcW w:w="396" w:type="pct"/>
            <w:shd w:val="clear" w:color="auto" w:fill="FFFFFF"/>
            <w:tcMar>
              <w:top w:w="80" w:type="dxa"/>
              <w:left w:w="80" w:type="dxa"/>
              <w:bottom w:w="80" w:type="dxa"/>
              <w:right w:w="80" w:type="dxa"/>
            </w:tcMar>
            <w:vAlign w:val="center"/>
          </w:tcPr>
          <w:p w14:paraId="539C7E67"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7391</w:t>
            </w:r>
          </w:p>
        </w:tc>
        <w:tc>
          <w:tcPr>
            <w:tcW w:w="488" w:type="pct"/>
            <w:shd w:val="clear" w:color="auto" w:fill="FFFFFF"/>
            <w:tcMar>
              <w:top w:w="80" w:type="dxa"/>
              <w:left w:w="80" w:type="dxa"/>
              <w:bottom w:w="80" w:type="dxa"/>
              <w:right w:w="80" w:type="dxa"/>
            </w:tcMar>
            <w:vAlign w:val="center"/>
          </w:tcPr>
          <w:p w14:paraId="35AA18C6" w14:textId="77777777" w:rsidR="00D0052F" w:rsidRPr="006F225A" w:rsidRDefault="00D0052F" w:rsidP="0034123F">
            <w:pPr>
              <w:pStyle w:val="BodyD"/>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NR</w:t>
            </w:r>
          </w:p>
        </w:tc>
        <w:tc>
          <w:tcPr>
            <w:tcW w:w="442" w:type="pct"/>
            <w:shd w:val="clear" w:color="auto" w:fill="FFFFFF"/>
            <w:tcMar>
              <w:top w:w="80" w:type="dxa"/>
              <w:left w:w="80" w:type="dxa"/>
              <w:bottom w:w="80" w:type="dxa"/>
              <w:right w:w="80" w:type="dxa"/>
            </w:tcMar>
            <w:vAlign w:val="center"/>
          </w:tcPr>
          <w:p w14:paraId="59853839" w14:textId="77777777" w:rsidR="00D0052F" w:rsidRPr="006F225A" w:rsidRDefault="00D0052F" w:rsidP="0034123F">
            <w:pPr>
              <w:pStyle w:val="BodyD"/>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NR</w:t>
            </w:r>
          </w:p>
        </w:tc>
        <w:tc>
          <w:tcPr>
            <w:tcW w:w="579" w:type="pct"/>
            <w:shd w:val="clear" w:color="auto" w:fill="FFFFFF"/>
            <w:tcMar>
              <w:top w:w="80" w:type="dxa"/>
              <w:left w:w="80" w:type="dxa"/>
              <w:bottom w:w="80" w:type="dxa"/>
              <w:right w:w="80" w:type="dxa"/>
            </w:tcMar>
            <w:vAlign w:val="center"/>
          </w:tcPr>
          <w:p w14:paraId="66CAC9CE" w14:textId="6DCDE028"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13 (</w:t>
            </w:r>
            <w:r w:rsidR="0056360D" w:rsidRPr="006F225A">
              <w:rPr>
                <w:rStyle w:val="None"/>
                <w:rFonts w:ascii="Palatino Linotype" w:hAnsi="Palatino Linotype"/>
                <w:color w:val="auto"/>
                <w:sz w:val="18"/>
                <w:szCs w:val="16"/>
                <w:lang w:val="en-GB"/>
              </w:rPr>
              <w:t>6–26</w:t>
            </w:r>
            <w:r w:rsidRPr="006F225A">
              <w:rPr>
                <w:rStyle w:val="None"/>
                <w:rFonts w:ascii="Palatino Linotype" w:hAnsi="Palatino Linotype"/>
                <w:color w:val="auto"/>
                <w:sz w:val="18"/>
                <w:szCs w:val="16"/>
                <w:lang w:val="en-GB"/>
              </w:rPr>
              <w:t xml:space="preserve">) months </w:t>
            </w:r>
          </w:p>
        </w:tc>
        <w:tc>
          <w:tcPr>
            <w:tcW w:w="351" w:type="pct"/>
            <w:shd w:val="clear" w:color="auto" w:fill="FFFFFF"/>
            <w:tcMar>
              <w:top w:w="80" w:type="dxa"/>
              <w:left w:w="80" w:type="dxa"/>
              <w:bottom w:w="80" w:type="dxa"/>
              <w:right w:w="80" w:type="dxa"/>
            </w:tcMar>
            <w:vAlign w:val="center"/>
          </w:tcPr>
          <w:p w14:paraId="0CACE1A5" w14:textId="77777777" w:rsidR="00D0052F" w:rsidRPr="006F225A" w:rsidRDefault="00D0052F" w:rsidP="0034123F">
            <w:pPr>
              <w:pStyle w:val="BodyD"/>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59</w:t>
            </w:r>
          </w:p>
        </w:tc>
        <w:tc>
          <w:tcPr>
            <w:tcW w:w="626" w:type="pct"/>
            <w:shd w:val="clear" w:color="auto" w:fill="FFFFFF"/>
            <w:tcMar>
              <w:top w:w="80" w:type="dxa"/>
              <w:left w:w="80" w:type="dxa"/>
              <w:bottom w:w="80" w:type="dxa"/>
              <w:right w:w="80" w:type="dxa"/>
            </w:tcMar>
            <w:vAlign w:val="center"/>
          </w:tcPr>
          <w:p w14:paraId="5F592971"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 xml:space="preserve">Paediatric patients admitted to the hospital with diagnosis of diarrhoea. </w:t>
            </w:r>
          </w:p>
        </w:tc>
        <w:tc>
          <w:tcPr>
            <w:tcW w:w="351" w:type="pct"/>
            <w:shd w:val="clear" w:color="auto" w:fill="FEFFFE"/>
            <w:tcMar>
              <w:top w:w="80" w:type="dxa"/>
              <w:left w:w="80" w:type="dxa"/>
              <w:bottom w:w="80" w:type="dxa"/>
              <w:right w:w="80" w:type="dxa"/>
            </w:tcMar>
            <w:vAlign w:val="center"/>
          </w:tcPr>
          <w:p w14:paraId="7A97BE39" w14:textId="77777777" w:rsidR="00D0052F" w:rsidRPr="006F225A" w:rsidRDefault="00D0052F" w:rsidP="00A57945">
            <w:pPr>
              <w:pStyle w:val="BodyE"/>
              <w:autoSpaceDE w:val="0"/>
              <w:autoSpaceDN w:val="0"/>
              <w:adjustRightInd w:val="0"/>
              <w:snapToGrid w:val="0"/>
              <w:jc w:val="center"/>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 xml:space="preserve">Fair </w:t>
            </w:r>
          </w:p>
        </w:tc>
      </w:tr>
      <w:tr w:rsidR="009D7BC8" w:rsidRPr="006F225A" w14:paraId="25DE3CA7" w14:textId="77777777" w:rsidTr="00A57945">
        <w:tblPrEx>
          <w:shd w:val="clear" w:color="auto" w:fill="CADFFF"/>
        </w:tblPrEx>
        <w:trPr>
          <w:jc w:val="center"/>
        </w:trPr>
        <w:tc>
          <w:tcPr>
            <w:tcW w:w="492" w:type="pct"/>
            <w:shd w:val="clear" w:color="auto" w:fill="FFFFFF"/>
            <w:tcMar>
              <w:top w:w="80" w:type="dxa"/>
              <w:left w:w="80" w:type="dxa"/>
              <w:bottom w:w="80" w:type="dxa"/>
              <w:right w:w="80" w:type="dxa"/>
            </w:tcMar>
            <w:vAlign w:val="center"/>
          </w:tcPr>
          <w:p w14:paraId="2B5F950E"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proofErr w:type="spellStart"/>
            <w:r w:rsidRPr="006F225A">
              <w:rPr>
                <w:rStyle w:val="None"/>
                <w:rFonts w:ascii="Palatino Linotype" w:hAnsi="Palatino Linotype"/>
                <w:color w:val="auto"/>
                <w:sz w:val="18"/>
                <w:szCs w:val="16"/>
                <w:lang w:val="en-GB"/>
              </w:rPr>
              <w:t>Dbaibo</w:t>
            </w:r>
            <w:proofErr w:type="spellEnd"/>
            <w:r w:rsidRPr="006F225A">
              <w:rPr>
                <w:rStyle w:val="None"/>
                <w:rFonts w:ascii="Palatino Linotype" w:hAnsi="Palatino Linotype"/>
                <w:color w:val="auto"/>
                <w:sz w:val="18"/>
                <w:szCs w:val="16"/>
                <w:lang w:val="en-GB"/>
              </w:rPr>
              <w:t xml:space="preserve"> et al., 2013</w:t>
            </w:r>
            <w:r w:rsidR="00FB1B04" w:rsidRPr="006F225A">
              <w:rPr>
                <w:rStyle w:val="None"/>
                <w:rFonts w:ascii="Palatino Linotype" w:hAnsi="Palatino Linotype"/>
                <w:color w:val="auto"/>
                <w:sz w:val="18"/>
                <w:szCs w:val="16"/>
                <w:lang w:val="en-GB"/>
              </w:rPr>
              <w:t xml:space="preserve"> [19]</w:t>
            </w:r>
          </w:p>
        </w:tc>
        <w:tc>
          <w:tcPr>
            <w:tcW w:w="393" w:type="pct"/>
            <w:shd w:val="clear" w:color="auto" w:fill="FFFFFF"/>
            <w:tcMar>
              <w:top w:w="80" w:type="dxa"/>
              <w:left w:w="80" w:type="dxa"/>
              <w:bottom w:w="80" w:type="dxa"/>
              <w:right w:w="80" w:type="dxa"/>
            </w:tcMar>
            <w:vAlign w:val="center"/>
          </w:tcPr>
          <w:p w14:paraId="0CE60D43"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 xml:space="preserve">Lebanon </w:t>
            </w:r>
          </w:p>
        </w:tc>
        <w:tc>
          <w:tcPr>
            <w:tcW w:w="442" w:type="pct"/>
            <w:shd w:val="clear" w:color="auto" w:fill="FFFFFF"/>
            <w:tcMar>
              <w:top w:w="80" w:type="dxa"/>
              <w:left w:w="80" w:type="dxa"/>
              <w:bottom w:w="80" w:type="dxa"/>
              <w:right w:w="80" w:type="dxa"/>
            </w:tcMar>
            <w:vAlign w:val="center"/>
          </w:tcPr>
          <w:p w14:paraId="70976847" w14:textId="3A56774F"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April 2007</w:t>
            </w:r>
            <w:r w:rsidR="00733890" w:rsidRPr="006F225A">
              <w:rPr>
                <w:rStyle w:val="None"/>
                <w:rFonts w:ascii="Palatino Linotype" w:hAnsi="Palatino Linotype"/>
                <w:color w:val="auto"/>
                <w:sz w:val="18"/>
                <w:szCs w:val="16"/>
                <w:lang w:val="en-GB"/>
              </w:rPr>
              <w:t>–</w:t>
            </w:r>
            <w:r w:rsidRPr="006F225A">
              <w:rPr>
                <w:rStyle w:val="None"/>
                <w:rFonts w:ascii="Palatino Linotype" w:hAnsi="Palatino Linotype"/>
                <w:color w:val="auto"/>
                <w:sz w:val="18"/>
                <w:szCs w:val="16"/>
                <w:lang w:val="en-GB"/>
              </w:rPr>
              <w:t>August 2008</w:t>
            </w:r>
          </w:p>
        </w:tc>
        <w:tc>
          <w:tcPr>
            <w:tcW w:w="441" w:type="pct"/>
            <w:shd w:val="clear" w:color="auto" w:fill="FFFFFF"/>
            <w:tcMar>
              <w:top w:w="80" w:type="dxa"/>
              <w:left w:w="80" w:type="dxa"/>
              <w:bottom w:w="80" w:type="dxa"/>
              <w:right w:w="80" w:type="dxa"/>
            </w:tcMar>
            <w:vAlign w:val="center"/>
          </w:tcPr>
          <w:p w14:paraId="7B885AAF"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 xml:space="preserve">Hospital-based surveillance design </w:t>
            </w:r>
          </w:p>
        </w:tc>
        <w:tc>
          <w:tcPr>
            <w:tcW w:w="396" w:type="pct"/>
            <w:shd w:val="clear" w:color="auto" w:fill="FFFFFF"/>
            <w:tcMar>
              <w:top w:w="80" w:type="dxa"/>
              <w:left w:w="80" w:type="dxa"/>
              <w:bottom w:w="80" w:type="dxa"/>
              <w:right w:w="80" w:type="dxa"/>
            </w:tcMar>
            <w:vAlign w:val="center"/>
          </w:tcPr>
          <w:p w14:paraId="390BE52F"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491</w:t>
            </w:r>
          </w:p>
        </w:tc>
        <w:tc>
          <w:tcPr>
            <w:tcW w:w="488" w:type="pct"/>
            <w:shd w:val="clear" w:color="auto" w:fill="FFFFFF"/>
            <w:tcMar>
              <w:top w:w="80" w:type="dxa"/>
              <w:left w:w="80" w:type="dxa"/>
              <w:bottom w:w="80" w:type="dxa"/>
              <w:right w:w="80" w:type="dxa"/>
            </w:tcMar>
            <w:vAlign w:val="center"/>
          </w:tcPr>
          <w:p w14:paraId="18640E6C"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NR</w:t>
            </w:r>
          </w:p>
        </w:tc>
        <w:tc>
          <w:tcPr>
            <w:tcW w:w="442" w:type="pct"/>
            <w:shd w:val="clear" w:color="auto" w:fill="FFFFFF"/>
            <w:tcMar>
              <w:top w:w="80" w:type="dxa"/>
              <w:left w:w="80" w:type="dxa"/>
              <w:bottom w:w="80" w:type="dxa"/>
              <w:right w:w="80" w:type="dxa"/>
            </w:tcMar>
            <w:vAlign w:val="center"/>
          </w:tcPr>
          <w:p w14:paraId="518A109D" w14:textId="77777777" w:rsidR="00D0052F" w:rsidRPr="006F225A" w:rsidRDefault="00D0052F" w:rsidP="0034123F">
            <w:pPr>
              <w:pStyle w:val="BodyD"/>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NR</w:t>
            </w:r>
          </w:p>
        </w:tc>
        <w:tc>
          <w:tcPr>
            <w:tcW w:w="579" w:type="pct"/>
            <w:shd w:val="clear" w:color="auto" w:fill="FFFFFF"/>
            <w:tcMar>
              <w:top w:w="80" w:type="dxa"/>
              <w:left w:w="80" w:type="dxa"/>
              <w:bottom w:w="80" w:type="dxa"/>
              <w:right w:w="80" w:type="dxa"/>
            </w:tcMar>
            <w:vAlign w:val="center"/>
          </w:tcPr>
          <w:p w14:paraId="38AC2689" w14:textId="2308E05F"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12 (</w:t>
            </w:r>
            <w:r w:rsidR="0056360D" w:rsidRPr="006F225A">
              <w:rPr>
                <w:rStyle w:val="None"/>
                <w:rFonts w:ascii="Palatino Linotype" w:hAnsi="Palatino Linotype"/>
                <w:color w:val="auto"/>
                <w:sz w:val="18"/>
                <w:szCs w:val="16"/>
                <w:lang w:val="en-GB"/>
              </w:rPr>
              <w:t>0–59</w:t>
            </w:r>
            <w:r w:rsidRPr="006F225A">
              <w:rPr>
                <w:rStyle w:val="None"/>
                <w:rFonts w:ascii="Palatino Linotype" w:hAnsi="Palatino Linotype"/>
                <w:color w:val="auto"/>
                <w:sz w:val="18"/>
                <w:szCs w:val="16"/>
                <w:lang w:val="en-GB"/>
              </w:rPr>
              <w:t xml:space="preserve">) months </w:t>
            </w:r>
          </w:p>
        </w:tc>
        <w:tc>
          <w:tcPr>
            <w:tcW w:w="351" w:type="pct"/>
            <w:shd w:val="clear" w:color="auto" w:fill="FFFFFF"/>
            <w:tcMar>
              <w:top w:w="80" w:type="dxa"/>
              <w:left w:w="80" w:type="dxa"/>
              <w:bottom w:w="80" w:type="dxa"/>
              <w:right w:w="80" w:type="dxa"/>
            </w:tcMar>
            <w:vAlign w:val="center"/>
          </w:tcPr>
          <w:p w14:paraId="3F4F24E5" w14:textId="77777777" w:rsidR="00D0052F" w:rsidRPr="006F225A" w:rsidRDefault="00D0052F" w:rsidP="0034123F">
            <w:pPr>
              <w:pStyle w:val="BodyD"/>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NR</w:t>
            </w:r>
          </w:p>
        </w:tc>
        <w:tc>
          <w:tcPr>
            <w:tcW w:w="626" w:type="pct"/>
            <w:shd w:val="clear" w:color="auto" w:fill="FFFFFF"/>
            <w:tcMar>
              <w:top w:w="80" w:type="dxa"/>
              <w:left w:w="80" w:type="dxa"/>
              <w:bottom w:w="80" w:type="dxa"/>
              <w:right w:w="80" w:type="dxa"/>
            </w:tcMar>
            <w:vAlign w:val="center"/>
          </w:tcPr>
          <w:p w14:paraId="5A4737D6"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 xml:space="preserve">Paediatric patients hospitalised with a diagnosis of acute </w:t>
            </w:r>
            <w:r w:rsidRPr="006F225A">
              <w:rPr>
                <w:rStyle w:val="None"/>
                <w:rFonts w:ascii="Palatino Linotype" w:hAnsi="Palatino Linotype"/>
                <w:color w:val="auto"/>
                <w:sz w:val="18"/>
                <w:szCs w:val="16"/>
                <w:bdr w:val="none" w:sz="0" w:space="0" w:color="auto"/>
                <w:lang w:val="en-GB"/>
              </w:rPr>
              <w:t xml:space="preserve">gastroenteritis </w:t>
            </w:r>
          </w:p>
        </w:tc>
        <w:tc>
          <w:tcPr>
            <w:tcW w:w="351" w:type="pct"/>
            <w:shd w:val="clear" w:color="auto" w:fill="FEFFFE"/>
            <w:tcMar>
              <w:top w:w="80" w:type="dxa"/>
              <w:left w:w="80" w:type="dxa"/>
              <w:bottom w:w="80" w:type="dxa"/>
              <w:right w:w="80" w:type="dxa"/>
            </w:tcMar>
            <w:vAlign w:val="center"/>
          </w:tcPr>
          <w:p w14:paraId="7935F3FD" w14:textId="77777777" w:rsidR="00D0052F" w:rsidRPr="006F225A" w:rsidRDefault="00D0052F" w:rsidP="00A57945">
            <w:pPr>
              <w:pStyle w:val="BodyE"/>
              <w:autoSpaceDE w:val="0"/>
              <w:autoSpaceDN w:val="0"/>
              <w:adjustRightInd w:val="0"/>
              <w:snapToGrid w:val="0"/>
              <w:jc w:val="center"/>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 xml:space="preserve">Fair </w:t>
            </w:r>
          </w:p>
        </w:tc>
      </w:tr>
      <w:tr w:rsidR="009D7BC8" w:rsidRPr="006F225A" w14:paraId="7A5EE717" w14:textId="77777777" w:rsidTr="00A57945">
        <w:tblPrEx>
          <w:shd w:val="clear" w:color="auto" w:fill="CADFFF"/>
        </w:tblPrEx>
        <w:trPr>
          <w:jc w:val="center"/>
        </w:trPr>
        <w:tc>
          <w:tcPr>
            <w:tcW w:w="492" w:type="pct"/>
            <w:shd w:val="clear" w:color="auto" w:fill="FFFFFF"/>
            <w:tcMar>
              <w:top w:w="80" w:type="dxa"/>
              <w:left w:w="80" w:type="dxa"/>
              <w:bottom w:w="80" w:type="dxa"/>
              <w:right w:w="80" w:type="dxa"/>
            </w:tcMar>
            <w:vAlign w:val="center"/>
          </w:tcPr>
          <w:p w14:paraId="59C9A35D"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proofErr w:type="spellStart"/>
            <w:r w:rsidRPr="006F225A">
              <w:rPr>
                <w:rStyle w:val="None"/>
                <w:rFonts w:ascii="Palatino Linotype" w:hAnsi="Palatino Linotype"/>
                <w:color w:val="auto"/>
                <w:sz w:val="18"/>
                <w:szCs w:val="16"/>
                <w:lang w:val="en-GB"/>
              </w:rPr>
              <w:t>Fikrie</w:t>
            </w:r>
            <w:proofErr w:type="spellEnd"/>
            <w:r w:rsidRPr="006F225A">
              <w:rPr>
                <w:rStyle w:val="None"/>
                <w:rFonts w:ascii="Palatino Linotype" w:hAnsi="Palatino Linotype"/>
                <w:color w:val="auto"/>
                <w:sz w:val="18"/>
                <w:szCs w:val="16"/>
                <w:lang w:val="en-GB"/>
              </w:rPr>
              <w:t>, Alemayehu and Gebremedhin, 2019</w:t>
            </w:r>
            <w:r w:rsidR="00FB1B04" w:rsidRPr="006F225A">
              <w:rPr>
                <w:rStyle w:val="None"/>
                <w:rFonts w:ascii="Palatino Linotype" w:hAnsi="Palatino Linotype"/>
                <w:color w:val="auto"/>
                <w:sz w:val="18"/>
                <w:szCs w:val="16"/>
                <w:lang w:val="en-GB"/>
              </w:rPr>
              <w:t xml:space="preserve"> [32]</w:t>
            </w:r>
          </w:p>
        </w:tc>
        <w:tc>
          <w:tcPr>
            <w:tcW w:w="393" w:type="pct"/>
            <w:shd w:val="clear" w:color="auto" w:fill="FFFFFF"/>
            <w:tcMar>
              <w:top w:w="80" w:type="dxa"/>
              <w:left w:w="80" w:type="dxa"/>
              <w:bottom w:w="80" w:type="dxa"/>
              <w:right w:w="80" w:type="dxa"/>
            </w:tcMar>
            <w:vAlign w:val="center"/>
          </w:tcPr>
          <w:p w14:paraId="278D18AE"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Ethiopia</w:t>
            </w:r>
          </w:p>
        </w:tc>
        <w:tc>
          <w:tcPr>
            <w:tcW w:w="442" w:type="pct"/>
            <w:shd w:val="clear" w:color="auto" w:fill="FFFFFF"/>
            <w:tcMar>
              <w:top w:w="80" w:type="dxa"/>
              <w:left w:w="80" w:type="dxa"/>
              <w:bottom w:w="80" w:type="dxa"/>
              <w:right w:w="80" w:type="dxa"/>
            </w:tcMar>
            <w:vAlign w:val="center"/>
          </w:tcPr>
          <w:p w14:paraId="6AF88248" w14:textId="222BD2F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July 2015</w:t>
            </w:r>
            <w:r w:rsidR="00733890" w:rsidRPr="006F225A">
              <w:rPr>
                <w:rStyle w:val="None"/>
                <w:rFonts w:ascii="Palatino Linotype" w:hAnsi="Palatino Linotype"/>
                <w:color w:val="auto"/>
                <w:sz w:val="18"/>
                <w:szCs w:val="16"/>
                <w:lang w:val="en-GB"/>
              </w:rPr>
              <w:t>–</w:t>
            </w:r>
            <w:r w:rsidRPr="006F225A">
              <w:rPr>
                <w:rStyle w:val="None"/>
                <w:rFonts w:ascii="Palatino Linotype" w:hAnsi="Palatino Linotype"/>
                <w:color w:val="auto"/>
                <w:sz w:val="18"/>
                <w:szCs w:val="16"/>
                <w:lang w:val="en-GB"/>
              </w:rPr>
              <w:t xml:space="preserve">June 2017 </w:t>
            </w:r>
          </w:p>
        </w:tc>
        <w:tc>
          <w:tcPr>
            <w:tcW w:w="441" w:type="pct"/>
            <w:shd w:val="clear" w:color="auto" w:fill="FFFFFF"/>
            <w:tcMar>
              <w:top w:w="80" w:type="dxa"/>
              <w:left w:w="80" w:type="dxa"/>
              <w:bottom w:w="80" w:type="dxa"/>
              <w:right w:w="80" w:type="dxa"/>
            </w:tcMar>
            <w:vAlign w:val="center"/>
          </w:tcPr>
          <w:p w14:paraId="5AAAF167"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 xml:space="preserve">Retrospective cohort </w:t>
            </w:r>
          </w:p>
        </w:tc>
        <w:tc>
          <w:tcPr>
            <w:tcW w:w="396" w:type="pct"/>
            <w:shd w:val="clear" w:color="auto" w:fill="FFFFFF"/>
            <w:tcMar>
              <w:top w:w="80" w:type="dxa"/>
              <w:left w:w="80" w:type="dxa"/>
              <w:bottom w:w="80" w:type="dxa"/>
              <w:right w:w="80" w:type="dxa"/>
            </w:tcMar>
            <w:vAlign w:val="center"/>
          </w:tcPr>
          <w:p w14:paraId="6AFBCFF6"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381</w:t>
            </w:r>
          </w:p>
        </w:tc>
        <w:tc>
          <w:tcPr>
            <w:tcW w:w="488" w:type="pct"/>
            <w:shd w:val="clear" w:color="auto" w:fill="FFFFFF"/>
            <w:tcMar>
              <w:top w:w="80" w:type="dxa"/>
              <w:left w:w="80" w:type="dxa"/>
              <w:bottom w:w="80" w:type="dxa"/>
              <w:right w:w="80" w:type="dxa"/>
            </w:tcMar>
            <w:vAlign w:val="center"/>
          </w:tcPr>
          <w:p w14:paraId="5965FE83" w14:textId="59651E79" w:rsidR="00D0052F" w:rsidRPr="006F225A" w:rsidRDefault="0056360D" w:rsidP="0034123F">
            <w:pPr>
              <w:pStyle w:val="BodyE"/>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6–59</w:t>
            </w:r>
            <w:r w:rsidR="00D0052F" w:rsidRPr="006F225A">
              <w:rPr>
                <w:rStyle w:val="None"/>
                <w:rFonts w:ascii="Palatino Linotype" w:hAnsi="Palatino Linotype"/>
                <w:color w:val="auto"/>
                <w:sz w:val="18"/>
                <w:szCs w:val="16"/>
                <w:lang w:val="en-GB"/>
              </w:rPr>
              <w:t xml:space="preserve"> months </w:t>
            </w:r>
          </w:p>
        </w:tc>
        <w:tc>
          <w:tcPr>
            <w:tcW w:w="442" w:type="pct"/>
            <w:shd w:val="clear" w:color="auto" w:fill="FFFFFF"/>
            <w:tcMar>
              <w:top w:w="80" w:type="dxa"/>
              <w:left w:w="80" w:type="dxa"/>
              <w:bottom w:w="80" w:type="dxa"/>
              <w:right w:w="80" w:type="dxa"/>
            </w:tcMar>
            <w:vAlign w:val="center"/>
          </w:tcPr>
          <w:p w14:paraId="38E1C207" w14:textId="77777777" w:rsidR="00D0052F" w:rsidRPr="006F225A" w:rsidRDefault="00D0052F" w:rsidP="0034123F">
            <w:pPr>
              <w:pStyle w:val="BodyC"/>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22.4 (15.8)</w:t>
            </w:r>
          </w:p>
        </w:tc>
        <w:tc>
          <w:tcPr>
            <w:tcW w:w="579" w:type="pct"/>
            <w:shd w:val="clear" w:color="auto" w:fill="FFFFFF"/>
            <w:tcMar>
              <w:top w:w="80" w:type="dxa"/>
              <w:left w:w="80" w:type="dxa"/>
              <w:bottom w:w="80" w:type="dxa"/>
              <w:right w:w="80" w:type="dxa"/>
            </w:tcMar>
            <w:vAlign w:val="center"/>
          </w:tcPr>
          <w:p w14:paraId="47DD6999" w14:textId="77777777" w:rsidR="00D0052F" w:rsidRPr="006F225A" w:rsidRDefault="00D0052F" w:rsidP="0034123F">
            <w:pPr>
              <w:pStyle w:val="BodyD"/>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NR</w:t>
            </w:r>
          </w:p>
        </w:tc>
        <w:tc>
          <w:tcPr>
            <w:tcW w:w="351" w:type="pct"/>
            <w:shd w:val="clear" w:color="auto" w:fill="FFFFFF"/>
            <w:tcMar>
              <w:top w:w="80" w:type="dxa"/>
              <w:left w:w="80" w:type="dxa"/>
              <w:bottom w:w="80" w:type="dxa"/>
              <w:right w:w="80" w:type="dxa"/>
            </w:tcMar>
            <w:vAlign w:val="center"/>
          </w:tcPr>
          <w:p w14:paraId="1428F15F" w14:textId="77777777" w:rsidR="00D0052F" w:rsidRPr="006F225A" w:rsidRDefault="00D0052F" w:rsidP="0034123F">
            <w:pPr>
              <w:pStyle w:val="BodyD"/>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49.6</w:t>
            </w:r>
          </w:p>
        </w:tc>
        <w:tc>
          <w:tcPr>
            <w:tcW w:w="626" w:type="pct"/>
            <w:shd w:val="clear" w:color="auto" w:fill="FFFFFF"/>
            <w:tcMar>
              <w:top w:w="80" w:type="dxa"/>
              <w:left w:w="80" w:type="dxa"/>
              <w:bottom w:w="80" w:type="dxa"/>
              <w:right w:w="80" w:type="dxa"/>
            </w:tcMar>
            <w:vAlign w:val="center"/>
          </w:tcPr>
          <w:p w14:paraId="01C07460"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 xml:space="preserve">Paediatric patients hospitalised with Severe Acute Malnutrition </w:t>
            </w:r>
          </w:p>
        </w:tc>
        <w:tc>
          <w:tcPr>
            <w:tcW w:w="351" w:type="pct"/>
            <w:shd w:val="clear" w:color="auto" w:fill="FEFFFE"/>
            <w:tcMar>
              <w:top w:w="80" w:type="dxa"/>
              <w:left w:w="80" w:type="dxa"/>
              <w:bottom w:w="80" w:type="dxa"/>
              <w:right w:w="80" w:type="dxa"/>
            </w:tcMar>
            <w:vAlign w:val="center"/>
          </w:tcPr>
          <w:p w14:paraId="4F3D3674" w14:textId="77777777" w:rsidR="00D0052F" w:rsidRPr="006F225A" w:rsidRDefault="00D0052F" w:rsidP="00A57945">
            <w:pPr>
              <w:pStyle w:val="BodyE"/>
              <w:autoSpaceDE w:val="0"/>
              <w:autoSpaceDN w:val="0"/>
              <w:adjustRightInd w:val="0"/>
              <w:snapToGrid w:val="0"/>
              <w:jc w:val="center"/>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Good</w:t>
            </w:r>
          </w:p>
        </w:tc>
      </w:tr>
      <w:tr w:rsidR="009D7BC8" w:rsidRPr="006F225A" w14:paraId="44BA8B41" w14:textId="77777777" w:rsidTr="00A57945">
        <w:tblPrEx>
          <w:shd w:val="clear" w:color="auto" w:fill="CADFFF"/>
        </w:tblPrEx>
        <w:trPr>
          <w:jc w:val="center"/>
        </w:trPr>
        <w:tc>
          <w:tcPr>
            <w:tcW w:w="492" w:type="pct"/>
            <w:shd w:val="clear" w:color="auto" w:fill="FFFFFF"/>
            <w:tcMar>
              <w:top w:w="80" w:type="dxa"/>
              <w:left w:w="80" w:type="dxa"/>
              <w:bottom w:w="80" w:type="dxa"/>
              <w:right w:w="80" w:type="dxa"/>
            </w:tcMar>
            <w:vAlign w:val="center"/>
          </w:tcPr>
          <w:p w14:paraId="25D4643A"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lastRenderedPageBreak/>
              <w:t>Freedman et al., 2014</w:t>
            </w:r>
            <w:r w:rsidR="003221F8" w:rsidRPr="006F225A">
              <w:rPr>
                <w:rStyle w:val="None"/>
                <w:rFonts w:ascii="Palatino Linotype" w:hAnsi="Palatino Linotype"/>
                <w:color w:val="auto"/>
                <w:sz w:val="18"/>
                <w:szCs w:val="16"/>
                <w:lang w:val="en-GB"/>
              </w:rPr>
              <w:t xml:space="preserve"> [20]</w:t>
            </w:r>
          </w:p>
        </w:tc>
        <w:tc>
          <w:tcPr>
            <w:tcW w:w="393" w:type="pct"/>
            <w:shd w:val="clear" w:color="auto" w:fill="FFFFFF"/>
            <w:tcMar>
              <w:top w:w="80" w:type="dxa"/>
              <w:left w:w="80" w:type="dxa"/>
              <w:bottom w:w="80" w:type="dxa"/>
              <w:right w:w="80" w:type="dxa"/>
            </w:tcMar>
            <w:vAlign w:val="center"/>
          </w:tcPr>
          <w:p w14:paraId="6015DD1C"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USA</w:t>
            </w:r>
          </w:p>
        </w:tc>
        <w:tc>
          <w:tcPr>
            <w:tcW w:w="442" w:type="pct"/>
            <w:shd w:val="clear" w:color="auto" w:fill="FFFFFF"/>
            <w:tcMar>
              <w:top w:w="80" w:type="dxa"/>
              <w:left w:w="80" w:type="dxa"/>
              <w:bottom w:w="80" w:type="dxa"/>
              <w:right w:w="80" w:type="dxa"/>
            </w:tcMar>
            <w:vAlign w:val="center"/>
          </w:tcPr>
          <w:p w14:paraId="41D0656C" w14:textId="614FE41E" w:rsidR="00D0052F" w:rsidRPr="006F225A" w:rsidRDefault="005E2779"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 xml:space="preserve">1 </w:t>
            </w:r>
            <w:r w:rsidR="00D0052F" w:rsidRPr="006F225A">
              <w:rPr>
                <w:rStyle w:val="None"/>
                <w:rFonts w:ascii="Palatino Linotype" w:hAnsi="Palatino Linotype"/>
                <w:color w:val="auto"/>
                <w:sz w:val="18"/>
                <w:szCs w:val="16"/>
                <w:lang w:val="en-GB"/>
              </w:rPr>
              <w:t>January 2002</w:t>
            </w:r>
            <w:r w:rsidR="00733890" w:rsidRPr="006F225A">
              <w:rPr>
                <w:rStyle w:val="None"/>
                <w:rFonts w:ascii="Palatino Linotype" w:hAnsi="Palatino Linotype"/>
                <w:color w:val="auto"/>
                <w:sz w:val="18"/>
                <w:szCs w:val="16"/>
                <w:lang w:val="en-GB"/>
              </w:rPr>
              <w:t>–</w:t>
            </w:r>
            <w:r w:rsidRPr="006F225A">
              <w:rPr>
                <w:rStyle w:val="None"/>
                <w:rFonts w:ascii="Palatino Linotype" w:hAnsi="Palatino Linotype"/>
                <w:color w:val="auto"/>
                <w:sz w:val="18"/>
                <w:szCs w:val="16"/>
                <w:lang w:val="en-GB"/>
              </w:rPr>
              <w:t xml:space="preserve">31 </w:t>
            </w:r>
            <w:r w:rsidR="00D0052F" w:rsidRPr="006F225A">
              <w:rPr>
                <w:rStyle w:val="None"/>
                <w:rFonts w:ascii="Palatino Linotype" w:hAnsi="Palatino Linotype"/>
                <w:color w:val="auto"/>
                <w:sz w:val="18"/>
                <w:szCs w:val="16"/>
                <w:lang w:val="en-GB"/>
              </w:rPr>
              <w:t>December 2011</w:t>
            </w:r>
          </w:p>
        </w:tc>
        <w:tc>
          <w:tcPr>
            <w:tcW w:w="441" w:type="pct"/>
            <w:shd w:val="clear" w:color="auto" w:fill="FFFFFF"/>
            <w:tcMar>
              <w:top w:w="80" w:type="dxa"/>
              <w:left w:w="80" w:type="dxa"/>
              <w:bottom w:w="80" w:type="dxa"/>
              <w:right w:w="80" w:type="dxa"/>
            </w:tcMar>
            <w:vAlign w:val="center"/>
          </w:tcPr>
          <w:p w14:paraId="72CFA970"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 xml:space="preserve">Retrospective cohort study </w:t>
            </w:r>
          </w:p>
        </w:tc>
        <w:tc>
          <w:tcPr>
            <w:tcW w:w="396" w:type="pct"/>
            <w:shd w:val="clear" w:color="auto" w:fill="FFFFFF"/>
            <w:tcMar>
              <w:top w:w="80" w:type="dxa"/>
              <w:left w:w="80" w:type="dxa"/>
              <w:bottom w:w="80" w:type="dxa"/>
              <w:right w:w="80" w:type="dxa"/>
            </w:tcMar>
            <w:vAlign w:val="center"/>
          </w:tcPr>
          <w:p w14:paraId="23A41949"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804,000</w:t>
            </w:r>
          </w:p>
        </w:tc>
        <w:tc>
          <w:tcPr>
            <w:tcW w:w="488" w:type="pct"/>
            <w:shd w:val="clear" w:color="auto" w:fill="FFFFFF"/>
            <w:tcMar>
              <w:top w:w="80" w:type="dxa"/>
              <w:left w:w="80" w:type="dxa"/>
              <w:bottom w:w="80" w:type="dxa"/>
              <w:right w:w="80" w:type="dxa"/>
            </w:tcMar>
            <w:vAlign w:val="center"/>
          </w:tcPr>
          <w:p w14:paraId="696AD910" w14:textId="77777777" w:rsidR="00D0052F" w:rsidRPr="006F225A" w:rsidRDefault="00D0052F" w:rsidP="0034123F">
            <w:pPr>
              <w:pStyle w:val="BodyD"/>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NR</w:t>
            </w:r>
          </w:p>
        </w:tc>
        <w:tc>
          <w:tcPr>
            <w:tcW w:w="442" w:type="pct"/>
            <w:shd w:val="clear" w:color="auto" w:fill="FFFFFF"/>
            <w:tcMar>
              <w:top w:w="80" w:type="dxa"/>
              <w:left w:w="80" w:type="dxa"/>
              <w:bottom w:w="80" w:type="dxa"/>
              <w:right w:w="80" w:type="dxa"/>
            </w:tcMar>
            <w:vAlign w:val="center"/>
          </w:tcPr>
          <w:p w14:paraId="431628F5"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 xml:space="preserve">3.1 (3.9) years </w:t>
            </w:r>
          </w:p>
        </w:tc>
        <w:tc>
          <w:tcPr>
            <w:tcW w:w="579" w:type="pct"/>
            <w:shd w:val="clear" w:color="auto" w:fill="FFFFFF"/>
            <w:tcMar>
              <w:top w:w="80" w:type="dxa"/>
              <w:left w:w="80" w:type="dxa"/>
              <w:bottom w:w="80" w:type="dxa"/>
              <w:right w:w="80" w:type="dxa"/>
            </w:tcMar>
            <w:vAlign w:val="center"/>
          </w:tcPr>
          <w:p w14:paraId="442E194B" w14:textId="77777777" w:rsidR="00D0052F" w:rsidRPr="006F225A" w:rsidRDefault="00D0052F" w:rsidP="0034123F">
            <w:pPr>
              <w:pStyle w:val="BodyD"/>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NR</w:t>
            </w:r>
          </w:p>
        </w:tc>
        <w:tc>
          <w:tcPr>
            <w:tcW w:w="351" w:type="pct"/>
            <w:shd w:val="clear" w:color="auto" w:fill="FFFFFF"/>
            <w:tcMar>
              <w:top w:w="80" w:type="dxa"/>
              <w:left w:w="80" w:type="dxa"/>
              <w:bottom w:w="80" w:type="dxa"/>
              <w:right w:w="80" w:type="dxa"/>
            </w:tcMar>
            <w:vAlign w:val="center"/>
          </w:tcPr>
          <w:p w14:paraId="378D275E" w14:textId="77777777" w:rsidR="00D0052F" w:rsidRPr="006F225A" w:rsidRDefault="00D0052F" w:rsidP="0034123F">
            <w:pPr>
              <w:pStyle w:val="BodyD"/>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53.1</w:t>
            </w:r>
          </w:p>
        </w:tc>
        <w:tc>
          <w:tcPr>
            <w:tcW w:w="626" w:type="pct"/>
            <w:shd w:val="clear" w:color="auto" w:fill="FFFFFF"/>
            <w:tcMar>
              <w:top w:w="80" w:type="dxa"/>
              <w:left w:w="80" w:type="dxa"/>
              <w:bottom w:w="80" w:type="dxa"/>
              <w:right w:w="80" w:type="dxa"/>
            </w:tcMar>
            <w:vAlign w:val="center"/>
          </w:tcPr>
          <w:p w14:paraId="3D2C01D0"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Paediatric patients who were diagnosed as having gastroenteritis in an emergency department</w:t>
            </w:r>
          </w:p>
        </w:tc>
        <w:tc>
          <w:tcPr>
            <w:tcW w:w="351" w:type="pct"/>
            <w:shd w:val="clear" w:color="auto" w:fill="FEFFFE"/>
            <w:tcMar>
              <w:top w:w="80" w:type="dxa"/>
              <w:left w:w="80" w:type="dxa"/>
              <w:bottom w:w="80" w:type="dxa"/>
              <w:right w:w="80" w:type="dxa"/>
            </w:tcMar>
            <w:vAlign w:val="center"/>
          </w:tcPr>
          <w:p w14:paraId="5C4E5909" w14:textId="77777777" w:rsidR="00D0052F" w:rsidRPr="006F225A" w:rsidRDefault="00D0052F" w:rsidP="00A57945">
            <w:pPr>
              <w:pStyle w:val="BodyE"/>
              <w:autoSpaceDE w:val="0"/>
              <w:autoSpaceDN w:val="0"/>
              <w:adjustRightInd w:val="0"/>
              <w:snapToGrid w:val="0"/>
              <w:jc w:val="center"/>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Good</w:t>
            </w:r>
          </w:p>
        </w:tc>
      </w:tr>
      <w:tr w:rsidR="009D7BC8" w:rsidRPr="006F225A" w14:paraId="1BE4039F" w14:textId="77777777" w:rsidTr="00A57945">
        <w:tblPrEx>
          <w:shd w:val="clear" w:color="auto" w:fill="CADFFF"/>
        </w:tblPrEx>
        <w:trPr>
          <w:jc w:val="center"/>
        </w:trPr>
        <w:tc>
          <w:tcPr>
            <w:tcW w:w="492" w:type="pct"/>
            <w:shd w:val="clear" w:color="auto" w:fill="FFFFFF"/>
            <w:tcMar>
              <w:top w:w="80" w:type="dxa"/>
              <w:left w:w="80" w:type="dxa"/>
              <w:bottom w:w="80" w:type="dxa"/>
              <w:right w:w="80" w:type="dxa"/>
            </w:tcMar>
            <w:vAlign w:val="center"/>
          </w:tcPr>
          <w:p w14:paraId="437D266A"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Heyman et al., 1990</w:t>
            </w:r>
            <w:r w:rsidR="003221F8" w:rsidRPr="006F225A">
              <w:rPr>
                <w:rStyle w:val="None"/>
                <w:rFonts w:ascii="Palatino Linotype" w:hAnsi="Palatino Linotype"/>
                <w:color w:val="auto"/>
                <w:sz w:val="18"/>
                <w:szCs w:val="16"/>
                <w:lang w:val="en-GB"/>
              </w:rPr>
              <w:t xml:space="preserve"> [15]</w:t>
            </w:r>
          </w:p>
        </w:tc>
        <w:tc>
          <w:tcPr>
            <w:tcW w:w="393" w:type="pct"/>
            <w:shd w:val="clear" w:color="auto" w:fill="FFFFFF"/>
            <w:tcMar>
              <w:top w:w="80" w:type="dxa"/>
              <w:left w:w="80" w:type="dxa"/>
              <w:bottom w:w="80" w:type="dxa"/>
              <w:right w:w="80" w:type="dxa"/>
            </w:tcMar>
            <w:vAlign w:val="center"/>
          </w:tcPr>
          <w:p w14:paraId="33377644"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 xml:space="preserve">Malawi </w:t>
            </w:r>
          </w:p>
        </w:tc>
        <w:tc>
          <w:tcPr>
            <w:tcW w:w="442" w:type="pct"/>
            <w:shd w:val="clear" w:color="auto" w:fill="FFFFFF"/>
            <w:tcMar>
              <w:top w:w="80" w:type="dxa"/>
              <w:left w:w="80" w:type="dxa"/>
              <w:bottom w:w="80" w:type="dxa"/>
              <w:right w:w="80" w:type="dxa"/>
            </w:tcMar>
            <w:vAlign w:val="center"/>
          </w:tcPr>
          <w:p w14:paraId="71C0ECA9" w14:textId="3AF3B21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July 1981</w:t>
            </w:r>
            <w:r w:rsidR="00733890" w:rsidRPr="006F225A">
              <w:rPr>
                <w:rStyle w:val="None"/>
                <w:rFonts w:ascii="Palatino Linotype" w:hAnsi="Palatino Linotype"/>
                <w:color w:val="auto"/>
                <w:sz w:val="18"/>
                <w:szCs w:val="16"/>
                <w:lang w:val="en-GB"/>
              </w:rPr>
              <w:t>–</w:t>
            </w:r>
            <w:r w:rsidRPr="006F225A">
              <w:rPr>
                <w:rStyle w:val="None"/>
                <w:rFonts w:ascii="Palatino Linotype" w:hAnsi="Palatino Linotype"/>
                <w:color w:val="auto"/>
                <w:sz w:val="18"/>
                <w:szCs w:val="16"/>
                <w:lang w:val="en-GB"/>
              </w:rPr>
              <w:t>July 1986</w:t>
            </w:r>
          </w:p>
        </w:tc>
        <w:tc>
          <w:tcPr>
            <w:tcW w:w="441" w:type="pct"/>
            <w:shd w:val="clear" w:color="auto" w:fill="FFFFFF"/>
            <w:tcMar>
              <w:top w:w="80" w:type="dxa"/>
              <w:left w:w="80" w:type="dxa"/>
              <w:bottom w:w="80" w:type="dxa"/>
              <w:right w:w="80" w:type="dxa"/>
            </w:tcMar>
            <w:vAlign w:val="center"/>
          </w:tcPr>
          <w:p w14:paraId="1144070F"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 xml:space="preserve">Retrospective chart review </w:t>
            </w:r>
          </w:p>
        </w:tc>
        <w:tc>
          <w:tcPr>
            <w:tcW w:w="396" w:type="pct"/>
            <w:shd w:val="clear" w:color="auto" w:fill="FFFFFF"/>
            <w:tcMar>
              <w:top w:w="80" w:type="dxa"/>
              <w:left w:w="80" w:type="dxa"/>
              <w:bottom w:w="80" w:type="dxa"/>
              <w:right w:w="80" w:type="dxa"/>
            </w:tcMar>
            <w:vAlign w:val="center"/>
          </w:tcPr>
          <w:p w14:paraId="79CF8112"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3495</w:t>
            </w:r>
          </w:p>
        </w:tc>
        <w:tc>
          <w:tcPr>
            <w:tcW w:w="488" w:type="pct"/>
            <w:shd w:val="clear" w:color="auto" w:fill="FFFFFF"/>
            <w:tcMar>
              <w:top w:w="80" w:type="dxa"/>
              <w:left w:w="80" w:type="dxa"/>
              <w:bottom w:w="80" w:type="dxa"/>
              <w:right w:w="80" w:type="dxa"/>
            </w:tcMar>
            <w:vAlign w:val="center"/>
          </w:tcPr>
          <w:p w14:paraId="28977957" w14:textId="3203E2CA"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≤12</w:t>
            </w:r>
            <w:r w:rsidR="00733890" w:rsidRPr="006F225A">
              <w:rPr>
                <w:rStyle w:val="None"/>
                <w:rFonts w:ascii="Palatino Linotype" w:hAnsi="Palatino Linotype"/>
                <w:color w:val="auto"/>
                <w:sz w:val="18"/>
                <w:szCs w:val="16"/>
                <w:lang w:val="en-GB"/>
              </w:rPr>
              <w:t>–</w:t>
            </w:r>
            <w:r w:rsidRPr="006F225A">
              <w:rPr>
                <w:rStyle w:val="None"/>
                <w:rFonts w:ascii="Palatino Linotype" w:hAnsi="Palatino Linotype"/>
                <w:color w:val="auto"/>
                <w:sz w:val="18"/>
                <w:szCs w:val="16"/>
                <w:lang w:val="en-GB"/>
              </w:rPr>
              <w:t xml:space="preserve">≥24 months </w:t>
            </w:r>
          </w:p>
        </w:tc>
        <w:tc>
          <w:tcPr>
            <w:tcW w:w="442" w:type="pct"/>
            <w:shd w:val="clear" w:color="auto" w:fill="FFFFFF"/>
            <w:tcMar>
              <w:top w:w="80" w:type="dxa"/>
              <w:left w:w="80" w:type="dxa"/>
              <w:bottom w:w="80" w:type="dxa"/>
              <w:right w:w="80" w:type="dxa"/>
            </w:tcMar>
            <w:vAlign w:val="center"/>
          </w:tcPr>
          <w:p w14:paraId="5616C45D" w14:textId="77777777" w:rsidR="00D0052F" w:rsidRPr="006F225A" w:rsidRDefault="00D0052F" w:rsidP="0034123F">
            <w:pPr>
              <w:pStyle w:val="BodyD"/>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NR</w:t>
            </w:r>
          </w:p>
        </w:tc>
        <w:tc>
          <w:tcPr>
            <w:tcW w:w="579" w:type="pct"/>
            <w:shd w:val="clear" w:color="auto" w:fill="FFFFFF"/>
            <w:tcMar>
              <w:top w:w="80" w:type="dxa"/>
              <w:left w:w="80" w:type="dxa"/>
              <w:bottom w:w="80" w:type="dxa"/>
              <w:right w:w="80" w:type="dxa"/>
            </w:tcMar>
            <w:vAlign w:val="center"/>
          </w:tcPr>
          <w:p w14:paraId="427801BF" w14:textId="77777777" w:rsidR="00D0052F" w:rsidRPr="006F225A" w:rsidRDefault="00D0052F" w:rsidP="0034123F">
            <w:pPr>
              <w:pStyle w:val="BodyD"/>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NR</w:t>
            </w:r>
          </w:p>
        </w:tc>
        <w:tc>
          <w:tcPr>
            <w:tcW w:w="351" w:type="pct"/>
            <w:shd w:val="clear" w:color="auto" w:fill="FFFFFF"/>
            <w:tcMar>
              <w:top w:w="80" w:type="dxa"/>
              <w:left w:w="80" w:type="dxa"/>
              <w:bottom w:w="80" w:type="dxa"/>
              <w:right w:w="80" w:type="dxa"/>
            </w:tcMar>
            <w:vAlign w:val="center"/>
          </w:tcPr>
          <w:p w14:paraId="10E7CDB0" w14:textId="77777777" w:rsidR="00D0052F" w:rsidRPr="006F225A" w:rsidRDefault="00D0052F" w:rsidP="0034123F">
            <w:pPr>
              <w:pStyle w:val="BodyD"/>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77</w:t>
            </w:r>
          </w:p>
        </w:tc>
        <w:tc>
          <w:tcPr>
            <w:tcW w:w="626" w:type="pct"/>
            <w:shd w:val="clear" w:color="auto" w:fill="FFFFFF"/>
            <w:tcMar>
              <w:top w:w="80" w:type="dxa"/>
              <w:left w:w="80" w:type="dxa"/>
              <w:bottom w:w="80" w:type="dxa"/>
              <w:right w:w="80" w:type="dxa"/>
            </w:tcMar>
            <w:vAlign w:val="center"/>
          </w:tcPr>
          <w:p w14:paraId="27CA8F7D"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Paediatric patients hospitalised with diarrhoea or gastroenteritis</w:t>
            </w:r>
          </w:p>
        </w:tc>
        <w:tc>
          <w:tcPr>
            <w:tcW w:w="351" w:type="pct"/>
            <w:shd w:val="clear" w:color="auto" w:fill="FEFFFE"/>
            <w:tcMar>
              <w:top w:w="80" w:type="dxa"/>
              <w:left w:w="80" w:type="dxa"/>
              <w:bottom w:w="80" w:type="dxa"/>
              <w:right w:w="80" w:type="dxa"/>
            </w:tcMar>
            <w:vAlign w:val="center"/>
          </w:tcPr>
          <w:p w14:paraId="20EF6AE1" w14:textId="77777777" w:rsidR="00D0052F" w:rsidRPr="006F225A" w:rsidRDefault="00D0052F" w:rsidP="00A57945">
            <w:pPr>
              <w:pStyle w:val="BodyE"/>
              <w:autoSpaceDE w:val="0"/>
              <w:autoSpaceDN w:val="0"/>
              <w:adjustRightInd w:val="0"/>
              <w:snapToGrid w:val="0"/>
              <w:jc w:val="center"/>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 xml:space="preserve">Fair </w:t>
            </w:r>
          </w:p>
        </w:tc>
      </w:tr>
      <w:tr w:rsidR="009D7BC8" w:rsidRPr="006F225A" w14:paraId="5293CB08" w14:textId="77777777" w:rsidTr="00A57945">
        <w:tblPrEx>
          <w:shd w:val="clear" w:color="auto" w:fill="CADFFF"/>
        </w:tblPrEx>
        <w:trPr>
          <w:jc w:val="center"/>
        </w:trPr>
        <w:tc>
          <w:tcPr>
            <w:tcW w:w="492" w:type="pct"/>
            <w:shd w:val="clear" w:color="auto" w:fill="FFFFFF"/>
            <w:tcMar>
              <w:top w:w="80" w:type="dxa"/>
              <w:left w:w="80" w:type="dxa"/>
              <w:bottom w:w="80" w:type="dxa"/>
              <w:right w:w="80" w:type="dxa"/>
            </w:tcMar>
            <w:vAlign w:val="center"/>
          </w:tcPr>
          <w:p w14:paraId="156BA1FD"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 xml:space="preserve">Janet </w:t>
            </w:r>
            <w:proofErr w:type="spellStart"/>
            <w:r w:rsidRPr="006F225A">
              <w:rPr>
                <w:rStyle w:val="None"/>
                <w:rFonts w:ascii="Palatino Linotype" w:hAnsi="Palatino Linotype"/>
                <w:color w:val="auto"/>
                <w:sz w:val="18"/>
                <w:szCs w:val="16"/>
                <w:lang w:val="en-GB"/>
              </w:rPr>
              <w:t>el</w:t>
            </w:r>
            <w:proofErr w:type="spellEnd"/>
            <w:r w:rsidRPr="006F225A">
              <w:rPr>
                <w:rStyle w:val="None"/>
                <w:rFonts w:ascii="Palatino Linotype" w:hAnsi="Palatino Linotype"/>
                <w:color w:val="auto"/>
                <w:sz w:val="18"/>
                <w:szCs w:val="16"/>
                <w:lang w:val="en-GB"/>
              </w:rPr>
              <w:t xml:space="preserve"> al., 2015</w:t>
            </w:r>
            <w:r w:rsidR="003221F8" w:rsidRPr="006F225A">
              <w:rPr>
                <w:rStyle w:val="None"/>
                <w:rFonts w:ascii="Palatino Linotype" w:hAnsi="Palatino Linotype"/>
                <w:color w:val="auto"/>
                <w:sz w:val="18"/>
                <w:szCs w:val="16"/>
                <w:lang w:val="en-GB"/>
              </w:rPr>
              <w:t xml:space="preserve"> [30]</w:t>
            </w:r>
          </w:p>
        </w:tc>
        <w:tc>
          <w:tcPr>
            <w:tcW w:w="393" w:type="pct"/>
            <w:shd w:val="clear" w:color="auto" w:fill="FFFFFF"/>
            <w:tcMar>
              <w:top w:w="80" w:type="dxa"/>
              <w:left w:w="80" w:type="dxa"/>
              <w:bottom w:w="80" w:type="dxa"/>
              <w:right w:w="80" w:type="dxa"/>
            </w:tcMar>
            <w:vAlign w:val="center"/>
          </w:tcPr>
          <w:p w14:paraId="5D32155D"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 xml:space="preserve">Spain </w:t>
            </w:r>
          </w:p>
        </w:tc>
        <w:tc>
          <w:tcPr>
            <w:tcW w:w="442" w:type="pct"/>
            <w:shd w:val="clear" w:color="auto" w:fill="FFFFFF"/>
            <w:tcMar>
              <w:top w:w="80" w:type="dxa"/>
              <w:left w:w="80" w:type="dxa"/>
              <w:bottom w:w="80" w:type="dxa"/>
              <w:right w:w="80" w:type="dxa"/>
            </w:tcMar>
            <w:vAlign w:val="center"/>
          </w:tcPr>
          <w:p w14:paraId="656A824D" w14:textId="6C65D352" w:rsidR="00D0052F" w:rsidRPr="006F225A" w:rsidRDefault="005E2779"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 xml:space="preserve">15 </w:t>
            </w:r>
            <w:r w:rsidR="00D0052F" w:rsidRPr="006F225A">
              <w:rPr>
                <w:rStyle w:val="None"/>
                <w:rFonts w:ascii="Palatino Linotype" w:hAnsi="Palatino Linotype"/>
                <w:color w:val="auto"/>
                <w:sz w:val="18"/>
                <w:szCs w:val="16"/>
                <w:lang w:val="en-GB"/>
              </w:rPr>
              <w:t>July 2012</w:t>
            </w:r>
            <w:r w:rsidR="00733890" w:rsidRPr="006F225A">
              <w:rPr>
                <w:rStyle w:val="None"/>
                <w:rFonts w:ascii="Palatino Linotype" w:hAnsi="Palatino Linotype"/>
                <w:color w:val="auto"/>
                <w:sz w:val="18"/>
                <w:szCs w:val="16"/>
                <w:lang w:val="en-GB"/>
              </w:rPr>
              <w:t>–</w:t>
            </w:r>
            <w:r w:rsidRPr="006F225A">
              <w:rPr>
                <w:rStyle w:val="None"/>
                <w:rFonts w:ascii="Palatino Linotype" w:hAnsi="Palatino Linotype"/>
                <w:color w:val="auto"/>
                <w:sz w:val="18"/>
                <w:szCs w:val="16"/>
                <w:lang w:val="en-GB"/>
              </w:rPr>
              <w:t xml:space="preserve">15 </w:t>
            </w:r>
            <w:r w:rsidR="00D0052F" w:rsidRPr="006F225A">
              <w:rPr>
                <w:rStyle w:val="None"/>
                <w:rFonts w:ascii="Palatino Linotype" w:hAnsi="Palatino Linotype"/>
                <w:color w:val="auto"/>
                <w:sz w:val="18"/>
                <w:szCs w:val="16"/>
                <w:lang w:val="en-GB"/>
              </w:rPr>
              <w:t>December 2012</w:t>
            </w:r>
          </w:p>
        </w:tc>
        <w:tc>
          <w:tcPr>
            <w:tcW w:w="441" w:type="pct"/>
            <w:shd w:val="clear" w:color="auto" w:fill="FFFFFF"/>
            <w:tcMar>
              <w:top w:w="80" w:type="dxa"/>
              <w:left w:w="80" w:type="dxa"/>
              <w:bottom w:w="80" w:type="dxa"/>
              <w:right w:w="80" w:type="dxa"/>
            </w:tcMar>
            <w:vAlign w:val="center"/>
          </w:tcPr>
          <w:p w14:paraId="4215A4EE"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Prospective cohort study</w:t>
            </w:r>
          </w:p>
        </w:tc>
        <w:tc>
          <w:tcPr>
            <w:tcW w:w="396" w:type="pct"/>
            <w:shd w:val="clear" w:color="auto" w:fill="FFFFFF"/>
            <w:tcMar>
              <w:top w:w="80" w:type="dxa"/>
              <w:left w:w="80" w:type="dxa"/>
              <w:bottom w:w="80" w:type="dxa"/>
              <w:right w:w="80" w:type="dxa"/>
            </w:tcMar>
            <w:vAlign w:val="center"/>
          </w:tcPr>
          <w:p w14:paraId="536519F3"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83</w:t>
            </w:r>
          </w:p>
        </w:tc>
        <w:tc>
          <w:tcPr>
            <w:tcW w:w="488" w:type="pct"/>
            <w:shd w:val="clear" w:color="auto" w:fill="FFFFFF"/>
            <w:tcMar>
              <w:top w:w="80" w:type="dxa"/>
              <w:left w:w="80" w:type="dxa"/>
              <w:bottom w:w="80" w:type="dxa"/>
              <w:right w:w="80" w:type="dxa"/>
            </w:tcMar>
            <w:vAlign w:val="center"/>
          </w:tcPr>
          <w:p w14:paraId="68A150CC"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NR</w:t>
            </w:r>
          </w:p>
        </w:tc>
        <w:tc>
          <w:tcPr>
            <w:tcW w:w="442" w:type="pct"/>
            <w:shd w:val="clear" w:color="auto" w:fill="FFFFFF"/>
            <w:tcMar>
              <w:top w:w="80" w:type="dxa"/>
              <w:left w:w="80" w:type="dxa"/>
              <w:bottom w:w="80" w:type="dxa"/>
              <w:right w:w="80" w:type="dxa"/>
            </w:tcMar>
            <w:vAlign w:val="center"/>
          </w:tcPr>
          <w:p w14:paraId="0FA593EE" w14:textId="77777777" w:rsidR="00D0052F" w:rsidRPr="006F225A" w:rsidRDefault="00D0052F" w:rsidP="0034123F">
            <w:pPr>
              <w:pStyle w:val="BodyD"/>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NR</w:t>
            </w:r>
          </w:p>
        </w:tc>
        <w:tc>
          <w:tcPr>
            <w:tcW w:w="579" w:type="pct"/>
            <w:shd w:val="clear" w:color="auto" w:fill="FFFFFF"/>
            <w:tcMar>
              <w:top w:w="80" w:type="dxa"/>
              <w:left w:w="80" w:type="dxa"/>
              <w:bottom w:w="80" w:type="dxa"/>
              <w:right w:w="80" w:type="dxa"/>
            </w:tcMar>
            <w:vAlign w:val="center"/>
          </w:tcPr>
          <w:p w14:paraId="5E28C190" w14:textId="2FBCEB59"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4 (1.</w:t>
            </w:r>
            <w:r w:rsidR="0056360D" w:rsidRPr="006F225A">
              <w:rPr>
                <w:rStyle w:val="None"/>
                <w:rFonts w:ascii="Palatino Linotype" w:hAnsi="Palatino Linotype"/>
                <w:color w:val="auto"/>
                <w:sz w:val="18"/>
                <w:szCs w:val="16"/>
                <w:lang w:val="en-GB"/>
              </w:rPr>
              <w:t>7–7</w:t>
            </w:r>
            <w:r w:rsidRPr="006F225A">
              <w:rPr>
                <w:rStyle w:val="None"/>
                <w:rFonts w:ascii="Palatino Linotype" w:hAnsi="Palatino Linotype"/>
                <w:color w:val="auto"/>
                <w:sz w:val="18"/>
                <w:szCs w:val="16"/>
                <w:lang w:val="en-GB"/>
              </w:rPr>
              <w:t xml:space="preserve">) years </w:t>
            </w:r>
          </w:p>
        </w:tc>
        <w:tc>
          <w:tcPr>
            <w:tcW w:w="351" w:type="pct"/>
            <w:shd w:val="clear" w:color="auto" w:fill="FFFFFF"/>
            <w:tcMar>
              <w:top w:w="80" w:type="dxa"/>
              <w:left w:w="80" w:type="dxa"/>
              <w:bottom w:w="80" w:type="dxa"/>
              <w:right w:w="80" w:type="dxa"/>
            </w:tcMar>
            <w:vAlign w:val="center"/>
          </w:tcPr>
          <w:p w14:paraId="5C96A2AD" w14:textId="77777777" w:rsidR="00D0052F" w:rsidRPr="006F225A" w:rsidRDefault="00D0052F" w:rsidP="0034123F">
            <w:pPr>
              <w:pStyle w:val="BodyD"/>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56.6</w:t>
            </w:r>
          </w:p>
        </w:tc>
        <w:tc>
          <w:tcPr>
            <w:tcW w:w="626" w:type="pct"/>
            <w:shd w:val="clear" w:color="auto" w:fill="FFFFFF"/>
            <w:tcMar>
              <w:top w:w="80" w:type="dxa"/>
              <w:left w:w="80" w:type="dxa"/>
              <w:bottom w:w="80" w:type="dxa"/>
              <w:right w:w="80" w:type="dxa"/>
            </w:tcMar>
            <w:vAlign w:val="center"/>
          </w:tcPr>
          <w:p w14:paraId="19EBC03C" w14:textId="77777777" w:rsidR="00D0052F" w:rsidRPr="006F225A" w:rsidRDefault="00D0052F" w:rsidP="0034123F">
            <w:pPr>
              <w:pStyle w:val="Default"/>
              <w:autoSpaceDE w:val="0"/>
              <w:autoSpaceDN w:val="0"/>
              <w:adjustRightInd w:val="0"/>
              <w:snapToGrid w:val="0"/>
              <w:spacing w:before="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 xml:space="preserve">Paediatric patients with mild-to moderate </w:t>
            </w:r>
            <w:proofErr w:type="spellStart"/>
            <w:r w:rsidRPr="006F225A">
              <w:rPr>
                <w:rStyle w:val="None"/>
                <w:rFonts w:ascii="Palatino Linotype" w:hAnsi="Palatino Linotype"/>
                <w:color w:val="auto"/>
                <w:sz w:val="18"/>
                <w:szCs w:val="16"/>
                <w:lang w:val="en-GB"/>
              </w:rPr>
              <w:t>isonatremic</w:t>
            </w:r>
            <w:proofErr w:type="spellEnd"/>
            <w:r w:rsidRPr="006F225A">
              <w:rPr>
                <w:rStyle w:val="None"/>
                <w:rFonts w:ascii="Palatino Linotype" w:hAnsi="Palatino Linotype"/>
                <w:color w:val="auto"/>
                <w:sz w:val="18"/>
                <w:szCs w:val="16"/>
                <w:lang w:val="en-GB"/>
              </w:rPr>
              <w:t xml:space="preserve"> dehydration </w:t>
            </w:r>
          </w:p>
        </w:tc>
        <w:tc>
          <w:tcPr>
            <w:tcW w:w="351" w:type="pct"/>
            <w:shd w:val="clear" w:color="auto" w:fill="FEFFFE"/>
            <w:tcMar>
              <w:top w:w="80" w:type="dxa"/>
              <w:left w:w="80" w:type="dxa"/>
              <w:bottom w:w="80" w:type="dxa"/>
              <w:right w:w="80" w:type="dxa"/>
            </w:tcMar>
            <w:vAlign w:val="center"/>
          </w:tcPr>
          <w:p w14:paraId="043A7B2B" w14:textId="77777777" w:rsidR="00D0052F" w:rsidRPr="006F225A" w:rsidRDefault="00D0052F" w:rsidP="00A57945">
            <w:pPr>
              <w:pStyle w:val="BodyE"/>
              <w:autoSpaceDE w:val="0"/>
              <w:autoSpaceDN w:val="0"/>
              <w:adjustRightInd w:val="0"/>
              <w:snapToGrid w:val="0"/>
              <w:jc w:val="center"/>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 xml:space="preserve">Fair </w:t>
            </w:r>
          </w:p>
        </w:tc>
      </w:tr>
      <w:tr w:rsidR="009D7BC8" w:rsidRPr="006F225A" w14:paraId="04B4C7AA" w14:textId="77777777" w:rsidTr="00A57945">
        <w:tblPrEx>
          <w:shd w:val="clear" w:color="auto" w:fill="CADFFF"/>
        </w:tblPrEx>
        <w:trPr>
          <w:jc w:val="center"/>
        </w:trPr>
        <w:tc>
          <w:tcPr>
            <w:tcW w:w="492" w:type="pct"/>
            <w:shd w:val="clear" w:color="auto" w:fill="FFFFFF"/>
            <w:tcMar>
              <w:top w:w="80" w:type="dxa"/>
              <w:left w:w="80" w:type="dxa"/>
              <w:bottom w:w="80" w:type="dxa"/>
              <w:right w:w="80" w:type="dxa"/>
            </w:tcMar>
            <w:vAlign w:val="center"/>
          </w:tcPr>
          <w:p w14:paraId="0AE0C468"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Kao et al., 2019</w:t>
            </w:r>
            <w:r w:rsidR="003221F8" w:rsidRPr="006F225A">
              <w:rPr>
                <w:rStyle w:val="None"/>
                <w:rFonts w:ascii="Palatino Linotype" w:hAnsi="Palatino Linotype"/>
                <w:color w:val="auto"/>
                <w:sz w:val="18"/>
                <w:szCs w:val="16"/>
                <w:lang w:val="en-GB"/>
              </w:rPr>
              <w:t xml:space="preserve"> [31]</w:t>
            </w:r>
          </w:p>
        </w:tc>
        <w:tc>
          <w:tcPr>
            <w:tcW w:w="393" w:type="pct"/>
            <w:shd w:val="clear" w:color="auto" w:fill="FFFFFF"/>
            <w:tcMar>
              <w:top w:w="80" w:type="dxa"/>
              <w:left w:w="80" w:type="dxa"/>
              <w:bottom w:w="80" w:type="dxa"/>
              <w:right w:w="80" w:type="dxa"/>
            </w:tcMar>
            <w:vAlign w:val="center"/>
          </w:tcPr>
          <w:p w14:paraId="6BDB7CBB"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 xml:space="preserve">Taiwan </w:t>
            </w:r>
          </w:p>
        </w:tc>
        <w:tc>
          <w:tcPr>
            <w:tcW w:w="442" w:type="pct"/>
            <w:shd w:val="clear" w:color="auto" w:fill="FFFFFF"/>
            <w:tcMar>
              <w:top w:w="80" w:type="dxa"/>
              <w:left w:w="80" w:type="dxa"/>
              <w:bottom w:w="80" w:type="dxa"/>
              <w:right w:w="80" w:type="dxa"/>
            </w:tcMar>
            <w:vAlign w:val="center"/>
          </w:tcPr>
          <w:p w14:paraId="5E4CFF8D" w14:textId="1FC4A274"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January 2005</w:t>
            </w:r>
            <w:r w:rsidR="00733890" w:rsidRPr="006F225A">
              <w:rPr>
                <w:rStyle w:val="None"/>
                <w:rFonts w:ascii="Palatino Linotype" w:hAnsi="Palatino Linotype"/>
                <w:color w:val="auto"/>
                <w:sz w:val="18"/>
                <w:szCs w:val="16"/>
                <w:lang w:val="en-GB"/>
              </w:rPr>
              <w:t>–</w:t>
            </w:r>
            <w:r w:rsidRPr="006F225A">
              <w:rPr>
                <w:rStyle w:val="None"/>
                <w:rFonts w:ascii="Palatino Linotype" w:hAnsi="Palatino Linotype"/>
                <w:color w:val="auto"/>
                <w:sz w:val="18"/>
                <w:szCs w:val="16"/>
                <w:lang w:val="en-GB"/>
              </w:rPr>
              <w:t>January 2015</w:t>
            </w:r>
          </w:p>
        </w:tc>
        <w:tc>
          <w:tcPr>
            <w:tcW w:w="441" w:type="pct"/>
            <w:shd w:val="clear" w:color="auto" w:fill="FFFFFF"/>
            <w:tcMar>
              <w:top w:w="80" w:type="dxa"/>
              <w:left w:w="80" w:type="dxa"/>
              <w:bottom w:w="80" w:type="dxa"/>
              <w:right w:w="80" w:type="dxa"/>
            </w:tcMar>
            <w:vAlign w:val="center"/>
          </w:tcPr>
          <w:p w14:paraId="4AF4BA89"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 xml:space="preserve">Retrospective chart review </w:t>
            </w:r>
          </w:p>
        </w:tc>
        <w:tc>
          <w:tcPr>
            <w:tcW w:w="396" w:type="pct"/>
            <w:shd w:val="clear" w:color="auto" w:fill="FFFFFF"/>
            <w:tcMar>
              <w:top w:w="80" w:type="dxa"/>
              <w:left w:w="80" w:type="dxa"/>
              <w:bottom w:w="80" w:type="dxa"/>
              <w:right w:w="80" w:type="dxa"/>
            </w:tcMar>
            <w:vAlign w:val="center"/>
          </w:tcPr>
          <w:p w14:paraId="29A4EC58"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44</w:t>
            </w:r>
          </w:p>
        </w:tc>
        <w:tc>
          <w:tcPr>
            <w:tcW w:w="488" w:type="pct"/>
            <w:shd w:val="clear" w:color="auto" w:fill="FFFFFF"/>
            <w:tcMar>
              <w:top w:w="80" w:type="dxa"/>
              <w:left w:w="80" w:type="dxa"/>
              <w:bottom w:w="80" w:type="dxa"/>
              <w:right w:w="80" w:type="dxa"/>
            </w:tcMar>
            <w:vAlign w:val="center"/>
          </w:tcPr>
          <w:p w14:paraId="370BA5E4" w14:textId="77777777" w:rsidR="00D0052F" w:rsidRPr="006F225A" w:rsidRDefault="00D0052F" w:rsidP="0034123F">
            <w:pPr>
              <w:pStyle w:val="BodyD"/>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NR</w:t>
            </w:r>
          </w:p>
        </w:tc>
        <w:tc>
          <w:tcPr>
            <w:tcW w:w="442" w:type="pct"/>
            <w:shd w:val="clear" w:color="auto" w:fill="FFFFFF"/>
            <w:tcMar>
              <w:top w:w="80" w:type="dxa"/>
              <w:left w:w="80" w:type="dxa"/>
              <w:bottom w:w="80" w:type="dxa"/>
              <w:right w:w="80" w:type="dxa"/>
            </w:tcMar>
            <w:vAlign w:val="center"/>
          </w:tcPr>
          <w:p w14:paraId="54E7DEF7"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 xml:space="preserve">9.9 (5.6) years </w:t>
            </w:r>
          </w:p>
        </w:tc>
        <w:tc>
          <w:tcPr>
            <w:tcW w:w="579" w:type="pct"/>
            <w:shd w:val="clear" w:color="auto" w:fill="FFFFFF"/>
            <w:tcMar>
              <w:top w:w="80" w:type="dxa"/>
              <w:left w:w="80" w:type="dxa"/>
              <w:bottom w:w="80" w:type="dxa"/>
              <w:right w:w="80" w:type="dxa"/>
            </w:tcMar>
            <w:vAlign w:val="center"/>
          </w:tcPr>
          <w:p w14:paraId="5E6179FA" w14:textId="77777777" w:rsidR="00D0052F" w:rsidRPr="006F225A" w:rsidRDefault="00D0052F" w:rsidP="0034123F">
            <w:pPr>
              <w:pStyle w:val="BodyD"/>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11.1 (10.6)</w:t>
            </w:r>
          </w:p>
        </w:tc>
        <w:tc>
          <w:tcPr>
            <w:tcW w:w="351" w:type="pct"/>
            <w:shd w:val="clear" w:color="auto" w:fill="FFFFFF"/>
            <w:tcMar>
              <w:top w:w="80" w:type="dxa"/>
              <w:left w:w="80" w:type="dxa"/>
              <w:bottom w:w="80" w:type="dxa"/>
              <w:right w:w="80" w:type="dxa"/>
            </w:tcMar>
            <w:vAlign w:val="center"/>
          </w:tcPr>
          <w:p w14:paraId="5C915A43" w14:textId="77777777" w:rsidR="00D0052F" w:rsidRPr="006F225A" w:rsidRDefault="00D0052F" w:rsidP="0034123F">
            <w:pPr>
              <w:pStyle w:val="BodyD"/>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68.2</w:t>
            </w:r>
          </w:p>
        </w:tc>
        <w:tc>
          <w:tcPr>
            <w:tcW w:w="626" w:type="pct"/>
            <w:shd w:val="clear" w:color="auto" w:fill="FFFFFF"/>
            <w:tcMar>
              <w:top w:w="80" w:type="dxa"/>
              <w:left w:w="80" w:type="dxa"/>
              <w:bottom w:w="80" w:type="dxa"/>
              <w:right w:w="80" w:type="dxa"/>
            </w:tcMar>
            <w:vAlign w:val="center"/>
          </w:tcPr>
          <w:p w14:paraId="4F40B280" w14:textId="22CA3080"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 xml:space="preserve">Paediatric patients with chronic neuromuscular disorder who visited </w:t>
            </w:r>
            <w:r w:rsidR="00D56F18" w:rsidRPr="006F225A">
              <w:rPr>
                <w:rStyle w:val="None"/>
                <w:rFonts w:ascii="Palatino Linotype" w:hAnsi="Palatino Linotype"/>
                <w:color w:val="auto"/>
                <w:sz w:val="18"/>
                <w:szCs w:val="16"/>
                <w:lang w:val="en-GB"/>
              </w:rPr>
              <w:t>t</w:t>
            </w:r>
            <w:r w:rsidR="00D56F18" w:rsidRPr="006F225A">
              <w:rPr>
                <w:rStyle w:val="None"/>
                <w:rFonts w:ascii="Palatino Linotype" w:hAnsi="Palatino Linotype"/>
                <w:sz w:val="18"/>
                <w:szCs w:val="16"/>
              </w:rPr>
              <w:t xml:space="preserve">he </w:t>
            </w:r>
            <w:r w:rsidRPr="006F225A">
              <w:rPr>
                <w:rStyle w:val="None"/>
                <w:rFonts w:ascii="Palatino Linotype" w:hAnsi="Palatino Linotype"/>
                <w:color w:val="auto"/>
                <w:sz w:val="18"/>
                <w:szCs w:val="16"/>
                <w:lang w:val="en-GB"/>
              </w:rPr>
              <w:t xml:space="preserve">emergency room </w:t>
            </w:r>
          </w:p>
        </w:tc>
        <w:tc>
          <w:tcPr>
            <w:tcW w:w="351" w:type="pct"/>
            <w:shd w:val="clear" w:color="auto" w:fill="FEFFFE"/>
            <w:tcMar>
              <w:top w:w="80" w:type="dxa"/>
              <w:left w:w="80" w:type="dxa"/>
              <w:bottom w:w="80" w:type="dxa"/>
              <w:right w:w="80" w:type="dxa"/>
            </w:tcMar>
            <w:vAlign w:val="center"/>
          </w:tcPr>
          <w:p w14:paraId="000CC380" w14:textId="77777777" w:rsidR="00D0052F" w:rsidRPr="006F225A" w:rsidRDefault="00D0052F" w:rsidP="00A57945">
            <w:pPr>
              <w:pStyle w:val="BodyE"/>
              <w:autoSpaceDE w:val="0"/>
              <w:autoSpaceDN w:val="0"/>
              <w:adjustRightInd w:val="0"/>
              <w:snapToGrid w:val="0"/>
              <w:jc w:val="center"/>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Good</w:t>
            </w:r>
          </w:p>
        </w:tc>
      </w:tr>
      <w:tr w:rsidR="009D7BC8" w:rsidRPr="006F225A" w14:paraId="22588E39" w14:textId="77777777" w:rsidTr="00A57945">
        <w:tblPrEx>
          <w:shd w:val="clear" w:color="auto" w:fill="CADFFF"/>
        </w:tblPrEx>
        <w:trPr>
          <w:jc w:val="center"/>
        </w:trPr>
        <w:tc>
          <w:tcPr>
            <w:tcW w:w="492" w:type="pct"/>
            <w:shd w:val="clear" w:color="auto" w:fill="FFFFFF"/>
            <w:tcMar>
              <w:top w:w="80" w:type="dxa"/>
              <w:left w:w="80" w:type="dxa"/>
              <w:bottom w:w="80" w:type="dxa"/>
              <w:right w:w="80" w:type="dxa"/>
            </w:tcMar>
            <w:vAlign w:val="center"/>
          </w:tcPr>
          <w:p w14:paraId="265C8726"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proofErr w:type="gramStart"/>
            <w:r w:rsidRPr="006F225A">
              <w:rPr>
                <w:rStyle w:val="None"/>
                <w:rFonts w:ascii="Palatino Linotype" w:hAnsi="Palatino Linotype"/>
                <w:color w:val="auto"/>
                <w:sz w:val="18"/>
                <w:szCs w:val="16"/>
                <w:shd w:val="clear" w:color="auto" w:fill="FFFFFF"/>
                <w:lang w:val="en-GB"/>
              </w:rPr>
              <w:t>Lopez-Medina</w:t>
            </w:r>
            <w:proofErr w:type="gramEnd"/>
            <w:r w:rsidRPr="006F225A">
              <w:rPr>
                <w:rStyle w:val="None"/>
                <w:rFonts w:ascii="Palatino Linotype" w:hAnsi="Palatino Linotype"/>
                <w:color w:val="auto"/>
                <w:sz w:val="18"/>
                <w:szCs w:val="16"/>
                <w:shd w:val="clear" w:color="auto" w:fill="FFFFFF"/>
                <w:lang w:val="en-GB"/>
              </w:rPr>
              <w:t xml:space="preserve"> et al., 2012</w:t>
            </w:r>
            <w:r w:rsidR="003221F8" w:rsidRPr="006F225A">
              <w:rPr>
                <w:rStyle w:val="None"/>
                <w:rFonts w:ascii="Palatino Linotype" w:hAnsi="Palatino Linotype"/>
                <w:color w:val="auto"/>
                <w:sz w:val="18"/>
                <w:szCs w:val="16"/>
                <w:shd w:val="clear" w:color="auto" w:fill="FFFFFF"/>
                <w:lang w:val="en-GB"/>
              </w:rPr>
              <w:t xml:space="preserve"> [33]</w:t>
            </w:r>
          </w:p>
        </w:tc>
        <w:tc>
          <w:tcPr>
            <w:tcW w:w="393" w:type="pct"/>
            <w:shd w:val="clear" w:color="auto" w:fill="FFFFFF"/>
            <w:tcMar>
              <w:top w:w="80" w:type="dxa"/>
              <w:left w:w="80" w:type="dxa"/>
              <w:bottom w:w="80" w:type="dxa"/>
              <w:right w:w="80" w:type="dxa"/>
            </w:tcMar>
            <w:vAlign w:val="center"/>
          </w:tcPr>
          <w:p w14:paraId="46B97B63"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shd w:val="clear" w:color="auto" w:fill="FFFFFF"/>
                <w:lang w:val="en-GB"/>
              </w:rPr>
              <w:t xml:space="preserve">USA </w:t>
            </w:r>
          </w:p>
        </w:tc>
        <w:tc>
          <w:tcPr>
            <w:tcW w:w="442" w:type="pct"/>
            <w:shd w:val="clear" w:color="auto" w:fill="FFFFFF"/>
            <w:tcMar>
              <w:top w:w="80" w:type="dxa"/>
              <w:left w:w="80" w:type="dxa"/>
              <w:bottom w:w="80" w:type="dxa"/>
              <w:right w:w="80" w:type="dxa"/>
            </w:tcMar>
            <w:vAlign w:val="center"/>
          </w:tcPr>
          <w:p w14:paraId="54BF70A3" w14:textId="14CF0D81" w:rsidR="00D0052F" w:rsidRPr="006F225A" w:rsidRDefault="005E2779"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shd w:val="clear" w:color="auto" w:fill="FFFFFF"/>
                <w:lang w:val="en-GB"/>
              </w:rPr>
              <w:t xml:space="preserve">27 </w:t>
            </w:r>
            <w:r w:rsidR="00D0052F" w:rsidRPr="006F225A">
              <w:rPr>
                <w:rStyle w:val="None"/>
                <w:rFonts w:ascii="Palatino Linotype" w:hAnsi="Palatino Linotype"/>
                <w:color w:val="auto"/>
                <w:sz w:val="18"/>
                <w:szCs w:val="16"/>
                <w:shd w:val="clear" w:color="auto" w:fill="FFFFFF"/>
                <w:lang w:val="en-GB"/>
              </w:rPr>
              <w:t>April 2009</w:t>
            </w:r>
            <w:r w:rsidR="00733890" w:rsidRPr="006F225A">
              <w:rPr>
                <w:rStyle w:val="None"/>
                <w:rFonts w:ascii="Palatino Linotype" w:hAnsi="Palatino Linotype"/>
                <w:color w:val="auto"/>
                <w:sz w:val="18"/>
                <w:szCs w:val="16"/>
                <w:shd w:val="clear" w:color="auto" w:fill="FFFFFF"/>
                <w:lang w:val="en-GB"/>
              </w:rPr>
              <w:t>–</w:t>
            </w:r>
            <w:r w:rsidR="006316F7" w:rsidRPr="006F225A">
              <w:rPr>
                <w:rStyle w:val="None"/>
                <w:rFonts w:ascii="Palatino Linotype" w:hAnsi="Palatino Linotype"/>
                <w:color w:val="auto"/>
                <w:sz w:val="18"/>
                <w:szCs w:val="16"/>
                <w:shd w:val="clear" w:color="auto" w:fill="FFFFFF"/>
                <w:lang w:val="en-GB"/>
              </w:rPr>
              <w:t xml:space="preserve">23 </w:t>
            </w:r>
            <w:r w:rsidR="00D0052F" w:rsidRPr="006F225A">
              <w:rPr>
                <w:rStyle w:val="None"/>
                <w:rFonts w:ascii="Palatino Linotype" w:hAnsi="Palatino Linotype"/>
                <w:color w:val="auto"/>
                <w:sz w:val="18"/>
                <w:szCs w:val="16"/>
                <w:shd w:val="clear" w:color="auto" w:fill="FFFFFF"/>
                <w:lang w:val="en-GB"/>
              </w:rPr>
              <w:t>March 2010</w:t>
            </w:r>
          </w:p>
        </w:tc>
        <w:tc>
          <w:tcPr>
            <w:tcW w:w="441" w:type="pct"/>
            <w:shd w:val="clear" w:color="auto" w:fill="FFFFFF"/>
            <w:tcMar>
              <w:top w:w="80" w:type="dxa"/>
              <w:left w:w="80" w:type="dxa"/>
              <w:bottom w:w="80" w:type="dxa"/>
              <w:right w:w="80" w:type="dxa"/>
            </w:tcMar>
            <w:vAlign w:val="center"/>
          </w:tcPr>
          <w:p w14:paraId="4F50F7BA"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shd w:val="clear" w:color="auto" w:fill="FFFFFF"/>
                <w:lang w:val="en-GB"/>
              </w:rPr>
              <w:t xml:space="preserve">Retrospective cohort study </w:t>
            </w:r>
          </w:p>
        </w:tc>
        <w:tc>
          <w:tcPr>
            <w:tcW w:w="396" w:type="pct"/>
            <w:shd w:val="clear" w:color="auto" w:fill="FFFFFF"/>
            <w:tcMar>
              <w:top w:w="80" w:type="dxa"/>
              <w:left w:w="80" w:type="dxa"/>
              <w:bottom w:w="80" w:type="dxa"/>
              <w:right w:w="80" w:type="dxa"/>
            </w:tcMar>
            <w:vAlign w:val="center"/>
          </w:tcPr>
          <w:p w14:paraId="703C8497"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shd w:val="clear" w:color="auto" w:fill="FFFFFF"/>
                <w:lang w:val="en-GB"/>
              </w:rPr>
              <w:t>73</w:t>
            </w:r>
          </w:p>
        </w:tc>
        <w:tc>
          <w:tcPr>
            <w:tcW w:w="488" w:type="pct"/>
            <w:shd w:val="clear" w:color="auto" w:fill="FFFFFF"/>
            <w:tcMar>
              <w:top w:w="80" w:type="dxa"/>
              <w:left w:w="80" w:type="dxa"/>
              <w:bottom w:w="80" w:type="dxa"/>
              <w:right w:w="80" w:type="dxa"/>
            </w:tcMar>
            <w:vAlign w:val="center"/>
          </w:tcPr>
          <w:p w14:paraId="5CB795E1" w14:textId="08080937" w:rsidR="00D0052F" w:rsidRPr="006F225A" w:rsidRDefault="0056360D"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shd w:val="clear" w:color="auto" w:fill="FFFFFF"/>
                <w:lang w:val="en-GB"/>
              </w:rPr>
              <w:t>3–179</w:t>
            </w:r>
            <w:r w:rsidR="00D0052F" w:rsidRPr="006F225A">
              <w:rPr>
                <w:rStyle w:val="None"/>
                <w:rFonts w:ascii="Palatino Linotype" w:hAnsi="Palatino Linotype"/>
                <w:color w:val="auto"/>
                <w:sz w:val="18"/>
                <w:szCs w:val="16"/>
                <w:shd w:val="clear" w:color="auto" w:fill="FFFFFF"/>
                <w:lang w:val="en-GB"/>
              </w:rPr>
              <w:t xml:space="preserve"> days</w:t>
            </w:r>
          </w:p>
        </w:tc>
        <w:tc>
          <w:tcPr>
            <w:tcW w:w="442" w:type="pct"/>
            <w:shd w:val="clear" w:color="auto" w:fill="FFFFFF"/>
            <w:tcMar>
              <w:top w:w="80" w:type="dxa"/>
              <w:left w:w="80" w:type="dxa"/>
              <w:bottom w:w="80" w:type="dxa"/>
              <w:right w:w="80" w:type="dxa"/>
            </w:tcMar>
            <w:vAlign w:val="center"/>
          </w:tcPr>
          <w:p w14:paraId="09FDD0DA" w14:textId="77777777" w:rsidR="00D0052F" w:rsidRPr="006F225A" w:rsidRDefault="00D0052F" w:rsidP="0034123F">
            <w:pPr>
              <w:pStyle w:val="BodyD"/>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shd w:val="clear" w:color="auto" w:fill="FFFFFF"/>
                <w:lang w:val="en-GB"/>
              </w:rPr>
              <w:t>NR</w:t>
            </w:r>
          </w:p>
        </w:tc>
        <w:tc>
          <w:tcPr>
            <w:tcW w:w="579" w:type="pct"/>
            <w:shd w:val="clear" w:color="auto" w:fill="FFFFFF"/>
            <w:tcMar>
              <w:top w:w="80" w:type="dxa"/>
              <w:left w:w="80" w:type="dxa"/>
              <w:bottom w:w="80" w:type="dxa"/>
              <w:right w:w="80" w:type="dxa"/>
            </w:tcMar>
            <w:vAlign w:val="center"/>
          </w:tcPr>
          <w:p w14:paraId="6941F530" w14:textId="77777777" w:rsidR="00D0052F" w:rsidRPr="006F225A" w:rsidRDefault="00D0052F" w:rsidP="0034123F">
            <w:pPr>
              <w:pStyle w:val="BodyD"/>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shd w:val="clear" w:color="auto" w:fill="FFFFFF"/>
                <w:lang w:val="en-GB"/>
              </w:rPr>
              <w:t xml:space="preserve">48 days </w:t>
            </w:r>
          </w:p>
        </w:tc>
        <w:tc>
          <w:tcPr>
            <w:tcW w:w="351" w:type="pct"/>
            <w:shd w:val="clear" w:color="auto" w:fill="FFFFFF"/>
            <w:tcMar>
              <w:top w:w="80" w:type="dxa"/>
              <w:left w:w="80" w:type="dxa"/>
              <w:bottom w:w="80" w:type="dxa"/>
              <w:right w:w="80" w:type="dxa"/>
            </w:tcMar>
            <w:vAlign w:val="center"/>
          </w:tcPr>
          <w:p w14:paraId="226822E8" w14:textId="77777777" w:rsidR="00D0052F" w:rsidRPr="006F225A" w:rsidRDefault="00D0052F" w:rsidP="0034123F">
            <w:pPr>
              <w:pStyle w:val="BodyD"/>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shd w:val="clear" w:color="auto" w:fill="FFFFFF"/>
                <w:lang w:val="en-GB"/>
              </w:rPr>
              <w:t>48</w:t>
            </w:r>
          </w:p>
        </w:tc>
        <w:tc>
          <w:tcPr>
            <w:tcW w:w="626" w:type="pct"/>
            <w:shd w:val="clear" w:color="auto" w:fill="FFFFFF"/>
            <w:tcMar>
              <w:top w:w="80" w:type="dxa"/>
              <w:left w:w="80" w:type="dxa"/>
              <w:bottom w:w="80" w:type="dxa"/>
              <w:right w:w="80" w:type="dxa"/>
            </w:tcMar>
            <w:vAlign w:val="center"/>
          </w:tcPr>
          <w:p w14:paraId="100FEA69"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Paediatric patients</w:t>
            </w:r>
            <w:r w:rsidRPr="006F225A">
              <w:rPr>
                <w:rStyle w:val="None"/>
                <w:rFonts w:ascii="Palatino Linotype" w:hAnsi="Palatino Linotype"/>
                <w:color w:val="auto"/>
                <w:sz w:val="18"/>
                <w:szCs w:val="16"/>
                <w:shd w:val="clear" w:color="auto" w:fill="FFFFFF"/>
                <w:lang w:val="en-GB"/>
              </w:rPr>
              <w:t xml:space="preserve"> hospitalised with laboratory-confirmed influenza</w:t>
            </w:r>
          </w:p>
        </w:tc>
        <w:tc>
          <w:tcPr>
            <w:tcW w:w="351" w:type="pct"/>
            <w:shd w:val="clear" w:color="auto" w:fill="FEFFFE"/>
            <w:tcMar>
              <w:top w:w="80" w:type="dxa"/>
              <w:left w:w="80" w:type="dxa"/>
              <w:bottom w:w="80" w:type="dxa"/>
              <w:right w:w="80" w:type="dxa"/>
            </w:tcMar>
            <w:vAlign w:val="center"/>
          </w:tcPr>
          <w:p w14:paraId="4DA0869A" w14:textId="77777777" w:rsidR="00D0052F" w:rsidRPr="006F225A" w:rsidRDefault="00D0052F" w:rsidP="00A57945">
            <w:pPr>
              <w:pStyle w:val="BodyE"/>
              <w:autoSpaceDE w:val="0"/>
              <w:autoSpaceDN w:val="0"/>
              <w:adjustRightInd w:val="0"/>
              <w:snapToGrid w:val="0"/>
              <w:jc w:val="center"/>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 xml:space="preserve">Fair </w:t>
            </w:r>
          </w:p>
        </w:tc>
      </w:tr>
      <w:tr w:rsidR="009D7BC8" w:rsidRPr="006F225A" w14:paraId="3A3A90FE" w14:textId="77777777" w:rsidTr="00A57945">
        <w:tblPrEx>
          <w:shd w:val="clear" w:color="auto" w:fill="CADFFF"/>
        </w:tblPrEx>
        <w:trPr>
          <w:jc w:val="center"/>
        </w:trPr>
        <w:tc>
          <w:tcPr>
            <w:tcW w:w="492" w:type="pct"/>
            <w:shd w:val="clear" w:color="auto" w:fill="FFFFFF"/>
            <w:tcMar>
              <w:top w:w="80" w:type="dxa"/>
              <w:left w:w="80" w:type="dxa"/>
              <w:bottom w:w="80" w:type="dxa"/>
              <w:right w:w="80" w:type="dxa"/>
            </w:tcMar>
            <w:vAlign w:val="center"/>
          </w:tcPr>
          <w:p w14:paraId="3A54F71A"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shd w:val="clear" w:color="auto" w:fill="FFFFFF"/>
                <w:lang w:val="en-GB"/>
              </w:rPr>
              <w:t>Machado et al., 2015</w:t>
            </w:r>
            <w:r w:rsidR="003221F8" w:rsidRPr="006F225A">
              <w:rPr>
                <w:rStyle w:val="None"/>
                <w:rFonts w:ascii="Palatino Linotype" w:hAnsi="Palatino Linotype"/>
                <w:color w:val="auto"/>
                <w:sz w:val="18"/>
                <w:szCs w:val="16"/>
                <w:shd w:val="clear" w:color="auto" w:fill="FFFFFF"/>
                <w:lang w:val="en-GB"/>
              </w:rPr>
              <w:t xml:space="preserve"> [41]</w:t>
            </w:r>
          </w:p>
        </w:tc>
        <w:tc>
          <w:tcPr>
            <w:tcW w:w="393" w:type="pct"/>
            <w:shd w:val="clear" w:color="auto" w:fill="FFFFFF"/>
            <w:tcMar>
              <w:top w:w="80" w:type="dxa"/>
              <w:left w:w="80" w:type="dxa"/>
              <w:bottom w:w="80" w:type="dxa"/>
              <w:right w:w="80" w:type="dxa"/>
            </w:tcMar>
            <w:vAlign w:val="center"/>
          </w:tcPr>
          <w:p w14:paraId="6898647A"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shd w:val="clear" w:color="auto" w:fill="FFFFFF"/>
                <w:lang w:val="en-GB"/>
              </w:rPr>
              <w:t>USA</w:t>
            </w:r>
          </w:p>
        </w:tc>
        <w:tc>
          <w:tcPr>
            <w:tcW w:w="442" w:type="pct"/>
            <w:shd w:val="clear" w:color="auto" w:fill="FFFFFF"/>
            <w:tcMar>
              <w:top w:w="80" w:type="dxa"/>
              <w:left w:w="80" w:type="dxa"/>
              <w:bottom w:w="80" w:type="dxa"/>
              <w:right w:w="80" w:type="dxa"/>
            </w:tcMar>
            <w:vAlign w:val="center"/>
          </w:tcPr>
          <w:p w14:paraId="395399D3" w14:textId="7CB2FD5C" w:rsidR="00D0052F" w:rsidRPr="006F225A" w:rsidRDefault="006316F7"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shd w:val="clear" w:color="auto" w:fill="FFFFFF"/>
                <w:lang w:val="en-GB"/>
              </w:rPr>
              <w:t xml:space="preserve">1 </w:t>
            </w:r>
            <w:r w:rsidR="00D0052F" w:rsidRPr="006F225A">
              <w:rPr>
                <w:rStyle w:val="None"/>
                <w:rFonts w:ascii="Palatino Linotype" w:hAnsi="Palatino Linotype"/>
                <w:color w:val="auto"/>
                <w:sz w:val="18"/>
                <w:szCs w:val="16"/>
                <w:shd w:val="clear" w:color="auto" w:fill="FFFFFF"/>
                <w:lang w:val="en-GB"/>
              </w:rPr>
              <w:t>October 2010</w:t>
            </w:r>
            <w:r w:rsidR="00733890" w:rsidRPr="006F225A">
              <w:rPr>
                <w:rStyle w:val="None"/>
                <w:rFonts w:ascii="Palatino Linotype" w:hAnsi="Palatino Linotype"/>
                <w:color w:val="auto"/>
                <w:sz w:val="18"/>
                <w:szCs w:val="16"/>
                <w:shd w:val="clear" w:color="auto" w:fill="FFFFFF"/>
                <w:lang w:val="en-GB"/>
              </w:rPr>
              <w:t>–</w:t>
            </w:r>
            <w:r w:rsidRPr="006F225A">
              <w:rPr>
                <w:rStyle w:val="None"/>
                <w:rFonts w:ascii="Palatino Linotype" w:hAnsi="Palatino Linotype"/>
                <w:color w:val="auto"/>
                <w:sz w:val="18"/>
                <w:szCs w:val="16"/>
                <w:shd w:val="clear" w:color="auto" w:fill="FFFFFF"/>
                <w:lang w:val="en-GB"/>
              </w:rPr>
              <w:t xml:space="preserve">30 </w:t>
            </w:r>
            <w:r w:rsidR="00D0052F" w:rsidRPr="006F225A">
              <w:rPr>
                <w:rStyle w:val="None"/>
                <w:rFonts w:ascii="Palatino Linotype" w:hAnsi="Palatino Linotype"/>
                <w:color w:val="auto"/>
                <w:sz w:val="18"/>
                <w:szCs w:val="16"/>
                <w:shd w:val="clear" w:color="auto" w:fill="FFFFFF"/>
                <w:lang w:val="en-GB"/>
              </w:rPr>
              <w:t>September 2013</w:t>
            </w:r>
          </w:p>
        </w:tc>
        <w:tc>
          <w:tcPr>
            <w:tcW w:w="441" w:type="pct"/>
            <w:shd w:val="clear" w:color="auto" w:fill="FFFFFF"/>
            <w:tcMar>
              <w:top w:w="80" w:type="dxa"/>
              <w:left w:w="80" w:type="dxa"/>
              <w:bottom w:w="80" w:type="dxa"/>
              <w:right w:w="80" w:type="dxa"/>
            </w:tcMar>
            <w:vAlign w:val="center"/>
          </w:tcPr>
          <w:p w14:paraId="57411702"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shd w:val="clear" w:color="auto" w:fill="FFFFFF"/>
                <w:lang w:val="en-GB"/>
              </w:rPr>
              <w:t xml:space="preserve">Retrospective chart review </w:t>
            </w:r>
          </w:p>
        </w:tc>
        <w:tc>
          <w:tcPr>
            <w:tcW w:w="396" w:type="pct"/>
            <w:shd w:val="clear" w:color="auto" w:fill="FFFFFF"/>
            <w:tcMar>
              <w:top w:w="80" w:type="dxa"/>
              <w:left w:w="80" w:type="dxa"/>
              <w:bottom w:w="80" w:type="dxa"/>
              <w:right w:w="80" w:type="dxa"/>
            </w:tcMar>
            <w:vAlign w:val="center"/>
          </w:tcPr>
          <w:p w14:paraId="771C7C05"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shd w:val="clear" w:color="auto" w:fill="FFFFFF"/>
                <w:lang w:val="en-GB"/>
              </w:rPr>
              <w:t>72</w:t>
            </w:r>
          </w:p>
        </w:tc>
        <w:tc>
          <w:tcPr>
            <w:tcW w:w="488" w:type="pct"/>
            <w:shd w:val="clear" w:color="auto" w:fill="FFFFFF"/>
            <w:tcMar>
              <w:top w:w="80" w:type="dxa"/>
              <w:left w:w="80" w:type="dxa"/>
              <w:bottom w:w="80" w:type="dxa"/>
              <w:right w:w="80" w:type="dxa"/>
            </w:tcMar>
            <w:vAlign w:val="center"/>
          </w:tcPr>
          <w:p w14:paraId="1ACEB2EC" w14:textId="0897568F" w:rsidR="00D0052F" w:rsidRPr="006F225A" w:rsidRDefault="00D0052F" w:rsidP="0034123F">
            <w:pPr>
              <w:pStyle w:val="BodyD"/>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5</w:t>
            </w:r>
            <w:r w:rsidR="0056360D" w:rsidRPr="006F225A">
              <w:rPr>
                <w:rStyle w:val="None"/>
                <w:rFonts w:ascii="Palatino Linotype" w:hAnsi="Palatino Linotype"/>
                <w:color w:val="auto"/>
                <w:sz w:val="18"/>
                <w:szCs w:val="16"/>
                <w:lang w:val="en-GB"/>
              </w:rPr>
              <w:t>4–87</w:t>
            </w:r>
            <w:r w:rsidRPr="006F225A">
              <w:rPr>
                <w:rStyle w:val="None"/>
                <w:rFonts w:ascii="Palatino Linotype" w:hAnsi="Palatino Linotype"/>
                <w:color w:val="auto"/>
                <w:sz w:val="18"/>
                <w:szCs w:val="16"/>
                <w:lang w:val="en-GB"/>
              </w:rPr>
              <w:t xml:space="preserve"> years</w:t>
            </w:r>
          </w:p>
        </w:tc>
        <w:tc>
          <w:tcPr>
            <w:tcW w:w="442" w:type="pct"/>
            <w:shd w:val="clear" w:color="auto" w:fill="FFFFFF"/>
            <w:tcMar>
              <w:top w:w="80" w:type="dxa"/>
              <w:left w:w="80" w:type="dxa"/>
              <w:bottom w:w="80" w:type="dxa"/>
              <w:right w:w="80" w:type="dxa"/>
            </w:tcMar>
            <w:vAlign w:val="center"/>
          </w:tcPr>
          <w:p w14:paraId="06B2B8D1"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shd w:val="clear" w:color="auto" w:fill="FFFFFF"/>
                <w:lang w:val="en-GB"/>
              </w:rPr>
              <w:t xml:space="preserve">70.4 (NR) years </w:t>
            </w:r>
          </w:p>
        </w:tc>
        <w:tc>
          <w:tcPr>
            <w:tcW w:w="579" w:type="pct"/>
            <w:shd w:val="clear" w:color="auto" w:fill="FFFFFF"/>
            <w:tcMar>
              <w:top w:w="80" w:type="dxa"/>
              <w:left w:w="80" w:type="dxa"/>
              <w:bottom w:w="80" w:type="dxa"/>
              <w:right w:w="80" w:type="dxa"/>
            </w:tcMar>
            <w:vAlign w:val="center"/>
          </w:tcPr>
          <w:p w14:paraId="1168DC6E" w14:textId="77777777" w:rsidR="00D0052F" w:rsidRPr="006F225A" w:rsidRDefault="00D0052F" w:rsidP="0034123F">
            <w:pPr>
              <w:pStyle w:val="BodyD"/>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NR</w:t>
            </w:r>
          </w:p>
        </w:tc>
        <w:tc>
          <w:tcPr>
            <w:tcW w:w="351" w:type="pct"/>
            <w:shd w:val="clear" w:color="auto" w:fill="FFFFFF"/>
            <w:tcMar>
              <w:top w:w="80" w:type="dxa"/>
              <w:left w:w="80" w:type="dxa"/>
              <w:bottom w:w="80" w:type="dxa"/>
              <w:right w:w="80" w:type="dxa"/>
            </w:tcMar>
            <w:vAlign w:val="center"/>
          </w:tcPr>
          <w:p w14:paraId="7EDD2BC4" w14:textId="77777777" w:rsidR="00D0052F" w:rsidRPr="006F225A" w:rsidRDefault="00D0052F" w:rsidP="0034123F">
            <w:pPr>
              <w:pStyle w:val="BodyD"/>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40</w:t>
            </w:r>
          </w:p>
        </w:tc>
        <w:tc>
          <w:tcPr>
            <w:tcW w:w="626" w:type="pct"/>
            <w:shd w:val="clear" w:color="auto" w:fill="FFFFFF"/>
            <w:tcMar>
              <w:top w:w="80" w:type="dxa"/>
              <w:left w:w="80" w:type="dxa"/>
              <w:bottom w:w="80" w:type="dxa"/>
              <w:right w:w="80" w:type="dxa"/>
            </w:tcMar>
            <w:vAlign w:val="center"/>
          </w:tcPr>
          <w:p w14:paraId="05E50D2C"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shd w:val="clear" w:color="auto" w:fill="FFFFFF"/>
                <w:lang w:val="en-GB"/>
              </w:rPr>
              <w:t>Patients hospitalised with hypercalcemia</w:t>
            </w:r>
          </w:p>
        </w:tc>
        <w:tc>
          <w:tcPr>
            <w:tcW w:w="351" w:type="pct"/>
            <w:shd w:val="clear" w:color="auto" w:fill="FEFFFE"/>
            <w:tcMar>
              <w:top w:w="80" w:type="dxa"/>
              <w:left w:w="80" w:type="dxa"/>
              <w:bottom w:w="80" w:type="dxa"/>
              <w:right w:w="80" w:type="dxa"/>
            </w:tcMar>
            <w:vAlign w:val="center"/>
          </w:tcPr>
          <w:p w14:paraId="3F36F3FA" w14:textId="77777777" w:rsidR="00D0052F" w:rsidRPr="006F225A" w:rsidRDefault="00D0052F" w:rsidP="00A57945">
            <w:pPr>
              <w:pStyle w:val="BodyE"/>
              <w:autoSpaceDE w:val="0"/>
              <w:autoSpaceDN w:val="0"/>
              <w:adjustRightInd w:val="0"/>
              <w:snapToGrid w:val="0"/>
              <w:jc w:val="center"/>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Good</w:t>
            </w:r>
          </w:p>
        </w:tc>
      </w:tr>
      <w:tr w:rsidR="009D7BC8" w:rsidRPr="006F225A" w14:paraId="782D56C9" w14:textId="77777777" w:rsidTr="00A57945">
        <w:tblPrEx>
          <w:shd w:val="clear" w:color="auto" w:fill="CADFFF"/>
        </w:tblPrEx>
        <w:trPr>
          <w:jc w:val="center"/>
        </w:trPr>
        <w:tc>
          <w:tcPr>
            <w:tcW w:w="492" w:type="pct"/>
            <w:shd w:val="clear" w:color="auto" w:fill="FFFFFF"/>
            <w:tcMar>
              <w:top w:w="80" w:type="dxa"/>
              <w:left w:w="80" w:type="dxa"/>
              <w:bottom w:w="80" w:type="dxa"/>
              <w:right w:w="80" w:type="dxa"/>
            </w:tcMar>
            <w:vAlign w:val="center"/>
          </w:tcPr>
          <w:p w14:paraId="73D92B93"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proofErr w:type="spellStart"/>
            <w:r w:rsidRPr="006F225A">
              <w:rPr>
                <w:rStyle w:val="None"/>
                <w:rFonts w:ascii="Palatino Linotype" w:hAnsi="Palatino Linotype"/>
                <w:color w:val="auto"/>
                <w:sz w:val="18"/>
                <w:szCs w:val="16"/>
                <w:shd w:val="clear" w:color="auto" w:fill="FFFFFF"/>
                <w:lang w:val="en-GB"/>
              </w:rPr>
              <w:t>Marra</w:t>
            </w:r>
            <w:proofErr w:type="spellEnd"/>
            <w:r w:rsidRPr="006F225A">
              <w:rPr>
                <w:rStyle w:val="None"/>
                <w:rFonts w:ascii="Palatino Linotype" w:hAnsi="Palatino Linotype"/>
                <w:color w:val="auto"/>
                <w:sz w:val="18"/>
                <w:szCs w:val="16"/>
                <w:shd w:val="clear" w:color="auto" w:fill="FFFFFF"/>
                <w:lang w:val="en-GB"/>
              </w:rPr>
              <w:t xml:space="preserve"> et al., 2011</w:t>
            </w:r>
            <w:r w:rsidR="003221F8" w:rsidRPr="006F225A">
              <w:rPr>
                <w:rStyle w:val="None"/>
                <w:rFonts w:ascii="Palatino Linotype" w:hAnsi="Palatino Linotype"/>
                <w:color w:val="auto"/>
                <w:sz w:val="18"/>
                <w:szCs w:val="16"/>
                <w:shd w:val="clear" w:color="auto" w:fill="FFFFFF"/>
                <w:lang w:val="en-GB"/>
              </w:rPr>
              <w:t xml:space="preserve"> [36]</w:t>
            </w:r>
          </w:p>
        </w:tc>
        <w:tc>
          <w:tcPr>
            <w:tcW w:w="393" w:type="pct"/>
            <w:shd w:val="clear" w:color="auto" w:fill="FFFFFF"/>
            <w:tcMar>
              <w:top w:w="80" w:type="dxa"/>
              <w:left w:w="80" w:type="dxa"/>
              <w:bottom w:w="80" w:type="dxa"/>
              <w:right w:w="80" w:type="dxa"/>
            </w:tcMar>
            <w:vAlign w:val="center"/>
          </w:tcPr>
          <w:p w14:paraId="6D69954B"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shd w:val="clear" w:color="auto" w:fill="FFFFFF"/>
                <w:lang w:val="en-GB"/>
              </w:rPr>
              <w:t xml:space="preserve">Brazil </w:t>
            </w:r>
          </w:p>
        </w:tc>
        <w:tc>
          <w:tcPr>
            <w:tcW w:w="442" w:type="pct"/>
            <w:shd w:val="clear" w:color="auto" w:fill="FFFFFF"/>
            <w:tcMar>
              <w:top w:w="80" w:type="dxa"/>
              <w:left w:w="80" w:type="dxa"/>
              <w:bottom w:w="80" w:type="dxa"/>
              <w:right w:w="80" w:type="dxa"/>
            </w:tcMar>
            <w:vAlign w:val="center"/>
          </w:tcPr>
          <w:p w14:paraId="069157DC" w14:textId="7AC71F98" w:rsidR="00D0052F" w:rsidRPr="006F225A" w:rsidRDefault="006316F7"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shd w:val="clear" w:color="auto" w:fill="FFFFFF"/>
                <w:lang w:val="en-GB"/>
              </w:rPr>
              <w:t xml:space="preserve">8 </w:t>
            </w:r>
            <w:r w:rsidR="00D0052F" w:rsidRPr="006F225A">
              <w:rPr>
                <w:rStyle w:val="None"/>
                <w:rFonts w:ascii="Palatino Linotype" w:hAnsi="Palatino Linotype"/>
                <w:color w:val="auto"/>
                <w:sz w:val="18"/>
                <w:szCs w:val="16"/>
                <w:shd w:val="clear" w:color="auto" w:fill="FFFFFF"/>
                <w:lang w:val="en-GB"/>
              </w:rPr>
              <w:t>April 2008</w:t>
            </w:r>
            <w:r w:rsidR="00733890" w:rsidRPr="006F225A">
              <w:rPr>
                <w:rStyle w:val="None"/>
                <w:rFonts w:ascii="Palatino Linotype" w:hAnsi="Palatino Linotype"/>
                <w:color w:val="auto"/>
                <w:sz w:val="18"/>
                <w:szCs w:val="16"/>
                <w:shd w:val="clear" w:color="auto" w:fill="FFFFFF"/>
                <w:lang w:val="en-GB"/>
              </w:rPr>
              <w:t>–</w:t>
            </w:r>
            <w:r w:rsidRPr="006F225A">
              <w:rPr>
                <w:rStyle w:val="None"/>
                <w:rFonts w:ascii="Palatino Linotype" w:hAnsi="Palatino Linotype"/>
                <w:color w:val="auto"/>
                <w:sz w:val="18"/>
                <w:szCs w:val="16"/>
                <w:shd w:val="clear" w:color="auto" w:fill="FFFFFF"/>
                <w:lang w:val="en-GB"/>
              </w:rPr>
              <w:t xml:space="preserve">9 </w:t>
            </w:r>
            <w:r w:rsidR="00D0052F" w:rsidRPr="006F225A">
              <w:rPr>
                <w:rStyle w:val="None"/>
                <w:rFonts w:ascii="Palatino Linotype" w:hAnsi="Palatino Linotype"/>
                <w:color w:val="auto"/>
                <w:sz w:val="18"/>
                <w:szCs w:val="16"/>
                <w:shd w:val="clear" w:color="auto" w:fill="FFFFFF"/>
                <w:lang w:val="en-GB"/>
              </w:rPr>
              <w:t>May 2008</w:t>
            </w:r>
          </w:p>
        </w:tc>
        <w:tc>
          <w:tcPr>
            <w:tcW w:w="441" w:type="pct"/>
            <w:shd w:val="clear" w:color="auto" w:fill="FFFFFF"/>
            <w:tcMar>
              <w:top w:w="80" w:type="dxa"/>
              <w:left w:w="80" w:type="dxa"/>
              <w:bottom w:w="80" w:type="dxa"/>
              <w:right w:w="80" w:type="dxa"/>
            </w:tcMar>
            <w:vAlign w:val="center"/>
          </w:tcPr>
          <w:p w14:paraId="10E43EE8"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shd w:val="clear" w:color="auto" w:fill="FFFFFF"/>
                <w:lang w:val="en-GB"/>
              </w:rPr>
              <w:t xml:space="preserve">Retrospective chart review </w:t>
            </w:r>
          </w:p>
        </w:tc>
        <w:tc>
          <w:tcPr>
            <w:tcW w:w="396" w:type="pct"/>
            <w:shd w:val="clear" w:color="auto" w:fill="FFFFFF"/>
            <w:tcMar>
              <w:top w:w="80" w:type="dxa"/>
              <w:left w:w="80" w:type="dxa"/>
              <w:bottom w:w="80" w:type="dxa"/>
              <w:right w:w="80" w:type="dxa"/>
            </w:tcMar>
            <w:vAlign w:val="center"/>
          </w:tcPr>
          <w:p w14:paraId="1F4E15A9"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shd w:val="clear" w:color="auto" w:fill="FFFFFF"/>
                <w:lang w:val="en-GB"/>
              </w:rPr>
              <w:t>3393</w:t>
            </w:r>
          </w:p>
        </w:tc>
        <w:tc>
          <w:tcPr>
            <w:tcW w:w="488" w:type="pct"/>
            <w:shd w:val="clear" w:color="auto" w:fill="FFFFFF"/>
            <w:tcMar>
              <w:top w:w="80" w:type="dxa"/>
              <w:left w:w="80" w:type="dxa"/>
              <w:bottom w:w="80" w:type="dxa"/>
              <w:right w:w="80" w:type="dxa"/>
            </w:tcMar>
            <w:vAlign w:val="center"/>
          </w:tcPr>
          <w:p w14:paraId="11A1C3E6"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shd w:val="clear" w:color="auto" w:fill="FFFFFF"/>
                <w:lang w:val="en-GB"/>
              </w:rPr>
              <w:t>NR</w:t>
            </w:r>
          </w:p>
        </w:tc>
        <w:tc>
          <w:tcPr>
            <w:tcW w:w="442" w:type="pct"/>
            <w:shd w:val="clear" w:color="auto" w:fill="FFFFFF"/>
            <w:tcMar>
              <w:top w:w="80" w:type="dxa"/>
              <w:left w:w="80" w:type="dxa"/>
              <w:bottom w:w="80" w:type="dxa"/>
              <w:right w:w="80" w:type="dxa"/>
            </w:tcMar>
            <w:vAlign w:val="center"/>
          </w:tcPr>
          <w:p w14:paraId="05E4F752" w14:textId="77777777" w:rsidR="00D0052F" w:rsidRPr="006F225A" w:rsidRDefault="00D0052F" w:rsidP="0034123F">
            <w:pPr>
              <w:pStyle w:val="BodyD"/>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NR</w:t>
            </w:r>
          </w:p>
        </w:tc>
        <w:tc>
          <w:tcPr>
            <w:tcW w:w="579" w:type="pct"/>
            <w:shd w:val="clear" w:color="auto" w:fill="FFFFFF"/>
            <w:tcMar>
              <w:top w:w="80" w:type="dxa"/>
              <w:left w:w="80" w:type="dxa"/>
              <w:bottom w:w="80" w:type="dxa"/>
              <w:right w:w="80" w:type="dxa"/>
            </w:tcMar>
            <w:vAlign w:val="center"/>
          </w:tcPr>
          <w:p w14:paraId="3BF0B112" w14:textId="77777777" w:rsidR="00D0052F" w:rsidRPr="006F225A" w:rsidRDefault="00D0052F" w:rsidP="0034123F">
            <w:pPr>
              <w:pStyle w:val="BodyD"/>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NR</w:t>
            </w:r>
          </w:p>
        </w:tc>
        <w:tc>
          <w:tcPr>
            <w:tcW w:w="351" w:type="pct"/>
            <w:shd w:val="clear" w:color="auto" w:fill="FFFFFF"/>
            <w:tcMar>
              <w:top w:w="80" w:type="dxa"/>
              <w:left w:w="80" w:type="dxa"/>
              <w:bottom w:w="80" w:type="dxa"/>
              <w:right w:w="80" w:type="dxa"/>
            </w:tcMar>
            <w:vAlign w:val="center"/>
          </w:tcPr>
          <w:p w14:paraId="1BC5E6CB" w14:textId="77777777" w:rsidR="00D0052F" w:rsidRPr="006F225A" w:rsidRDefault="00D0052F" w:rsidP="0034123F">
            <w:pPr>
              <w:pStyle w:val="BodyD"/>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NR</w:t>
            </w:r>
          </w:p>
        </w:tc>
        <w:tc>
          <w:tcPr>
            <w:tcW w:w="626" w:type="pct"/>
            <w:shd w:val="clear" w:color="auto" w:fill="FFFFFF"/>
            <w:tcMar>
              <w:top w:w="80" w:type="dxa"/>
              <w:left w:w="80" w:type="dxa"/>
              <w:bottom w:w="80" w:type="dxa"/>
              <w:right w:w="80" w:type="dxa"/>
            </w:tcMar>
            <w:vAlign w:val="center"/>
          </w:tcPr>
          <w:p w14:paraId="1233B8C4"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 xml:space="preserve">Paediatric and adult patients </w:t>
            </w:r>
            <w:r w:rsidRPr="006F225A">
              <w:rPr>
                <w:rStyle w:val="None"/>
                <w:rFonts w:ascii="Palatino Linotype" w:hAnsi="Palatino Linotype"/>
                <w:color w:val="auto"/>
                <w:sz w:val="18"/>
                <w:szCs w:val="16"/>
                <w:shd w:val="clear" w:color="auto" w:fill="FFFFFF"/>
                <w:lang w:val="en-GB"/>
              </w:rPr>
              <w:t xml:space="preserve">treated in the hydration tent during dengue fever epidemic </w:t>
            </w:r>
          </w:p>
        </w:tc>
        <w:tc>
          <w:tcPr>
            <w:tcW w:w="351" w:type="pct"/>
            <w:shd w:val="clear" w:color="auto" w:fill="FFFFFF"/>
            <w:tcMar>
              <w:top w:w="80" w:type="dxa"/>
              <w:left w:w="80" w:type="dxa"/>
              <w:bottom w:w="80" w:type="dxa"/>
              <w:right w:w="80" w:type="dxa"/>
            </w:tcMar>
            <w:vAlign w:val="center"/>
          </w:tcPr>
          <w:p w14:paraId="6543E176" w14:textId="77777777" w:rsidR="00D0052F" w:rsidRPr="006F225A" w:rsidRDefault="00D0052F" w:rsidP="00A57945">
            <w:pPr>
              <w:pStyle w:val="BodyE"/>
              <w:autoSpaceDE w:val="0"/>
              <w:autoSpaceDN w:val="0"/>
              <w:adjustRightInd w:val="0"/>
              <w:snapToGrid w:val="0"/>
              <w:jc w:val="center"/>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 xml:space="preserve">Fair </w:t>
            </w:r>
          </w:p>
        </w:tc>
      </w:tr>
      <w:tr w:rsidR="009D7BC8" w:rsidRPr="006F225A" w14:paraId="67AC4799" w14:textId="77777777" w:rsidTr="00A57945">
        <w:tblPrEx>
          <w:shd w:val="clear" w:color="auto" w:fill="CADFFF"/>
        </w:tblPrEx>
        <w:trPr>
          <w:jc w:val="center"/>
        </w:trPr>
        <w:tc>
          <w:tcPr>
            <w:tcW w:w="492" w:type="pct"/>
            <w:shd w:val="clear" w:color="auto" w:fill="FFFFFF"/>
            <w:tcMar>
              <w:top w:w="80" w:type="dxa"/>
              <w:left w:w="80" w:type="dxa"/>
              <w:bottom w:w="80" w:type="dxa"/>
              <w:right w:w="80" w:type="dxa"/>
            </w:tcMar>
            <w:vAlign w:val="center"/>
          </w:tcPr>
          <w:p w14:paraId="7E6764F0"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proofErr w:type="spellStart"/>
            <w:r w:rsidRPr="006F225A">
              <w:rPr>
                <w:rStyle w:val="None"/>
                <w:rFonts w:ascii="Palatino Linotype" w:hAnsi="Palatino Linotype"/>
                <w:color w:val="auto"/>
                <w:sz w:val="18"/>
                <w:szCs w:val="16"/>
                <w:lang w:val="en-GB"/>
              </w:rPr>
              <w:lastRenderedPageBreak/>
              <w:t>Moineau</w:t>
            </w:r>
            <w:proofErr w:type="spellEnd"/>
            <w:r w:rsidRPr="006F225A">
              <w:rPr>
                <w:rStyle w:val="None"/>
                <w:rFonts w:ascii="Palatino Linotype" w:hAnsi="Palatino Linotype"/>
                <w:color w:val="auto"/>
                <w:sz w:val="18"/>
                <w:szCs w:val="16"/>
                <w:lang w:val="en-GB"/>
              </w:rPr>
              <w:t xml:space="preserve"> and Newman, 1990</w:t>
            </w:r>
            <w:r w:rsidR="003221F8" w:rsidRPr="006F225A">
              <w:rPr>
                <w:rStyle w:val="None"/>
                <w:rFonts w:ascii="Palatino Linotype" w:hAnsi="Palatino Linotype"/>
                <w:color w:val="auto"/>
                <w:sz w:val="18"/>
                <w:szCs w:val="16"/>
                <w:lang w:val="en-GB"/>
              </w:rPr>
              <w:t xml:space="preserve"> [21]</w:t>
            </w:r>
          </w:p>
        </w:tc>
        <w:tc>
          <w:tcPr>
            <w:tcW w:w="393" w:type="pct"/>
            <w:shd w:val="clear" w:color="auto" w:fill="FFFFFF"/>
            <w:tcMar>
              <w:top w:w="80" w:type="dxa"/>
              <w:left w:w="80" w:type="dxa"/>
              <w:bottom w:w="80" w:type="dxa"/>
              <w:right w:w="80" w:type="dxa"/>
            </w:tcMar>
            <w:vAlign w:val="center"/>
          </w:tcPr>
          <w:p w14:paraId="5F983835"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 xml:space="preserve">Canada </w:t>
            </w:r>
          </w:p>
        </w:tc>
        <w:tc>
          <w:tcPr>
            <w:tcW w:w="442" w:type="pct"/>
            <w:shd w:val="clear" w:color="auto" w:fill="FFFFFF"/>
            <w:tcMar>
              <w:top w:w="80" w:type="dxa"/>
              <w:left w:w="80" w:type="dxa"/>
              <w:bottom w:w="80" w:type="dxa"/>
              <w:right w:w="80" w:type="dxa"/>
            </w:tcMar>
            <w:vAlign w:val="center"/>
          </w:tcPr>
          <w:p w14:paraId="6DB12E2E" w14:textId="003A4B21"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December 1988</w:t>
            </w:r>
            <w:r w:rsidR="00733890" w:rsidRPr="006F225A">
              <w:rPr>
                <w:rStyle w:val="None"/>
                <w:rFonts w:ascii="Palatino Linotype" w:hAnsi="Palatino Linotype"/>
                <w:color w:val="auto"/>
                <w:sz w:val="18"/>
                <w:szCs w:val="16"/>
                <w:lang w:val="en-GB"/>
              </w:rPr>
              <w:t>–</w:t>
            </w:r>
            <w:r w:rsidRPr="006F225A">
              <w:rPr>
                <w:rStyle w:val="None"/>
                <w:rFonts w:ascii="Palatino Linotype" w:hAnsi="Palatino Linotype"/>
                <w:color w:val="auto"/>
                <w:sz w:val="18"/>
                <w:szCs w:val="16"/>
                <w:lang w:val="en-GB"/>
              </w:rPr>
              <w:t>April 1989</w:t>
            </w:r>
          </w:p>
        </w:tc>
        <w:tc>
          <w:tcPr>
            <w:tcW w:w="441" w:type="pct"/>
            <w:shd w:val="clear" w:color="auto" w:fill="FFFFFF"/>
            <w:tcMar>
              <w:top w:w="80" w:type="dxa"/>
              <w:left w:w="80" w:type="dxa"/>
              <w:bottom w:w="80" w:type="dxa"/>
              <w:right w:w="80" w:type="dxa"/>
            </w:tcMar>
            <w:vAlign w:val="center"/>
          </w:tcPr>
          <w:p w14:paraId="41458E40"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 xml:space="preserve">Prospective pilot study </w:t>
            </w:r>
          </w:p>
        </w:tc>
        <w:tc>
          <w:tcPr>
            <w:tcW w:w="396" w:type="pct"/>
            <w:shd w:val="clear" w:color="auto" w:fill="FFFFFF"/>
            <w:tcMar>
              <w:top w:w="80" w:type="dxa"/>
              <w:left w:w="80" w:type="dxa"/>
              <w:bottom w:w="80" w:type="dxa"/>
              <w:right w:w="80" w:type="dxa"/>
            </w:tcMar>
            <w:vAlign w:val="center"/>
          </w:tcPr>
          <w:p w14:paraId="246F0AB0"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17</w:t>
            </w:r>
          </w:p>
        </w:tc>
        <w:tc>
          <w:tcPr>
            <w:tcW w:w="488" w:type="pct"/>
            <w:shd w:val="clear" w:color="auto" w:fill="FFFFFF"/>
            <w:tcMar>
              <w:top w:w="80" w:type="dxa"/>
              <w:left w:w="80" w:type="dxa"/>
              <w:bottom w:w="80" w:type="dxa"/>
              <w:right w:w="80" w:type="dxa"/>
            </w:tcMar>
            <w:vAlign w:val="center"/>
          </w:tcPr>
          <w:p w14:paraId="52F9C8D2" w14:textId="77777777" w:rsidR="00D0052F" w:rsidRPr="006F225A" w:rsidRDefault="00D0052F" w:rsidP="0034123F">
            <w:pPr>
              <w:pStyle w:val="BodyD"/>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NR</w:t>
            </w:r>
          </w:p>
        </w:tc>
        <w:tc>
          <w:tcPr>
            <w:tcW w:w="442" w:type="pct"/>
            <w:shd w:val="clear" w:color="auto" w:fill="FFFFFF"/>
            <w:tcMar>
              <w:top w:w="80" w:type="dxa"/>
              <w:left w:w="80" w:type="dxa"/>
              <w:bottom w:w="80" w:type="dxa"/>
              <w:right w:w="80" w:type="dxa"/>
            </w:tcMar>
            <w:vAlign w:val="center"/>
          </w:tcPr>
          <w:p w14:paraId="5399F3AF"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 xml:space="preserve">2.6 (1.7) years </w:t>
            </w:r>
          </w:p>
        </w:tc>
        <w:tc>
          <w:tcPr>
            <w:tcW w:w="579" w:type="pct"/>
            <w:shd w:val="clear" w:color="auto" w:fill="FFFFFF"/>
            <w:tcMar>
              <w:top w:w="80" w:type="dxa"/>
              <w:left w:w="80" w:type="dxa"/>
              <w:bottom w:w="80" w:type="dxa"/>
              <w:right w:w="80" w:type="dxa"/>
            </w:tcMar>
            <w:vAlign w:val="center"/>
          </w:tcPr>
          <w:p w14:paraId="542660C8" w14:textId="77777777" w:rsidR="00D0052F" w:rsidRPr="006F225A" w:rsidRDefault="00D0052F" w:rsidP="0034123F">
            <w:pPr>
              <w:pStyle w:val="BodyD"/>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NR</w:t>
            </w:r>
          </w:p>
        </w:tc>
        <w:tc>
          <w:tcPr>
            <w:tcW w:w="351" w:type="pct"/>
            <w:shd w:val="clear" w:color="auto" w:fill="FFFFFF"/>
            <w:tcMar>
              <w:top w:w="80" w:type="dxa"/>
              <w:left w:w="80" w:type="dxa"/>
              <w:bottom w:w="80" w:type="dxa"/>
              <w:right w:w="80" w:type="dxa"/>
            </w:tcMar>
            <w:vAlign w:val="center"/>
          </w:tcPr>
          <w:p w14:paraId="5F5BBB2F" w14:textId="77777777" w:rsidR="00D0052F" w:rsidRPr="006F225A" w:rsidRDefault="00D0052F" w:rsidP="0034123F">
            <w:pPr>
              <w:pStyle w:val="BodyD"/>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47</w:t>
            </w:r>
          </w:p>
        </w:tc>
        <w:tc>
          <w:tcPr>
            <w:tcW w:w="626" w:type="pct"/>
            <w:shd w:val="clear" w:color="auto" w:fill="FFFFFF"/>
            <w:tcMar>
              <w:top w:w="80" w:type="dxa"/>
              <w:left w:w="80" w:type="dxa"/>
              <w:bottom w:w="80" w:type="dxa"/>
              <w:right w:w="80" w:type="dxa"/>
            </w:tcMar>
            <w:vAlign w:val="center"/>
          </w:tcPr>
          <w:p w14:paraId="5D28F4CE"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Paediatric patients admitted to the emergency department with mild to moderate dehydration caused by viral gastroenteritis</w:t>
            </w:r>
          </w:p>
        </w:tc>
        <w:tc>
          <w:tcPr>
            <w:tcW w:w="351" w:type="pct"/>
            <w:shd w:val="clear" w:color="auto" w:fill="FEFFFE"/>
            <w:tcMar>
              <w:top w:w="80" w:type="dxa"/>
              <w:left w:w="80" w:type="dxa"/>
              <w:bottom w:w="80" w:type="dxa"/>
              <w:right w:w="80" w:type="dxa"/>
            </w:tcMar>
            <w:vAlign w:val="center"/>
          </w:tcPr>
          <w:p w14:paraId="074470E9" w14:textId="77777777" w:rsidR="00D0052F" w:rsidRPr="006F225A" w:rsidRDefault="00D0052F" w:rsidP="00A57945">
            <w:pPr>
              <w:pStyle w:val="BodyE"/>
              <w:autoSpaceDE w:val="0"/>
              <w:autoSpaceDN w:val="0"/>
              <w:adjustRightInd w:val="0"/>
              <w:snapToGrid w:val="0"/>
              <w:jc w:val="center"/>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 xml:space="preserve">Fair </w:t>
            </w:r>
          </w:p>
        </w:tc>
      </w:tr>
      <w:tr w:rsidR="009D7BC8" w:rsidRPr="006F225A" w14:paraId="124458DE" w14:textId="77777777" w:rsidTr="00A57945">
        <w:tblPrEx>
          <w:shd w:val="clear" w:color="auto" w:fill="CADFFF"/>
        </w:tblPrEx>
        <w:trPr>
          <w:jc w:val="center"/>
        </w:trPr>
        <w:tc>
          <w:tcPr>
            <w:tcW w:w="492" w:type="pct"/>
            <w:shd w:val="clear" w:color="auto" w:fill="FFFFFF"/>
            <w:tcMar>
              <w:top w:w="80" w:type="dxa"/>
              <w:left w:w="80" w:type="dxa"/>
              <w:bottom w:w="80" w:type="dxa"/>
              <w:right w:w="80" w:type="dxa"/>
            </w:tcMar>
            <w:vAlign w:val="center"/>
          </w:tcPr>
          <w:p w14:paraId="5743B82F"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proofErr w:type="spellStart"/>
            <w:r w:rsidRPr="006F225A">
              <w:rPr>
                <w:rStyle w:val="None"/>
                <w:rFonts w:ascii="Palatino Linotype" w:hAnsi="Palatino Linotype"/>
                <w:color w:val="auto"/>
                <w:sz w:val="18"/>
                <w:szCs w:val="16"/>
                <w:lang w:val="en-GB"/>
              </w:rPr>
              <w:t>Myat</w:t>
            </w:r>
            <w:proofErr w:type="spellEnd"/>
            <w:r w:rsidRPr="006F225A">
              <w:rPr>
                <w:rStyle w:val="None"/>
                <w:rFonts w:ascii="Palatino Linotype" w:hAnsi="Palatino Linotype"/>
                <w:color w:val="auto"/>
                <w:sz w:val="18"/>
                <w:szCs w:val="16"/>
                <w:lang w:val="en-GB"/>
              </w:rPr>
              <w:t xml:space="preserve"> et al., 2021</w:t>
            </w:r>
            <w:r w:rsidR="003221F8" w:rsidRPr="006F225A">
              <w:rPr>
                <w:rStyle w:val="None"/>
                <w:rFonts w:ascii="Palatino Linotype" w:hAnsi="Palatino Linotype"/>
                <w:color w:val="auto"/>
                <w:sz w:val="18"/>
                <w:szCs w:val="16"/>
                <w:lang w:val="en-GB"/>
              </w:rPr>
              <w:t xml:space="preserve"> [22]</w:t>
            </w:r>
          </w:p>
        </w:tc>
        <w:tc>
          <w:tcPr>
            <w:tcW w:w="393" w:type="pct"/>
            <w:shd w:val="clear" w:color="auto" w:fill="FFFFFF"/>
            <w:tcMar>
              <w:top w:w="80" w:type="dxa"/>
              <w:left w:w="80" w:type="dxa"/>
              <w:bottom w:w="80" w:type="dxa"/>
              <w:right w:w="80" w:type="dxa"/>
            </w:tcMar>
            <w:vAlign w:val="center"/>
          </w:tcPr>
          <w:p w14:paraId="5BFDC9B9"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Myanmar</w:t>
            </w:r>
          </w:p>
        </w:tc>
        <w:tc>
          <w:tcPr>
            <w:tcW w:w="442" w:type="pct"/>
            <w:shd w:val="clear" w:color="auto" w:fill="FFFFFF"/>
            <w:tcMar>
              <w:top w:w="80" w:type="dxa"/>
              <w:left w:w="80" w:type="dxa"/>
              <w:bottom w:w="80" w:type="dxa"/>
              <w:right w:w="80" w:type="dxa"/>
            </w:tcMar>
            <w:vAlign w:val="center"/>
          </w:tcPr>
          <w:p w14:paraId="3230B891" w14:textId="5760DA6C"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May 2018</w:t>
            </w:r>
            <w:r w:rsidR="00733890" w:rsidRPr="006F225A">
              <w:rPr>
                <w:rStyle w:val="None"/>
                <w:rFonts w:ascii="Palatino Linotype" w:hAnsi="Palatino Linotype"/>
                <w:color w:val="auto"/>
                <w:sz w:val="18"/>
                <w:szCs w:val="16"/>
                <w:lang w:val="en-GB"/>
              </w:rPr>
              <w:t>–</w:t>
            </w:r>
            <w:r w:rsidRPr="006F225A">
              <w:rPr>
                <w:rStyle w:val="None"/>
                <w:rFonts w:ascii="Palatino Linotype" w:hAnsi="Palatino Linotype"/>
                <w:color w:val="auto"/>
                <w:sz w:val="18"/>
                <w:szCs w:val="16"/>
                <w:lang w:val="en-GB"/>
              </w:rPr>
              <w:t xml:space="preserve">January 2020 </w:t>
            </w:r>
          </w:p>
        </w:tc>
        <w:tc>
          <w:tcPr>
            <w:tcW w:w="441" w:type="pct"/>
            <w:shd w:val="clear" w:color="auto" w:fill="FFFFFF"/>
            <w:tcMar>
              <w:top w:w="80" w:type="dxa"/>
              <w:left w:w="80" w:type="dxa"/>
              <w:bottom w:w="80" w:type="dxa"/>
              <w:right w:w="80" w:type="dxa"/>
            </w:tcMar>
            <w:vAlign w:val="center"/>
          </w:tcPr>
          <w:p w14:paraId="12255DE8"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 xml:space="preserve">Hospital-based surveillance design </w:t>
            </w:r>
          </w:p>
        </w:tc>
        <w:tc>
          <w:tcPr>
            <w:tcW w:w="396" w:type="pct"/>
            <w:shd w:val="clear" w:color="auto" w:fill="FFFFFF"/>
            <w:tcMar>
              <w:top w:w="80" w:type="dxa"/>
              <w:left w:w="80" w:type="dxa"/>
              <w:bottom w:w="80" w:type="dxa"/>
              <w:right w:w="80" w:type="dxa"/>
            </w:tcMar>
            <w:vAlign w:val="center"/>
          </w:tcPr>
          <w:p w14:paraId="3E904ED8"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3226</w:t>
            </w:r>
          </w:p>
        </w:tc>
        <w:tc>
          <w:tcPr>
            <w:tcW w:w="488" w:type="pct"/>
            <w:shd w:val="clear" w:color="auto" w:fill="FFFFFF"/>
            <w:tcMar>
              <w:top w:w="80" w:type="dxa"/>
              <w:left w:w="80" w:type="dxa"/>
              <w:bottom w:w="80" w:type="dxa"/>
              <w:right w:w="80" w:type="dxa"/>
            </w:tcMar>
            <w:vAlign w:val="center"/>
          </w:tcPr>
          <w:p w14:paraId="412D8BD6"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5 days to 59 months</w:t>
            </w:r>
          </w:p>
        </w:tc>
        <w:tc>
          <w:tcPr>
            <w:tcW w:w="442" w:type="pct"/>
            <w:shd w:val="clear" w:color="auto" w:fill="FFFFFF"/>
            <w:tcMar>
              <w:top w:w="80" w:type="dxa"/>
              <w:left w:w="80" w:type="dxa"/>
              <w:bottom w:w="80" w:type="dxa"/>
              <w:right w:w="80" w:type="dxa"/>
            </w:tcMar>
            <w:vAlign w:val="center"/>
          </w:tcPr>
          <w:p w14:paraId="0B5A62A4" w14:textId="77777777" w:rsidR="00D0052F" w:rsidRPr="006F225A" w:rsidRDefault="00D0052F" w:rsidP="0034123F">
            <w:pPr>
              <w:pStyle w:val="BodyD"/>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NR</w:t>
            </w:r>
          </w:p>
        </w:tc>
        <w:tc>
          <w:tcPr>
            <w:tcW w:w="579" w:type="pct"/>
            <w:shd w:val="clear" w:color="auto" w:fill="FFFFFF"/>
            <w:tcMar>
              <w:top w:w="80" w:type="dxa"/>
              <w:left w:w="80" w:type="dxa"/>
              <w:bottom w:w="80" w:type="dxa"/>
              <w:right w:w="80" w:type="dxa"/>
            </w:tcMar>
            <w:vAlign w:val="center"/>
          </w:tcPr>
          <w:p w14:paraId="2586F583" w14:textId="77777777" w:rsidR="00D0052F" w:rsidRPr="006F225A" w:rsidRDefault="00D0052F" w:rsidP="0034123F">
            <w:pPr>
              <w:pStyle w:val="BodyD"/>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NR</w:t>
            </w:r>
          </w:p>
        </w:tc>
        <w:tc>
          <w:tcPr>
            <w:tcW w:w="351" w:type="pct"/>
            <w:shd w:val="clear" w:color="auto" w:fill="FFFFFF"/>
            <w:tcMar>
              <w:top w:w="80" w:type="dxa"/>
              <w:left w:w="80" w:type="dxa"/>
              <w:bottom w:w="80" w:type="dxa"/>
              <w:right w:w="80" w:type="dxa"/>
            </w:tcMar>
            <w:vAlign w:val="center"/>
          </w:tcPr>
          <w:p w14:paraId="45856474" w14:textId="77777777" w:rsidR="00D0052F" w:rsidRPr="006F225A" w:rsidRDefault="00D0052F" w:rsidP="0034123F">
            <w:pPr>
              <w:pStyle w:val="BodyD"/>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59.5</w:t>
            </w:r>
          </w:p>
        </w:tc>
        <w:tc>
          <w:tcPr>
            <w:tcW w:w="626" w:type="pct"/>
            <w:shd w:val="clear" w:color="auto" w:fill="FFFFFF"/>
            <w:tcMar>
              <w:top w:w="80" w:type="dxa"/>
              <w:left w:w="80" w:type="dxa"/>
              <w:bottom w:w="80" w:type="dxa"/>
              <w:right w:w="80" w:type="dxa"/>
            </w:tcMar>
            <w:vAlign w:val="center"/>
          </w:tcPr>
          <w:p w14:paraId="296B8305"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Paediatric patients hospitalised for acute gastroenteritis</w:t>
            </w:r>
          </w:p>
        </w:tc>
        <w:tc>
          <w:tcPr>
            <w:tcW w:w="351" w:type="pct"/>
            <w:shd w:val="clear" w:color="auto" w:fill="FEFFFE"/>
            <w:tcMar>
              <w:top w:w="80" w:type="dxa"/>
              <w:left w:w="80" w:type="dxa"/>
              <w:bottom w:w="80" w:type="dxa"/>
              <w:right w:w="80" w:type="dxa"/>
            </w:tcMar>
            <w:vAlign w:val="center"/>
          </w:tcPr>
          <w:p w14:paraId="1C8E183B" w14:textId="77777777" w:rsidR="00D0052F" w:rsidRPr="006F225A" w:rsidRDefault="00D0052F" w:rsidP="00A57945">
            <w:pPr>
              <w:pStyle w:val="BodyE"/>
              <w:autoSpaceDE w:val="0"/>
              <w:autoSpaceDN w:val="0"/>
              <w:adjustRightInd w:val="0"/>
              <w:snapToGrid w:val="0"/>
              <w:jc w:val="center"/>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 xml:space="preserve">Fair </w:t>
            </w:r>
          </w:p>
        </w:tc>
      </w:tr>
      <w:tr w:rsidR="009D7BC8" w:rsidRPr="006F225A" w14:paraId="30992D3F" w14:textId="77777777" w:rsidTr="00A57945">
        <w:tblPrEx>
          <w:shd w:val="clear" w:color="auto" w:fill="CADFFF"/>
        </w:tblPrEx>
        <w:trPr>
          <w:jc w:val="center"/>
        </w:trPr>
        <w:tc>
          <w:tcPr>
            <w:tcW w:w="492" w:type="pct"/>
            <w:shd w:val="clear" w:color="auto" w:fill="FFFFFF"/>
            <w:tcMar>
              <w:top w:w="80" w:type="dxa"/>
              <w:left w:w="80" w:type="dxa"/>
              <w:bottom w:w="80" w:type="dxa"/>
              <w:right w:w="80" w:type="dxa"/>
            </w:tcMar>
            <w:vAlign w:val="center"/>
          </w:tcPr>
          <w:p w14:paraId="6311F06C"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proofErr w:type="spellStart"/>
            <w:r w:rsidRPr="006F225A">
              <w:rPr>
                <w:rStyle w:val="None"/>
                <w:rFonts w:ascii="Palatino Linotype" w:hAnsi="Palatino Linotype"/>
                <w:color w:val="auto"/>
                <w:sz w:val="18"/>
                <w:szCs w:val="16"/>
                <w:lang w:val="en-GB"/>
              </w:rPr>
              <w:t>Nazurdinov</w:t>
            </w:r>
            <w:proofErr w:type="spellEnd"/>
            <w:r w:rsidRPr="006F225A">
              <w:rPr>
                <w:rStyle w:val="None"/>
                <w:rFonts w:ascii="Palatino Linotype" w:hAnsi="Palatino Linotype"/>
                <w:color w:val="auto"/>
                <w:sz w:val="18"/>
                <w:szCs w:val="16"/>
                <w:lang w:val="en-GB"/>
              </w:rPr>
              <w:t xml:space="preserve"> et al., 2018</w:t>
            </w:r>
            <w:r w:rsidR="003221F8" w:rsidRPr="006F225A">
              <w:rPr>
                <w:rStyle w:val="None"/>
                <w:rFonts w:ascii="Palatino Linotype" w:hAnsi="Palatino Linotype"/>
                <w:color w:val="auto"/>
                <w:sz w:val="18"/>
                <w:szCs w:val="16"/>
                <w:lang w:val="en-GB"/>
              </w:rPr>
              <w:t xml:space="preserve"> [23]</w:t>
            </w:r>
          </w:p>
        </w:tc>
        <w:tc>
          <w:tcPr>
            <w:tcW w:w="393" w:type="pct"/>
            <w:shd w:val="clear" w:color="auto" w:fill="FFFFFF"/>
            <w:tcMar>
              <w:top w:w="80" w:type="dxa"/>
              <w:left w:w="80" w:type="dxa"/>
              <w:bottom w:w="80" w:type="dxa"/>
              <w:right w:w="80" w:type="dxa"/>
            </w:tcMar>
            <w:vAlign w:val="center"/>
          </w:tcPr>
          <w:p w14:paraId="42414CC8"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Tajikistan</w:t>
            </w:r>
          </w:p>
        </w:tc>
        <w:tc>
          <w:tcPr>
            <w:tcW w:w="442" w:type="pct"/>
            <w:shd w:val="clear" w:color="auto" w:fill="FFFFFF"/>
            <w:tcMar>
              <w:top w:w="80" w:type="dxa"/>
              <w:left w:w="80" w:type="dxa"/>
              <w:bottom w:w="80" w:type="dxa"/>
              <w:right w:w="80" w:type="dxa"/>
            </w:tcMar>
            <w:vAlign w:val="center"/>
          </w:tcPr>
          <w:p w14:paraId="5E2B5D8F" w14:textId="39A84C3C"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January 2013</w:t>
            </w:r>
            <w:r w:rsidR="00733890" w:rsidRPr="006F225A">
              <w:rPr>
                <w:rStyle w:val="None"/>
                <w:rFonts w:ascii="Palatino Linotype" w:hAnsi="Palatino Linotype"/>
                <w:color w:val="auto"/>
                <w:sz w:val="18"/>
                <w:szCs w:val="16"/>
                <w:lang w:val="en-GB"/>
              </w:rPr>
              <w:t>–</w:t>
            </w:r>
            <w:r w:rsidRPr="006F225A">
              <w:rPr>
                <w:rStyle w:val="None"/>
                <w:rFonts w:ascii="Palatino Linotype" w:hAnsi="Palatino Linotype"/>
                <w:color w:val="auto"/>
                <w:sz w:val="18"/>
                <w:szCs w:val="16"/>
                <w:lang w:val="en-GB"/>
              </w:rPr>
              <w:t>December 2014</w:t>
            </w:r>
          </w:p>
        </w:tc>
        <w:tc>
          <w:tcPr>
            <w:tcW w:w="441" w:type="pct"/>
            <w:shd w:val="clear" w:color="auto" w:fill="FFFFFF"/>
            <w:tcMar>
              <w:top w:w="80" w:type="dxa"/>
              <w:left w:w="80" w:type="dxa"/>
              <w:bottom w:w="80" w:type="dxa"/>
              <w:right w:w="80" w:type="dxa"/>
            </w:tcMar>
            <w:vAlign w:val="center"/>
          </w:tcPr>
          <w:p w14:paraId="40B12D09"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 xml:space="preserve">Hospital-based surveillance design </w:t>
            </w:r>
          </w:p>
        </w:tc>
        <w:tc>
          <w:tcPr>
            <w:tcW w:w="396" w:type="pct"/>
            <w:shd w:val="clear" w:color="auto" w:fill="FFFFFF"/>
            <w:tcMar>
              <w:top w:w="80" w:type="dxa"/>
              <w:left w:w="80" w:type="dxa"/>
              <w:bottom w:w="80" w:type="dxa"/>
              <w:right w:w="80" w:type="dxa"/>
            </w:tcMar>
            <w:vAlign w:val="center"/>
          </w:tcPr>
          <w:p w14:paraId="6819964C" w14:textId="77777777" w:rsidR="00D0052F" w:rsidRPr="006F225A" w:rsidRDefault="00D0052F" w:rsidP="0034123F">
            <w:pPr>
              <w:pStyle w:val="Default"/>
              <w:autoSpaceDE w:val="0"/>
              <w:autoSpaceDN w:val="0"/>
              <w:adjustRightInd w:val="0"/>
              <w:snapToGrid w:val="0"/>
              <w:spacing w:before="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2863</w:t>
            </w:r>
          </w:p>
        </w:tc>
        <w:tc>
          <w:tcPr>
            <w:tcW w:w="488" w:type="pct"/>
            <w:shd w:val="clear" w:color="auto" w:fill="FFFFFF"/>
            <w:tcMar>
              <w:top w:w="80" w:type="dxa"/>
              <w:left w:w="80" w:type="dxa"/>
              <w:bottom w:w="80" w:type="dxa"/>
              <w:right w:w="80" w:type="dxa"/>
            </w:tcMar>
            <w:vAlign w:val="center"/>
          </w:tcPr>
          <w:p w14:paraId="38A7CE42" w14:textId="43CCFE86" w:rsidR="00D0052F" w:rsidRPr="006F225A" w:rsidRDefault="0056360D"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shd w:val="clear" w:color="auto" w:fill="FFFFFF"/>
                <w:lang w:val="en-GB"/>
              </w:rPr>
              <w:t>0–59</w:t>
            </w:r>
            <w:r w:rsidR="00D0052F" w:rsidRPr="006F225A">
              <w:rPr>
                <w:rStyle w:val="None"/>
                <w:rFonts w:ascii="Palatino Linotype" w:hAnsi="Palatino Linotype"/>
                <w:color w:val="auto"/>
                <w:sz w:val="18"/>
                <w:szCs w:val="16"/>
                <w:shd w:val="clear" w:color="auto" w:fill="FFFFFF"/>
                <w:lang w:val="en-GB"/>
              </w:rPr>
              <w:t xml:space="preserve"> months </w:t>
            </w:r>
          </w:p>
        </w:tc>
        <w:tc>
          <w:tcPr>
            <w:tcW w:w="442" w:type="pct"/>
            <w:shd w:val="clear" w:color="auto" w:fill="FFFFFF"/>
            <w:tcMar>
              <w:top w:w="80" w:type="dxa"/>
              <w:left w:w="80" w:type="dxa"/>
              <w:bottom w:w="80" w:type="dxa"/>
              <w:right w:w="80" w:type="dxa"/>
            </w:tcMar>
            <w:vAlign w:val="center"/>
          </w:tcPr>
          <w:p w14:paraId="18A07BFE" w14:textId="77777777" w:rsidR="00D0052F" w:rsidRPr="006F225A" w:rsidRDefault="00D0052F" w:rsidP="0034123F">
            <w:pPr>
              <w:pStyle w:val="BodyD"/>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shd w:val="clear" w:color="auto" w:fill="FFFFFF"/>
                <w:lang w:val="en-GB"/>
              </w:rPr>
              <w:t>NR</w:t>
            </w:r>
          </w:p>
        </w:tc>
        <w:tc>
          <w:tcPr>
            <w:tcW w:w="579" w:type="pct"/>
            <w:shd w:val="clear" w:color="auto" w:fill="FFFFFF"/>
            <w:tcMar>
              <w:top w:w="80" w:type="dxa"/>
              <w:left w:w="80" w:type="dxa"/>
              <w:bottom w:w="80" w:type="dxa"/>
              <w:right w:w="80" w:type="dxa"/>
            </w:tcMar>
            <w:vAlign w:val="center"/>
          </w:tcPr>
          <w:p w14:paraId="5FC173B9" w14:textId="77777777" w:rsidR="00D0052F" w:rsidRPr="006F225A" w:rsidRDefault="00D0052F" w:rsidP="0034123F">
            <w:pPr>
              <w:pStyle w:val="BodyD"/>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shd w:val="clear" w:color="auto" w:fill="FFFFFF"/>
                <w:lang w:val="en-GB"/>
              </w:rPr>
              <w:t>NR</w:t>
            </w:r>
          </w:p>
        </w:tc>
        <w:tc>
          <w:tcPr>
            <w:tcW w:w="351" w:type="pct"/>
            <w:shd w:val="clear" w:color="auto" w:fill="FFFFFF"/>
            <w:tcMar>
              <w:top w:w="80" w:type="dxa"/>
              <w:left w:w="80" w:type="dxa"/>
              <w:bottom w:w="80" w:type="dxa"/>
              <w:right w:w="80" w:type="dxa"/>
            </w:tcMar>
            <w:vAlign w:val="center"/>
          </w:tcPr>
          <w:p w14:paraId="1B815FBE" w14:textId="77777777" w:rsidR="00D0052F" w:rsidRPr="006F225A" w:rsidRDefault="00D0052F" w:rsidP="0034123F">
            <w:pPr>
              <w:pStyle w:val="BodyD"/>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shd w:val="clear" w:color="auto" w:fill="FFFFFF"/>
                <w:lang w:val="en-GB"/>
              </w:rPr>
              <w:t>61</w:t>
            </w:r>
          </w:p>
        </w:tc>
        <w:tc>
          <w:tcPr>
            <w:tcW w:w="626" w:type="pct"/>
            <w:shd w:val="clear" w:color="auto" w:fill="FFFFFF"/>
            <w:tcMar>
              <w:top w:w="80" w:type="dxa"/>
              <w:left w:w="80" w:type="dxa"/>
              <w:bottom w:w="80" w:type="dxa"/>
              <w:right w:w="80" w:type="dxa"/>
            </w:tcMar>
            <w:vAlign w:val="center"/>
          </w:tcPr>
          <w:p w14:paraId="4D42C634"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Paediatric patients hospitalised with acute gastroenteritis and rotavirus</w:t>
            </w:r>
          </w:p>
        </w:tc>
        <w:tc>
          <w:tcPr>
            <w:tcW w:w="351" w:type="pct"/>
            <w:shd w:val="clear" w:color="auto" w:fill="FEFFFE"/>
            <w:tcMar>
              <w:top w:w="80" w:type="dxa"/>
              <w:left w:w="80" w:type="dxa"/>
              <w:bottom w:w="80" w:type="dxa"/>
              <w:right w:w="80" w:type="dxa"/>
            </w:tcMar>
            <w:vAlign w:val="center"/>
          </w:tcPr>
          <w:p w14:paraId="15BA8BFD" w14:textId="77777777" w:rsidR="00D0052F" w:rsidRPr="006F225A" w:rsidRDefault="00D0052F" w:rsidP="00A57945">
            <w:pPr>
              <w:pStyle w:val="BodyE"/>
              <w:autoSpaceDE w:val="0"/>
              <w:autoSpaceDN w:val="0"/>
              <w:adjustRightInd w:val="0"/>
              <w:snapToGrid w:val="0"/>
              <w:jc w:val="center"/>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 xml:space="preserve">Fair </w:t>
            </w:r>
          </w:p>
        </w:tc>
      </w:tr>
      <w:tr w:rsidR="009D7BC8" w:rsidRPr="006F225A" w14:paraId="09625C59" w14:textId="77777777" w:rsidTr="00A57945">
        <w:tblPrEx>
          <w:shd w:val="clear" w:color="auto" w:fill="CADFFF"/>
        </w:tblPrEx>
        <w:trPr>
          <w:jc w:val="center"/>
        </w:trPr>
        <w:tc>
          <w:tcPr>
            <w:tcW w:w="492" w:type="pct"/>
            <w:shd w:val="clear" w:color="auto" w:fill="FFFFFF"/>
            <w:tcMar>
              <w:top w:w="80" w:type="dxa"/>
              <w:left w:w="80" w:type="dxa"/>
              <w:bottom w:w="80" w:type="dxa"/>
              <w:right w:w="80" w:type="dxa"/>
            </w:tcMar>
            <w:vAlign w:val="center"/>
          </w:tcPr>
          <w:p w14:paraId="7F699689" w14:textId="77777777" w:rsidR="00D0052F" w:rsidRPr="006F225A" w:rsidRDefault="00D0052F" w:rsidP="0034123F">
            <w:pPr>
              <w:pStyle w:val="BodyC"/>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Oakley et al., 2016</w:t>
            </w:r>
            <w:r w:rsidR="003221F8" w:rsidRPr="006F225A">
              <w:rPr>
                <w:rStyle w:val="None"/>
                <w:rFonts w:ascii="Palatino Linotype" w:hAnsi="Palatino Linotype"/>
                <w:color w:val="auto"/>
                <w:sz w:val="18"/>
                <w:szCs w:val="16"/>
                <w:lang w:val="en-GB"/>
              </w:rPr>
              <w:t xml:space="preserve"> [34]</w:t>
            </w:r>
          </w:p>
        </w:tc>
        <w:tc>
          <w:tcPr>
            <w:tcW w:w="393" w:type="pct"/>
            <w:shd w:val="clear" w:color="auto" w:fill="FFFFFF"/>
            <w:tcMar>
              <w:top w:w="80" w:type="dxa"/>
              <w:left w:w="80" w:type="dxa"/>
              <w:bottom w:w="80" w:type="dxa"/>
              <w:right w:w="80" w:type="dxa"/>
            </w:tcMar>
            <w:vAlign w:val="center"/>
          </w:tcPr>
          <w:p w14:paraId="10C0FF02" w14:textId="77777777" w:rsidR="00D0052F" w:rsidRPr="006F225A" w:rsidRDefault="00D0052F" w:rsidP="0034123F">
            <w:pPr>
              <w:pStyle w:val="BodyC"/>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 xml:space="preserve">Australia </w:t>
            </w:r>
          </w:p>
        </w:tc>
        <w:tc>
          <w:tcPr>
            <w:tcW w:w="442" w:type="pct"/>
            <w:shd w:val="clear" w:color="auto" w:fill="FFFFFF"/>
            <w:tcMar>
              <w:top w:w="80" w:type="dxa"/>
              <w:left w:w="80" w:type="dxa"/>
              <w:bottom w:w="80" w:type="dxa"/>
              <w:right w:w="80" w:type="dxa"/>
            </w:tcMar>
            <w:vAlign w:val="center"/>
          </w:tcPr>
          <w:p w14:paraId="57039F4E" w14:textId="23998955" w:rsidR="00D0052F" w:rsidRPr="006F225A" w:rsidRDefault="006316F7" w:rsidP="0034123F">
            <w:pPr>
              <w:pStyle w:val="BodyC"/>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 xml:space="preserve">1 </w:t>
            </w:r>
            <w:r w:rsidR="00D0052F" w:rsidRPr="006F225A">
              <w:rPr>
                <w:rStyle w:val="None"/>
                <w:rFonts w:ascii="Palatino Linotype" w:hAnsi="Palatino Linotype"/>
                <w:color w:val="auto"/>
                <w:sz w:val="18"/>
                <w:szCs w:val="16"/>
                <w:lang w:val="en-GB"/>
              </w:rPr>
              <w:t xml:space="preserve">April to </w:t>
            </w:r>
            <w:r w:rsidRPr="006F225A">
              <w:rPr>
                <w:rStyle w:val="None"/>
                <w:rFonts w:ascii="Palatino Linotype" w:hAnsi="Palatino Linotype"/>
                <w:color w:val="auto"/>
                <w:sz w:val="18"/>
                <w:szCs w:val="16"/>
                <w:lang w:val="en-GB"/>
              </w:rPr>
              <w:t xml:space="preserve">31 </w:t>
            </w:r>
            <w:r w:rsidR="00D0052F" w:rsidRPr="006F225A">
              <w:rPr>
                <w:rStyle w:val="None"/>
                <w:rFonts w:ascii="Palatino Linotype" w:hAnsi="Palatino Linotype"/>
                <w:color w:val="auto"/>
                <w:sz w:val="18"/>
                <w:szCs w:val="16"/>
                <w:lang w:val="en-GB"/>
              </w:rPr>
              <w:t>October 2011 to 2013</w:t>
            </w:r>
          </w:p>
        </w:tc>
        <w:tc>
          <w:tcPr>
            <w:tcW w:w="441" w:type="pct"/>
            <w:shd w:val="clear" w:color="auto" w:fill="FFFFFF"/>
            <w:tcMar>
              <w:top w:w="80" w:type="dxa"/>
              <w:left w:w="80" w:type="dxa"/>
              <w:bottom w:w="80" w:type="dxa"/>
              <w:right w:w="80" w:type="dxa"/>
            </w:tcMar>
            <w:vAlign w:val="center"/>
          </w:tcPr>
          <w:p w14:paraId="41035A4A" w14:textId="77777777" w:rsidR="00D0052F" w:rsidRPr="006F225A" w:rsidRDefault="00D0052F" w:rsidP="0034123F">
            <w:pPr>
              <w:pStyle w:val="BodyC"/>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 xml:space="preserve">Retrospective cohort study </w:t>
            </w:r>
          </w:p>
        </w:tc>
        <w:tc>
          <w:tcPr>
            <w:tcW w:w="396" w:type="pct"/>
            <w:shd w:val="clear" w:color="auto" w:fill="FFFFFF"/>
            <w:tcMar>
              <w:top w:w="80" w:type="dxa"/>
              <w:left w:w="80" w:type="dxa"/>
              <w:bottom w:w="80" w:type="dxa"/>
              <w:right w:w="80" w:type="dxa"/>
            </w:tcMar>
            <w:vAlign w:val="center"/>
          </w:tcPr>
          <w:p w14:paraId="38AB9263" w14:textId="77777777" w:rsidR="00D0052F" w:rsidRPr="006F225A" w:rsidRDefault="00D0052F" w:rsidP="0034123F">
            <w:pPr>
              <w:pStyle w:val="BodyC"/>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491</w:t>
            </w:r>
          </w:p>
        </w:tc>
        <w:tc>
          <w:tcPr>
            <w:tcW w:w="488" w:type="pct"/>
            <w:shd w:val="clear" w:color="auto" w:fill="FFFFFF"/>
            <w:tcMar>
              <w:top w:w="80" w:type="dxa"/>
              <w:left w:w="80" w:type="dxa"/>
              <w:bottom w:w="80" w:type="dxa"/>
              <w:right w:w="80" w:type="dxa"/>
            </w:tcMar>
            <w:vAlign w:val="center"/>
          </w:tcPr>
          <w:p w14:paraId="291BC113" w14:textId="77777777" w:rsidR="00D0052F" w:rsidRPr="006F225A" w:rsidRDefault="00D0052F" w:rsidP="0034123F">
            <w:pPr>
              <w:pStyle w:val="BodyD"/>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NR</w:t>
            </w:r>
          </w:p>
        </w:tc>
        <w:tc>
          <w:tcPr>
            <w:tcW w:w="442" w:type="pct"/>
            <w:shd w:val="clear" w:color="auto" w:fill="FFFFFF"/>
            <w:tcMar>
              <w:top w:w="80" w:type="dxa"/>
              <w:left w:w="80" w:type="dxa"/>
              <w:bottom w:w="80" w:type="dxa"/>
              <w:right w:w="80" w:type="dxa"/>
            </w:tcMar>
            <w:vAlign w:val="center"/>
          </w:tcPr>
          <w:p w14:paraId="28CAB8F7" w14:textId="77777777" w:rsidR="00D0052F" w:rsidRPr="006F225A" w:rsidRDefault="00D0052F" w:rsidP="0034123F">
            <w:pPr>
              <w:pStyle w:val="BodyC"/>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 xml:space="preserve">5.1 (1.9) weeks </w:t>
            </w:r>
          </w:p>
        </w:tc>
        <w:tc>
          <w:tcPr>
            <w:tcW w:w="579" w:type="pct"/>
            <w:shd w:val="clear" w:color="auto" w:fill="FFFFFF"/>
            <w:tcMar>
              <w:top w:w="80" w:type="dxa"/>
              <w:left w:w="80" w:type="dxa"/>
              <w:bottom w:w="80" w:type="dxa"/>
              <w:right w:w="80" w:type="dxa"/>
            </w:tcMar>
            <w:vAlign w:val="center"/>
          </w:tcPr>
          <w:p w14:paraId="0426A504" w14:textId="77777777" w:rsidR="00D0052F" w:rsidRPr="006F225A" w:rsidRDefault="00D0052F" w:rsidP="0034123F">
            <w:pPr>
              <w:pStyle w:val="BodyD"/>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NR</w:t>
            </w:r>
          </w:p>
        </w:tc>
        <w:tc>
          <w:tcPr>
            <w:tcW w:w="351" w:type="pct"/>
            <w:shd w:val="clear" w:color="auto" w:fill="FFFFFF"/>
            <w:tcMar>
              <w:top w:w="80" w:type="dxa"/>
              <w:left w:w="80" w:type="dxa"/>
              <w:bottom w:w="80" w:type="dxa"/>
              <w:right w:w="80" w:type="dxa"/>
            </w:tcMar>
            <w:vAlign w:val="center"/>
          </w:tcPr>
          <w:p w14:paraId="5995304A" w14:textId="77777777" w:rsidR="00D0052F" w:rsidRPr="006F225A" w:rsidRDefault="00D0052F" w:rsidP="0034123F">
            <w:pPr>
              <w:pStyle w:val="BodyD"/>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56</w:t>
            </w:r>
          </w:p>
        </w:tc>
        <w:tc>
          <w:tcPr>
            <w:tcW w:w="626" w:type="pct"/>
            <w:shd w:val="clear" w:color="auto" w:fill="FFFFFF"/>
            <w:tcMar>
              <w:top w:w="80" w:type="dxa"/>
              <w:left w:w="80" w:type="dxa"/>
              <w:bottom w:w="80" w:type="dxa"/>
              <w:right w:w="80" w:type="dxa"/>
            </w:tcMar>
            <w:vAlign w:val="center"/>
          </w:tcPr>
          <w:p w14:paraId="4B6A7CAB"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 xml:space="preserve">Paediatric patients hospitalised with bronchiolitis </w:t>
            </w:r>
          </w:p>
        </w:tc>
        <w:tc>
          <w:tcPr>
            <w:tcW w:w="351" w:type="pct"/>
            <w:shd w:val="clear" w:color="auto" w:fill="FEFFFE"/>
            <w:tcMar>
              <w:top w:w="80" w:type="dxa"/>
              <w:left w:w="80" w:type="dxa"/>
              <w:bottom w:w="80" w:type="dxa"/>
              <w:right w:w="80" w:type="dxa"/>
            </w:tcMar>
            <w:vAlign w:val="center"/>
          </w:tcPr>
          <w:p w14:paraId="4F3D9AA4" w14:textId="77777777" w:rsidR="00D0052F" w:rsidRPr="006F225A" w:rsidRDefault="00D0052F" w:rsidP="00A57945">
            <w:pPr>
              <w:pStyle w:val="BodyE"/>
              <w:autoSpaceDE w:val="0"/>
              <w:autoSpaceDN w:val="0"/>
              <w:adjustRightInd w:val="0"/>
              <w:snapToGrid w:val="0"/>
              <w:jc w:val="center"/>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 xml:space="preserve">Fair </w:t>
            </w:r>
          </w:p>
        </w:tc>
      </w:tr>
      <w:tr w:rsidR="009D7BC8" w:rsidRPr="006F225A" w14:paraId="605D8A35" w14:textId="77777777" w:rsidTr="00A57945">
        <w:tblPrEx>
          <w:shd w:val="clear" w:color="auto" w:fill="CADFFF"/>
        </w:tblPrEx>
        <w:trPr>
          <w:jc w:val="center"/>
        </w:trPr>
        <w:tc>
          <w:tcPr>
            <w:tcW w:w="492" w:type="pct"/>
            <w:shd w:val="clear" w:color="auto" w:fill="FFFFFF"/>
            <w:tcMar>
              <w:top w:w="80" w:type="dxa"/>
              <w:left w:w="80" w:type="dxa"/>
              <w:bottom w:w="80" w:type="dxa"/>
              <w:right w:w="80" w:type="dxa"/>
            </w:tcMar>
            <w:vAlign w:val="center"/>
          </w:tcPr>
          <w:p w14:paraId="1D7D82D9"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Patwari et al., 1991</w:t>
            </w:r>
            <w:r w:rsidR="003221F8" w:rsidRPr="006F225A">
              <w:rPr>
                <w:rStyle w:val="None"/>
                <w:rFonts w:ascii="Palatino Linotype" w:hAnsi="Palatino Linotype"/>
                <w:color w:val="auto"/>
                <w:sz w:val="18"/>
                <w:szCs w:val="16"/>
                <w:lang w:val="en-GB"/>
              </w:rPr>
              <w:t xml:space="preserve"> [16]</w:t>
            </w:r>
          </w:p>
        </w:tc>
        <w:tc>
          <w:tcPr>
            <w:tcW w:w="393" w:type="pct"/>
            <w:shd w:val="clear" w:color="auto" w:fill="FFFFFF"/>
            <w:tcMar>
              <w:top w:w="80" w:type="dxa"/>
              <w:left w:w="80" w:type="dxa"/>
              <w:bottom w:w="80" w:type="dxa"/>
              <w:right w:w="80" w:type="dxa"/>
            </w:tcMar>
            <w:vAlign w:val="center"/>
          </w:tcPr>
          <w:p w14:paraId="7311815E"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India</w:t>
            </w:r>
          </w:p>
        </w:tc>
        <w:tc>
          <w:tcPr>
            <w:tcW w:w="442" w:type="pct"/>
            <w:shd w:val="clear" w:color="auto" w:fill="FFFFFF"/>
            <w:tcMar>
              <w:top w:w="80" w:type="dxa"/>
              <w:left w:w="80" w:type="dxa"/>
              <w:bottom w:w="80" w:type="dxa"/>
              <w:right w:w="80" w:type="dxa"/>
            </w:tcMar>
            <w:vAlign w:val="center"/>
          </w:tcPr>
          <w:p w14:paraId="019CD861" w14:textId="08816A59"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January 1989</w:t>
            </w:r>
            <w:r w:rsidR="00733890" w:rsidRPr="006F225A">
              <w:rPr>
                <w:rStyle w:val="None"/>
                <w:rFonts w:ascii="Palatino Linotype" w:hAnsi="Palatino Linotype"/>
                <w:color w:val="auto"/>
                <w:sz w:val="18"/>
                <w:szCs w:val="16"/>
                <w:lang w:val="en-GB"/>
              </w:rPr>
              <w:t>–</w:t>
            </w:r>
            <w:r w:rsidRPr="006F225A">
              <w:rPr>
                <w:rStyle w:val="None"/>
                <w:rFonts w:ascii="Palatino Linotype" w:hAnsi="Palatino Linotype"/>
                <w:color w:val="auto"/>
                <w:sz w:val="18"/>
                <w:szCs w:val="16"/>
                <w:lang w:val="en-GB"/>
              </w:rPr>
              <w:t>December 1989</w:t>
            </w:r>
          </w:p>
        </w:tc>
        <w:tc>
          <w:tcPr>
            <w:tcW w:w="441" w:type="pct"/>
            <w:shd w:val="clear" w:color="auto" w:fill="FFFFFF"/>
            <w:tcMar>
              <w:top w:w="80" w:type="dxa"/>
              <w:left w:w="80" w:type="dxa"/>
              <w:bottom w:w="80" w:type="dxa"/>
              <w:right w:w="80" w:type="dxa"/>
            </w:tcMar>
            <w:vAlign w:val="center"/>
          </w:tcPr>
          <w:p w14:paraId="7925C3FF"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 xml:space="preserve">Retrospective chart review </w:t>
            </w:r>
          </w:p>
        </w:tc>
        <w:tc>
          <w:tcPr>
            <w:tcW w:w="396" w:type="pct"/>
            <w:shd w:val="clear" w:color="auto" w:fill="FFFFFF"/>
            <w:tcMar>
              <w:top w:w="80" w:type="dxa"/>
              <w:left w:w="80" w:type="dxa"/>
              <w:bottom w:w="80" w:type="dxa"/>
              <w:right w:w="80" w:type="dxa"/>
            </w:tcMar>
            <w:vAlign w:val="center"/>
          </w:tcPr>
          <w:p w14:paraId="38DD07C6"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5,996</w:t>
            </w:r>
          </w:p>
        </w:tc>
        <w:tc>
          <w:tcPr>
            <w:tcW w:w="488" w:type="pct"/>
            <w:shd w:val="clear" w:color="auto" w:fill="FFFFFF"/>
            <w:tcMar>
              <w:top w:w="80" w:type="dxa"/>
              <w:left w:w="80" w:type="dxa"/>
              <w:bottom w:w="80" w:type="dxa"/>
              <w:right w:w="80" w:type="dxa"/>
            </w:tcMar>
            <w:vAlign w:val="center"/>
          </w:tcPr>
          <w:p w14:paraId="127FF8CB" w14:textId="7DBD90F2" w:rsidR="00D0052F" w:rsidRPr="006F225A" w:rsidRDefault="0056360D" w:rsidP="0034123F">
            <w:pPr>
              <w:pStyle w:val="BodyC"/>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0–5</w:t>
            </w:r>
            <w:r w:rsidR="00D0052F" w:rsidRPr="006F225A">
              <w:rPr>
                <w:rStyle w:val="None"/>
                <w:rFonts w:ascii="Palatino Linotype" w:hAnsi="Palatino Linotype"/>
                <w:color w:val="auto"/>
                <w:sz w:val="18"/>
                <w:szCs w:val="16"/>
                <w:lang w:val="en-GB"/>
              </w:rPr>
              <w:t xml:space="preserve"> years </w:t>
            </w:r>
          </w:p>
        </w:tc>
        <w:tc>
          <w:tcPr>
            <w:tcW w:w="442" w:type="pct"/>
            <w:shd w:val="clear" w:color="auto" w:fill="FFFFFF"/>
            <w:tcMar>
              <w:top w:w="80" w:type="dxa"/>
              <w:left w:w="80" w:type="dxa"/>
              <w:bottom w:w="80" w:type="dxa"/>
              <w:right w:w="80" w:type="dxa"/>
            </w:tcMar>
            <w:vAlign w:val="center"/>
          </w:tcPr>
          <w:p w14:paraId="5278509F" w14:textId="77777777" w:rsidR="00D0052F" w:rsidRPr="006F225A" w:rsidRDefault="00D0052F" w:rsidP="0034123F">
            <w:pPr>
              <w:pStyle w:val="BodyD"/>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NR</w:t>
            </w:r>
          </w:p>
        </w:tc>
        <w:tc>
          <w:tcPr>
            <w:tcW w:w="579" w:type="pct"/>
            <w:shd w:val="clear" w:color="auto" w:fill="FFFFFF"/>
            <w:tcMar>
              <w:top w:w="80" w:type="dxa"/>
              <w:left w:w="80" w:type="dxa"/>
              <w:bottom w:w="80" w:type="dxa"/>
              <w:right w:w="80" w:type="dxa"/>
            </w:tcMar>
            <w:vAlign w:val="center"/>
          </w:tcPr>
          <w:p w14:paraId="6CB9CB89" w14:textId="77777777" w:rsidR="00D0052F" w:rsidRPr="006F225A" w:rsidRDefault="00D0052F" w:rsidP="0034123F">
            <w:pPr>
              <w:pStyle w:val="BodyD"/>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NR</w:t>
            </w:r>
          </w:p>
        </w:tc>
        <w:tc>
          <w:tcPr>
            <w:tcW w:w="351" w:type="pct"/>
            <w:shd w:val="clear" w:color="auto" w:fill="FFFFFF"/>
            <w:tcMar>
              <w:top w:w="80" w:type="dxa"/>
              <w:left w:w="80" w:type="dxa"/>
              <w:bottom w:w="80" w:type="dxa"/>
              <w:right w:w="80" w:type="dxa"/>
            </w:tcMar>
            <w:vAlign w:val="center"/>
          </w:tcPr>
          <w:p w14:paraId="2EC23690" w14:textId="77777777" w:rsidR="00D0052F" w:rsidRPr="006F225A" w:rsidRDefault="00D0052F" w:rsidP="0034123F">
            <w:pPr>
              <w:pStyle w:val="BodyD"/>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64.9</w:t>
            </w:r>
          </w:p>
        </w:tc>
        <w:tc>
          <w:tcPr>
            <w:tcW w:w="626" w:type="pct"/>
            <w:shd w:val="clear" w:color="auto" w:fill="FFFFFF"/>
            <w:tcMar>
              <w:top w:w="80" w:type="dxa"/>
              <w:left w:w="80" w:type="dxa"/>
              <w:bottom w:w="80" w:type="dxa"/>
              <w:right w:w="80" w:type="dxa"/>
            </w:tcMar>
            <w:vAlign w:val="center"/>
          </w:tcPr>
          <w:p w14:paraId="6BB40C73"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Paediatric patients who attended hospital with diarrhoea</w:t>
            </w:r>
          </w:p>
        </w:tc>
        <w:tc>
          <w:tcPr>
            <w:tcW w:w="351" w:type="pct"/>
            <w:shd w:val="clear" w:color="auto" w:fill="FEFFFE"/>
            <w:tcMar>
              <w:top w:w="80" w:type="dxa"/>
              <w:left w:w="80" w:type="dxa"/>
              <w:bottom w:w="80" w:type="dxa"/>
              <w:right w:w="80" w:type="dxa"/>
            </w:tcMar>
            <w:vAlign w:val="center"/>
          </w:tcPr>
          <w:p w14:paraId="754E8552" w14:textId="77777777" w:rsidR="00D0052F" w:rsidRPr="006F225A" w:rsidRDefault="00D0052F" w:rsidP="00A57945">
            <w:pPr>
              <w:pStyle w:val="BodyE"/>
              <w:autoSpaceDE w:val="0"/>
              <w:autoSpaceDN w:val="0"/>
              <w:adjustRightInd w:val="0"/>
              <w:snapToGrid w:val="0"/>
              <w:jc w:val="center"/>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 xml:space="preserve">Fair </w:t>
            </w:r>
          </w:p>
        </w:tc>
      </w:tr>
      <w:tr w:rsidR="009D7BC8" w:rsidRPr="006F225A" w14:paraId="21E47D45" w14:textId="77777777" w:rsidTr="00A57945">
        <w:tblPrEx>
          <w:shd w:val="clear" w:color="auto" w:fill="CADFFF"/>
        </w:tblPrEx>
        <w:trPr>
          <w:jc w:val="center"/>
        </w:trPr>
        <w:tc>
          <w:tcPr>
            <w:tcW w:w="492" w:type="pct"/>
            <w:shd w:val="clear" w:color="auto" w:fill="FFFFFF"/>
            <w:tcMar>
              <w:top w:w="80" w:type="dxa"/>
              <w:left w:w="80" w:type="dxa"/>
              <w:bottom w:w="80" w:type="dxa"/>
              <w:right w:w="80" w:type="dxa"/>
            </w:tcMar>
            <w:vAlign w:val="center"/>
          </w:tcPr>
          <w:p w14:paraId="7F8BF0FC"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shd w:val="clear" w:color="auto" w:fill="FFFFFF"/>
                <w:lang w:val="en-GB"/>
              </w:rPr>
              <w:t>Perl et al., 2011</w:t>
            </w:r>
            <w:r w:rsidR="003221F8" w:rsidRPr="006F225A">
              <w:rPr>
                <w:rStyle w:val="None"/>
                <w:rFonts w:ascii="Palatino Linotype" w:hAnsi="Palatino Linotype"/>
                <w:color w:val="auto"/>
                <w:sz w:val="18"/>
                <w:szCs w:val="16"/>
                <w:shd w:val="clear" w:color="auto" w:fill="FFFFFF"/>
                <w:lang w:val="en-GB"/>
              </w:rPr>
              <w:t xml:space="preserve"> [24]</w:t>
            </w:r>
          </w:p>
        </w:tc>
        <w:tc>
          <w:tcPr>
            <w:tcW w:w="393" w:type="pct"/>
            <w:shd w:val="clear" w:color="auto" w:fill="FFFFFF"/>
            <w:tcMar>
              <w:top w:w="80" w:type="dxa"/>
              <w:left w:w="80" w:type="dxa"/>
              <w:bottom w:w="80" w:type="dxa"/>
              <w:right w:w="80" w:type="dxa"/>
            </w:tcMar>
            <w:vAlign w:val="center"/>
          </w:tcPr>
          <w:p w14:paraId="36A8FCAB"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shd w:val="clear" w:color="auto" w:fill="FFFFFF"/>
                <w:lang w:val="en-GB"/>
              </w:rPr>
              <w:t xml:space="preserve">Israel </w:t>
            </w:r>
          </w:p>
        </w:tc>
        <w:tc>
          <w:tcPr>
            <w:tcW w:w="442" w:type="pct"/>
            <w:shd w:val="clear" w:color="auto" w:fill="FFFFFF"/>
            <w:tcMar>
              <w:top w:w="80" w:type="dxa"/>
              <w:left w:w="80" w:type="dxa"/>
              <w:bottom w:w="80" w:type="dxa"/>
              <w:right w:w="80" w:type="dxa"/>
            </w:tcMar>
            <w:vAlign w:val="center"/>
          </w:tcPr>
          <w:p w14:paraId="0BF1EF2F" w14:textId="4291F654" w:rsidR="00D0052F" w:rsidRPr="006F225A" w:rsidRDefault="006316F7"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shd w:val="clear" w:color="auto" w:fill="FFFFFF"/>
                <w:lang w:val="en-GB"/>
              </w:rPr>
              <w:t xml:space="preserve">1 </w:t>
            </w:r>
            <w:r w:rsidR="00D0052F" w:rsidRPr="006F225A">
              <w:rPr>
                <w:rStyle w:val="None"/>
                <w:rFonts w:ascii="Palatino Linotype" w:hAnsi="Palatino Linotype"/>
                <w:color w:val="auto"/>
                <w:sz w:val="18"/>
                <w:szCs w:val="16"/>
                <w:shd w:val="clear" w:color="auto" w:fill="FFFFFF"/>
                <w:lang w:val="en-GB"/>
              </w:rPr>
              <w:t>April 2004</w:t>
            </w:r>
            <w:r w:rsidR="00733890" w:rsidRPr="006F225A">
              <w:rPr>
                <w:rStyle w:val="None"/>
                <w:rFonts w:ascii="Palatino Linotype" w:hAnsi="Palatino Linotype"/>
                <w:color w:val="auto"/>
                <w:sz w:val="18"/>
                <w:szCs w:val="16"/>
                <w:shd w:val="clear" w:color="auto" w:fill="FFFFFF"/>
                <w:lang w:val="en-GB"/>
              </w:rPr>
              <w:t>–</w:t>
            </w:r>
            <w:r w:rsidRPr="006F225A">
              <w:rPr>
                <w:rStyle w:val="None"/>
                <w:rFonts w:ascii="Palatino Linotype" w:hAnsi="Palatino Linotype"/>
                <w:color w:val="auto"/>
                <w:sz w:val="18"/>
                <w:szCs w:val="16"/>
                <w:shd w:val="clear" w:color="auto" w:fill="FFFFFF"/>
                <w:lang w:val="en-GB"/>
              </w:rPr>
              <w:t xml:space="preserve">31 </w:t>
            </w:r>
            <w:r w:rsidR="00D0052F" w:rsidRPr="006F225A">
              <w:rPr>
                <w:rStyle w:val="None"/>
                <w:rFonts w:ascii="Palatino Linotype" w:hAnsi="Palatino Linotype"/>
                <w:color w:val="auto"/>
                <w:sz w:val="18"/>
                <w:szCs w:val="16"/>
                <w:shd w:val="clear" w:color="auto" w:fill="FFFFFF"/>
                <w:lang w:val="en-GB"/>
              </w:rPr>
              <w:t xml:space="preserve">March 2006 </w:t>
            </w:r>
          </w:p>
        </w:tc>
        <w:tc>
          <w:tcPr>
            <w:tcW w:w="441" w:type="pct"/>
            <w:shd w:val="clear" w:color="auto" w:fill="FFFFFF"/>
            <w:tcMar>
              <w:top w:w="80" w:type="dxa"/>
              <w:left w:w="80" w:type="dxa"/>
              <w:bottom w:w="80" w:type="dxa"/>
              <w:right w:w="80" w:type="dxa"/>
            </w:tcMar>
            <w:vAlign w:val="center"/>
          </w:tcPr>
          <w:p w14:paraId="5B71A75A"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shd w:val="clear" w:color="auto" w:fill="FFFFFF"/>
                <w:lang w:val="en-GB"/>
              </w:rPr>
              <w:t xml:space="preserve">Retrospective chart review </w:t>
            </w:r>
          </w:p>
        </w:tc>
        <w:tc>
          <w:tcPr>
            <w:tcW w:w="396" w:type="pct"/>
            <w:shd w:val="clear" w:color="auto" w:fill="FFFFFF"/>
            <w:tcMar>
              <w:top w:w="80" w:type="dxa"/>
              <w:left w:w="80" w:type="dxa"/>
              <w:bottom w:w="80" w:type="dxa"/>
              <w:right w:w="80" w:type="dxa"/>
            </w:tcMar>
            <w:vAlign w:val="center"/>
          </w:tcPr>
          <w:p w14:paraId="322E1A43"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shd w:val="clear" w:color="auto" w:fill="FFFFFF"/>
                <w:lang w:val="en-GB"/>
              </w:rPr>
              <w:t>533</w:t>
            </w:r>
          </w:p>
        </w:tc>
        <w:tc>
          <w:tcPr>
            <w:tcW w:w="488" w:type="pct"/>
            <w:shd w:val="clear" w:color="auto" w:fill="FFFFFF"/>
            <w:tcMar>
              <w:top w:w="80" w:type="dxa"/>
              <w:left w:w="80" w:type="dxa"/>
              <w:bottom w:w="80" w:type="dxa"/>
              <w:right w:w="80" w:type="dxa"/>
            </w:tcMar>
            <w:vAlign w:val="center"/>
          </w:tcPr>
          <w:p w14:paraId="2DB24BC4" w14:textId="77777777" w:rsidR="00D0052F" w:rsidRPr="006F225A" w:rsidRDefault="00D0052F" w:rsidP="0034123F">
            <w:pPr>
              <w:pStyle w:val="BodyD"/>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NR</w:t>
            </w:r>
          </w:p>
        </w:tc>
        <w:tc>
          <w:tcPr>
            <w:tcW w:w="442" w:type="pct"/>
            <w:shd w:val="clear" w:color="auto" w:fill="FFFFFF"/>
            <w:tcMar>
              <w:top w:w="80" w:type="dxa"/>
              <w:left w:w="80" w:type="dxa"/>
              <w:bottom w:w="80" w:type="dxa"/>
              <w:right w:w="80" w:type="dxa"/>
            </w:tcMar>
            <w:vAlign w:val="center"/>
          </w:tcPr>
          <w:p w14:paraId="2C11665C"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shd w:val="clear" w:color="auto" w:fill="FFFFFF"/>
                <w:lang w:val="en-GB"/>
              </w:rPr>
              <w:t xml:space="preserve">21.7 (31) months </w:t>
            </w:r>
          </w:p>
        </w:tc>
        <w:tc>
          <w:tcPr>
            <w:tcW w:w="579" w:type="pct"/>
            <w:shd w:val="clear" w:color="auto" w:fill="FFFFFF"/>
            <w:tcMar>
              <w:top w:w="80" w:type="dxa"/>
              <w:left w:w="80" w:type="dxa"/>
              <w:bottom w:w="80" w:type="dxa"/>
              <w:right w:w="80" w:type="dxa"/>
            </w:tcMar>
            <w:vAlign w:val="center"/>
          </w:tcPr>
          <w:p w14:paraId="3290AE31" w14:textId="77777777" w:rsidR="00D0052F" w:rsidRPr="006F225A" w:rsidRDefault="00D0052F" w:rsidP="0034123F">
            <w:pPr>
              <w:pStyle w:val="BodyD"/>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13 months</w:t>
            </w:r>
          </w:p>
        </w:tc>
        <w:tc>
          <w:tcPr>
            <w:tcW w:w="351" w:type="pct"/>
            <w:shd w:val="clear" w:color="auto" w:fill="FFFFFF"/>
            <w:tcMar>
              <w:top w:w="80" w:type="dxa"/>
              <w:left w:w="80" w:type="dxa"/>
              <w:bottom w:w="80" w:type="dxa"/>
              <w:right w:w="80" w:type="dxa"/>
            </w:tcMar>
            <w:vAlign w:val="center"/>
          </w:tcPr>
          <w:p w14:paraId="73774E50" w14:textId="77777777" w:rsidR="00D0052F" w:rsidRPr="006F225A" w:rsidRDefault="00D0052F" w:rsidP="0034123F">
            <w:pPr>
              <w:pStyle w:val="BodyD"/>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56.5</w:t>
            </w:r>
          </w:p>
        </w:tc>
        <w:tc>
          <w:tcPr>
            <w:tcW w:w="626" w:type="pct"/>
            <w:shd w:val="clear" w:color="auto" w:fill="FFFFFF"/>
            <w:tcMar>
              <w:top w:w="80" w:type="dxa"/>
              <w:left w:w="80" w:type="dxa"/>
              <w:bottom w:w="80" w:type="dxa"/>
              <w:right w:w="80" w:type="dxa"/>
            </w:tcMar>
            <w:vAlign w:val="center"/>
          </w:tcPr>
          <w:p w14:paraId="43043BF6" w14:textId="5604BB43"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Paediatric patients</w:t>
            </w:r>
            <w:r w:rsidRPr="006F225A">
              <w:rPr>
                <w:rStyle w:val="None"/>
                <w:rFonts w:ascii="Palatino Linotype" w:hAnsi="Palatino Linotype"/>
                <w:color w:val="auto"/>
                <w:sz w:val="18"/>
                <w:szCs w:val="16"/>
                <w:shd w:val="clear" w:color="auto" w:fill="FFFFFF"/>
                <w:lang w:val="en-GB"/>
              </w:rPr>
              <w:t xml:space="preserve"> hospitalised with acute gastroenteritis, rotavirus gastroenteritis, and diarrhoea and vomiting</w:t>
            </w:r>
          </w:p>
        </w:tc>
        <w:tc>
          <w:tcPr>
            <w:tcW w:w="351" w:type="pct"/>
            <w:shd w:val="clear" w:color="auto" w:fill="FEFFFE"/>
            <w:tcMar>
              <w:top w:w="80" w:type="dxa"/>
              <w:left w:w="80" w:type="dxa"/>
              <w:bottom w:w="80" w:type="dxa"/>
              <w:right w:w="80" w:type="dxa"/>
            </w:tcMar>
            <w:vAlign w:val="center"/>
          </w:tcPr>
          <w:p w14:paraId="147D3199" w14:textId="77777777" w:rsidR="00D0052F" w:rsidRPr="006F225A" w:rsidRDefault="00D0052F" w:rsidP="00A57945">
            <w:pPr>
              <w:pStyle w:val="BodyE"/>
              <w:autoSpaceDE w:val="0"/>
              <w:autoSpaceDN w:val="0"/>
              <w:adjustRightInd w:val="0"/>
              <w:snapToGrid w:val="0"/>
              <w:jc w:val="center"/>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Good</w:t>
            </w:r>
          </w:p>
        </w:tc>
      </w:tr>
      <w:tr w:rsidR="009D7BC8" w:rsidRPr="006F225A" w14:paraId="7AC7014A" w14:textId="77777777" w:rsidTr="00A57945">
        <w:tblPrEx>
          <w:shd w:val="clear" w:color="auto" w:fill="CADFFF"/>
        </w:tblPrEx>
        <w:trPr>
          <w:jc w:val="center"/>
        </w:trPr>
        <w:tc>
          <w:tcPr>
            <w:tcW w:w="492" w:type="pct"/>
            <w:shd w:val="clear" w:color="auto" w:fill="FFFFFF"/>
            <w:tcMar>
              <w:top w:w="80" w:type="dxa"/>
              <w:left w:w="80" w:type="dxa"/>
              <w:bottom w:w="80" w:type="dxa"/>
              <w:right w:w="80" w:type="dxa"/>
            </w:tcMar>
            <w:vAlign w:val="center"/>
          </w:tcPr>
          <w:p w14:paraId="55A68CDE"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shd w:val="clear" w:color="auto" w:fill="FFFFFF"/>
                <w:lang w:val="en-GB"/>
              </w:rPr>
              <w:t>Redondo-Gonzalez et al., 2016</w:t>
            </w:r>
            <w:r w:rsidR="003221F8" w:rsidRPr="006F225A">
              <w:rPr>
                <w:rStyle w:val="None"/>
                <w:rFonts w:ascii="Palatino Linotype" w:hAnsi="Palatino Linotype"/>
                <w:color w:val="auto"/>
                <w:sz w:val="18"/>
                <w:szCs w:val="16"/>
                <w:shd w:val="clear" w:color="auto" w:fill="FFFFFF"/>
                <w:lang w:val="en-GB"/>
              </w:rPr>
              <w:t xml:space="preserve"> [25]</w:t>
            </w:r>
          </w:p>
        </w:tc>
        <w:tc>
          <w:tcPr>
            <w:tcW w:w="393" w:type="pct"/>
            <w:shd w:val="clear" w:color="auto" w:fill="FFFFFF"/>
            <w:tcMar>
              <w:top w:w="80" w:type="dxa"/>
              <w:left w:w="80" w:type="dxa"/>
              <w:bottom w:w="80" w:type="dxa"/>
              <w:right w:w="80" w:type="dxa"/>
            </w:tcMar>
            <w:vAlign w:val="center"/>
          </w:tcPr>
          <w:p w14:paraId="71770174"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shd w:val="clear" w:color="auto" w:fill="FFFFFF"/>
                <w:lang w:val="en-GB"/>
              </w:rPr>
              <w:t xml:space="preserve">Spain </w:t>
            </w:r>
          </w:p>
        </w:tc>
        <w:tc>
          <w:tcPr>
            <w:tcW w:w="442" w:type="pct"/>
            <w:shd w:val="clear" w:color="auto" w:fill="FFFFFF"/>
            <w:tcMar>
              <w:top w:w="80" w:type="dxa"/>
              <w:left w:w="80" w:type="dxa"/>
              <w:bottom w:w="80" w:type="dxa"/>
              <w:right w:w="80" w:type="dxa"/>
            </w:tcMar>
            <w:vAlign w:val="center"/>
          </w:tcPr>
          <w:p w14:paraId="7D7FB30D" w14:textId="5E8128E3" w:rsidR="00D0052F" w:rsidRPr="006F225A" w:rsidRDefault="006316F7"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shd w:val="clear" w:color="auto" w:fill="FFFFFF"/>
                <w:lang w:val="en-GB"/>
              </w:rPr>
              <w:t xml:space="preserve">1 </w:t>
            </w:r>
            <w:r w:rsidR="00D0052F" w:rsidRPr="006F225A">
              <w:rPr>
                <w:rStyle w:val="None"/>
                <w:rFonts w:ascii="Palatino Linotype" w:hAnsi="Palatino Linotype"/>
                <w:color w:val="auto"/>
                <w:sz w:val="18"/>
                <w:szCs w:val="16"/>
                <w:shd w:val="clear" w:color="auto" w:fill="FFFFFF"/>
                <w:lang w:val="en-GB"/>
              </w:rPr>
              <w:t>January 2003</w:t>
            </w:r>
            <w:r w:rsidR="00733890" w:rsidRPr="006F225A">
              <w:rPr>
                <w:rStyle w:val="None"/>
                <w:rFonts w:ascii="Palatino Linotype" w:hAnsi="Palatino Linotype"/>
                <w:color w:val="auto"/>
                <w:sz w:val="18"/>
                <w:szCs w:val="16"/>
                <w:shd w:val="clear" w:color="auto" w:fill="FFFFFF"/>
                <w:lang w:val="en-GB"/>
              </w:rPr>
              <w:t>–</w:t>
            </w:r>
            <w:r w:rsidRPr="006F225A">
              <w:rPr>
                <w:rStyle w:val="None"/>
                <w:rFonts w:ascii="Palatino Linotype" w:hAnsi="Palatino Linotype"/>
                <w:color w:val="auto"/>
                <w:sz w:val="18"/>
                <w:szCs w:val="16"/>
                <w:shd w:val="clear" w:color="auto" w:fill="FFFFFF"/>
                <w:lang w:val="en-GB"/>
              </w:rPr>
              <w:t xml:space="preserve">31 </w:t>
            </w:r>
            <w:r w:rsidR="00D0052F" w:rsidRPr="006F225A">
              <w:rPr>
                <w:rStyle w:val="None"/>
                <w:rFonts w:ascii="Palatino Linotype" w:hAnsi="Palatino Linotype"/>
                <w:color w:val="auto"/>
                <w:sz w:val="18"/>
                <w:szCs w:val="16"/>
                <w:shd w:val="clear" w:color="auto" w:fill="FFFFFF"/>
                <w:lang w:val="en-GB"/>
              </w:rPr>
              <w:t>December 2009</w:t>
            </w:r>
          </w:p>
        </w:tc>
        <w:tc>
          <w:tcPr>
            <w:tcW w:w="441" w:type="pct"/>
            <w:shd w:val="clear" w:color="auto" w:fill="FFFFFF"/>
            <w:tcMar>
              <w:top w:w="80" w:type="dxa"/>
              <w:left w:w="80" w:type="dxa"/>
              <w:bottom w:w="80" w:type="dxa"/>
              <w:right w:w="80" w:type="dxa"/>
            </w:tcMar>
            <w:vAlign w:val="center"/>
          </w:tcPr>
          <w:p w14:paraId="2704F9ED"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shd w:val="clear" w:color="auto" w:fill="FFFFFF"/>
                <w:lang w:val="en-GB"/>
              </w:rPr>
              <w:t xml:space="preserve">Retrospective cohort study </w:t>
            </w:r>
          </w:p>
        </w:tc>
        <w:tc>
          <w:tcPr>
            <w:tcW w:w="396" w:type="pct"/>
            <w:shd w:val="clear" w:color="auto" w:fill="FFFFFF"/>
            <w:tcMar>
              <w:top w:w="80" w:type="dxa"/>
              <w:left w:w="80" w:type="dxa"/>
              <w:bottom w:w="80" w:type="dxa"/>
              <w:right w:w="80" w:type="dxa"/>
            </w:tcMar>
            <w:vAlign w:val="center"/>
          </w:tcPr>
          <w:p w14:paraId="04F4CAD9"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shd w:val="clear" w:color="auto" w:fill="FFFFFF"/>
                <w:lang w:val="en-GB"/>
              </w:rPr>
              <w:t>17,415</w:t>
            </w:r>
          </w:p>
        </w:tc>
        <w:tc>
          <w:tcPr>
            <w:tcW w:w="488" w:type="pct"/>
            <w:shd w:val="clear" w:color="auto" w:fill="FFFFFF"/>
            <w:tcMar>
              <w:top w:w="80" w:type="dxa"/>
              <w:left w:w="80" w:type="dxa"/>
              <w:bottom w:w="80" w:type="dxa"/>
              <w:right w:w="80" w:type="dxa"/>
            </w:tcMar>
            <w:vAlign w:val="center"/>
          </w:tcPr>
          <w:p w14:paraId="3E16A0D4" w14:textId="7D6DFCA3"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shd w:val="clear" w:color="auto" w:fill="FFFFFF"/>
                <w:lang w:val="en-GB"/>
              </w:rPr>
              <w:t>7 months</w:t>
            </w:r>
            <w:r w:rsidR="00733890" w:rsidRPr="006F225A">
              <w:rPr>
                <w:rStyle w:val="None"/>
                <w:rFonts w:ascii="Palatino Linotype" w:hAnsi="Palatino Linotype"/>
                <w:color w:val="auto"/>
                <w:sz w:val="18"/>
                <w:szCs w:val="16"/>
                <w:shd w:val="clear" w:color="auto" w:fill="FFFFFF"/>
                <w:lang w:val="en-GB"/>
              </w:rPr>
              <w:t>–</w:t>
            </w:r>
            <w:r w:rsidRPr="006F225A">
              <w:rPr>
                <w:rStyle w:val="None"/>
                <w:rFonts w:ascii="Palatino Linotype" w:hAnsi="Palatino Linotype"/>
                <w:color w:val="auto"/>
                <w:sz w:val="18"/>
                <w:szCs w:val="16"/>
                <w:shd w:val="clear" w:color="auto" w:fill="FFFFFF"/>
                <w:lang w:val="en-GB"/>
              </w:rPr>
              <w:t>≥14 years</w:t>
            </w:r>
          </w:p>
        </w:tc>
        <w:tc>
          <w:tcPr>
            <w:tcW w:w="442" w:type="pct"/>
            <w:shd w:val="clear" w:color="auto" w:fill="FFFFFF"/>
            <w:tcMar>
              <w:top w:w="80" w:type="dxa"/>
              <w:left w:w="80" w:type="dxa"/>
              <w:bottom w:w="80" w:type="dxa"/>
              <w:right w:w="80" w:type="dxa"/>
            </w:tcMar>
            <w:vAlign w:val="center"/>
          </w:tcPr>
          <w:p w14:paraId="0524AF20" w14:textId="77777777" w:rsidR="00D0052F" w:rsidRPr="006F225A" w:rsidRDefault="00D0052F" w:rsidP="0034123F">
            <w:pPr>
              <w:pStyle w:val="BodyD"/>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NR</w:t>
            </w:r>
          </w:p>
        </w:tc>
        <w:tc>
          <w:tcPr>
            <w:tcW w:w="579" w:type="pct"/>
            <w:shd w:val="clear" w:color="auto" w:fill="FFFFFF"/>
            <w:tcMar>
              <w:top w:w="80" w:type="dxa"/>
              <w:left w:w="80" w:type="dxa"/>
              <w:bottom w:w="80" w:type="dxa"/>
              <w:right w:w="80" w:type="dxa"/>
            </w:tcMar>
            <w:vAlign w:val="center"/>
          </w:tcPr>
          <w:p w14:paraId="6B5F0463" w14:textId="77777777" w:rsidR="00D0052F" w:rsidRPr="006F225A" w:rsidRDefault="00D0052F" w:rsidP="0034123F">
            <w:pPr>
              <w:pStyle w:val="BodyD"/>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NR</w:t>
            </w:r>
          </w:p>
        </w:tc>
        <w:tc>
          <w:tcPr>
            <w:tcW w:w="351" w:type="pct"/>
            <w:shd w:val="clear" w:color="auto" w:fill="FFFFFF"/>
            <w:tcMar>
              <w:top w:w="80" w:type="dxa"/>
              <w:left w:w="80" w:type="dxa"/>
              <w:bottom w:w="80" w:type="dxa"/>
              <w:right w:w="80" w:type="dxa"/>
            </w:tcMar>
            <w:vAlign w:val="center"/>
          </w:tcPr>
          <w:p w14:paraId="373838C9" w14:textId="77777777" w:rsidR="00D0052F" w:rsidRPr="006F225A" w:rsidRDefault="00D0052F" w:rsidP="0034123F">
            <w:pPr>
              <w:pStyle w:val="BodyD"/>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 xml:space="preserve">53.4 </w:t>
            </w:r>
          </w:p>
        </w:tc>
        <w:tc>
          <w:tcPr>
            <w:tcW w:w="626" w:type="pct"/>
            <w:shd w:val="clear" w:color="auto" w:fill="FFFFFF"/>
            <w:tcMar>
              <w:top w:w="80" w:type="dxa"/>
              <w:left w:w="80" w:type="dxa"/>
              <w:bottom w:w="80" w:type="dxa"/>
              <w:right w:w="80" w:type="dxa"/>
            </w:tcMar>
            <w:vAlign w:val="center"/>
          </w:tcPr>
          <w:p w14:paraId="02E74360" w14:textId="77777777" w:rsidR="00D0052F" w:rsidRPr="006F225A" w:rsidRDefault="00D0052F" w:rsidP="0034123F">
            <w:pPr>
              <w:pStyle w:val="BodyC"/>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 xml:space="preserve">Paediatric patients hospitalised with acute gastroenteritis </w:t>
            </w:r>
          </w:p>
        </w:tc>
        <w:tc>
          <w:tcPr>
            <w:tcW w:w="351" w:type="pct"/>
            <w:shd w:val="clear" w:color="auto" w:fill="FEFFFE"/>
            <w:tcMar>
              <w:top w:w="80" w:type="dxa"/>
              <w:left w:w="80" w:type="dxa"/>
              <w:bottom w:w="80" w:type="dxa"/>
              <w:right w:w="80" w:type="dxa"/>
            </w:tcMar>
            <w:vAlign w:val="center"/>
          </w:tcPr>
          <w:p w14:paraId="7D1070DE" w14:textId="77777777" w:rsidR="00D0052F" w:rsidRPr="006F225A" w:rsidRDefault="00D0052F" w:rsidP="00A57945">
            <w:pPr>
              <w:pStyle w:val="BodyE"/>
              <w:autoSpaceDE w:val="0"/>
              <w:autoSpaceDN w:val="0"/>
              <w:adjustRightInd w:val="0"/>
              <w:snapToGrid w:val="0"/>
              <w:jc w:val="center"/>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 xml:space="preserve">Fair </w:t>
            </w:r>
          </w:p>
        </w:tc>
      </w:tr>
      <w:tr w:rsidR="009D7BC8" w:rsidRPr="006F225A" w14:paraId="50F23EA9" w14:textId="77777777" w:rsidTr="00A57945">
        <w:tblPrEx>
          <w:shd w:val="clear" w:color="auto" w:fill="CADFFF"/>
        </w:tblPrEx>
        <w:trPr>
          <w:jc w:val="center"/>
        </w:trPr>
        <w:tc>
          <w:tcPr>
            <w:tcW w:w="492" w:type="pct"/>
            <w:shd w:val="clear" w:color="auto" w:fill="FFFFFF"/>
            <w:tcMar>
              <w:top w:w="80" w:type="dxa"/>
              <w:left w:w="80" w:type="dxa"/>
              <w:bottom w:w="80" w:type="dxa"/>
              <w:right w:w="80" w:type="dxa"/>
            </w:tcMar>
            <w:vAlign w:val="center"/>
          </w:tcPr>
          <w:p w14:paraId="3F896267"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Spiller et al., 2009</w:t>
            </w:r>
            <w:r w:rsidR="003221F8" w:rsidRPr="006F225A">
              <w:rPr>
                <w:rStyle w:val="None"/>
                <w:rFonts w:ascii="Palatino Linotype" w:hAnsi="Palatino Linotype"/>
                <w:color w:val="auto"/>
                <w:sz w:val="18"/>
                <w:szCs w:val="16"/>
                <w:lang w:val="en-GB"/>
              </w:rPr>
              <w:t xml:space="preserve"> [39]</w:t>
            </w:r>
          </w:p>
        </w:tc>
        <w:tc>
          <w:tcPr>
            <w:tcW w:w="393" w:type="pct"/>
            <w:shd w:val="clear" w:color="auto" w:fill="FFFFFF"/>
            <w:tcMar>
              <w:top w:w="80" w:type="dxa"/>
              <w:left w:w="80" w:type="dxa"/>
              <w:bottom w:w="80" w:type="dxa"/>
              <w:right w:w="80" w:type="dxa"/>
            </w:tcMar>
            <w:vAlign w:val="center"/>
          </w:tcPr>
          <w:p w14:paraId="1490E043"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USA</w:t>
            </w:r>
          </w:p>
        </w:tc>
        <w:tc>
          <w:tcPr>
            <w:tcW w:w="442" w:type="pct"/>
            <w:shd w:val="clear" w:color="auto" w:fill="FFFFFF"/>
            <w:tcMar>
              <w:top w:w="80" w:type="dxa"/>
              <w:left w:w="80" w:type="dxa"/>
              <w:bottom w:w="80" w:type="dxa"/>
              <w:right w:w="80" w:type="dxa"/>
            </w:tcMar>
            <w:vAlign w:val="center"/>
          </w:tcPr>
          <w:p w14:paraId="14F831D3" w14:textId="7F81FA03"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2000</w:t>
            </w:r>
            <w:r w:rsidR="00733890" w:rsidRPr="006F225A">
              <w:rPr>
                <w:rStyle w:val="None"/>
                <w:rFonts w:ascii="Palatino Linotype" w:hAnsi="Palatino Linotype"/>
                <w:color w:val="auto"/>
                <w:sz w:val="18"/>
                <w:szCs w:val="16"/>
                <w:lang w:val="en-GB"/>
              </w:rPr>
              <w:t>–</w:t>
            </w:r>
            <w:r w:rsidRPr="006F225A">
              <w:rPr>
                <w:rStyle w:val="None"/>
                <w:rFonts w:ascii="Palatino Linotype" w:hAnsi="Palatino Linotype"/>
                <w:color w:val="auto"/>
                <w:sz w:val="18"/>
                <w:szCs w:val="16"/>
                <w:lang w:val="en-GB"/>
              </w:rPr>
              <w:t>2007</w:t>
            </w:r>
          </w:p>
        </w:tc>
        <w:tc>
          <w:tcPr>
            <w:tcW w:w="441" w:type="pct"/>
            <w:shd w:val="clear" w:color="auto" w:fill="FFFFFF"/>
            <w:tcMar>
              <w:top w:w="80" w:type="dxa"/>
              <w:left w:w="80" w:type="dxa"/>
              <w:bottom w:w="80" w:type="dxa"/>
              <w:right w:w="80" w:type="dxa"/>
            </w:tcMar>
            <w:vAlign w:val="center"/>
          </w:tcPr>
          <w:p w14:paraId="109C2A12"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 xml:space="preserve">Retrospective chart review </w:t>
            </w:r>
          </w:p>
        </w:tc>
        <w:tc>
          <w:tcPr>
            <w:tcW w:w="396" w:type="pct"/>
            <w:shd w:val="clear" w:color="auto" w:fill="FFFFFF"/>
            <w:tcMar>
              <w:top w:w="80" w:type="dxa"/>
              <w:left w:w="80" w:type="dxa"/>
              <w:bottom w:w="80" w:type="dxa"/>
              <w:right w:w="80" w:type="dxa"/>
            </w:tcMar>
            <w:vAlign w:val="center"/>
          </w:tcPr>
          <w:p w14:paraId="5206B3C7"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137</w:t>
            </w:r>
          </w:p>
        </w:tc>
        <w:tc>
          <w:tcPr>
            <w:tcW w:w="488" w:type="pct"/>
            <w:shd w:val="clear" w:color="auto" w:fill="FFFFFF"/>
            <w:tcMar>
              <w:top w:w="80" w:type="dxa"/>
              <w:left w:w="80" w:type="dxa"/>
              <w:bottom w:w="80" w:type="dxa"/>
              <w:right w:w="80" w:type="dxa"/>
            </w:tcMar>
            <w:vAlign w:val="center"/>
          </w:tcPr>
          <w:p w14:paraId="662BBED2" w14:textId="58EE0109" w:rsidR="00D0052F" w:rsidRPr="006F225A" w:rsidRDefault="0056360D"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1–82</w:t>
            </w:r>
            <w:r w:rsidR="00D0052F" w:rsidRPr="006F225A">
              <w:rPr>
                <w:rStyle w:val="None"/>
                <w:rFonts w:ascii="Palatino Linotype" w:hAnsi="Palatino Linotype"/>
                <w:color w:val="auto"/>
                <w:sz w:val="18"/>
                <w:szCs w:val="16"/>
                <w:lang w:val="en-GB"/>
              </w:rPr>
              <w:t xml:space="preserve"> years </w:t>
            </w:r>
          </w:p>
        </w:tc>
        <w:tc>
          <w:tcPr>
            <w:tcW w:w="442" w:type="pct"/>
            <w:shd w:val="clear" w:color="auto" w:fill="FFFFFF"/>
            <w:tcMar>
              <w:top w:w="80" w:type="dxa"/>
              <w:left w:w="80" w:type="dxa"/>
              <w:bottom w:w="80" w:type="dxa"/>
              <w:right w:w="80" w:type="dxa"/>
            </w:tcMar>
            <w:vAlign w:val="center"/>
          </w:tcPr>
          <w:p w14:paraId="37445CD9"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 xml:space="preserve">22 (NR) years </w:t>
            </w:r>
          </w:p>
        </w:tc>
        <w:tc>
          <w:tcPr>
            <w:tcW w:w="579" w:type="pct"/>
            <w:shd w:val="clear" w:color="auto" w:fill="FFFFFF"/>
            <w:tcMar>
              <w:top w:w="80" w:type="dxa"/>
              <w:left w:w="80" w:type="dxa"/>
              <w:bottom w:w="80" w:type="dxa"/>
              <w:right w:w="80" w:type="dxa"/>
            </w:tcMar>
            <w:vAlign w:val="center"/>
          </w:tcPr>
          <w:p w14:paraId="54AAD383" w14:textId="77777777" w:rsidR="00D0052F" w:rsidRPr="006F225A" w:rsidRDefault="00D0052F" w:rsidP="0034123F">
            <w:pPr>
              <w:pStyle w:val="BodyD"/>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NR</w:t>
            </w:r>
          </w:p>
        </w:tc>
        <w:tc>
          <w:tcPr>
            <w:tcW w:w="351" w:type="pct"/>
            <w:shd w:val="clear" w:color="auto" w:fill="FFFFFF"/>
            <w:tcMar>
              <w:top w:w="80" w:type="dxa"/>
              <w:left w:w="80" w:type="dxa"/>
              <w:bottom w:w="80" w:type="dxa"/>
              <w:right w:w="80" w:type="dxa"/>
            </w:tcMar>
            <w:vAlign w:val="center"/>
          </w:tcPr>
          <w:p w14:paraId="38812AE6" w14:textId="77777777" w:rsidR="00D0052F" w:rsidRPr="006F225A" w:rsidRDefault="00D0052F" w:rsidP="0034123F">
            <w:pPr>
              <w:pStyle w:val="BodyD"/>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38</w:t>
            </w:r>
          </w:p>
        </w:tc>
        <w:tc>
          <w:tcPr>
            <w:tcW w:w="626" w:type="pct"/>
            <w:shd w:val="clear" w:color="auto" w:fill="FFFFFF"/>
            <w:tcMar>
              <w:top w:w="80" w:type="dxa"/>
              <w:left w:w="80" w:type="dxa"/>
              <w:bottom w:w="80" w:type="dxa"/>
              <w:right w:w="80" w:type="dxa"/>
            </w:tcMar>
            <w:vAlign w:val="center"/>
          </w:tcPr>
          <w:p w14:paraId="4E577905"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 xml:space="preserve">Adult patients who had single substance </w:t>
            </w:r>
            <w:r w:rsidRPr="006F225A">
              <w:rPr>
                <w:rStyle w:val="None"/>
                <w:rFonts w:ascii="Palatino Linotype" w:hAnsi="Palatino Linotype"/>
                <w:color w:val="auto"/>
                <w:sz w:val="18"/>
                <w:szCs w:val="16"/>
                <w:lang w:val="en-GB"/>
              </w:rPr>
              <w:lastRenderedPageBreak/>
              <w:t xml:space="preserve">ingestion of </w:t>
            </w:r>
            <w:proofErr w:type="spellStart"/>
            <w:r w:rsidRPr="006F225A">
              <w:rPr>
                <w:rStyle w:val="None"/>
                <w:rFonts w:ascii="Palatino Linotype" w:hAnsi="Palatino Linotype"/>
                <w:color w:val="auto"/>
                <w:sz w:val="18"/>
                <w:szCs w:val="16"/>
                <w:lang w:val="en-GB"/>
              </w:rPr>
              <w:t>modafanil</w:t>
            </w:r>
            <w:proofErr w:type="spellEnd"/>
          </w:p>
        </w:tc>
        <w:tc>
          <w:tcPr>
            <w:tcW w:w="351" w:type="pct"/>
            <w:shd w:val="clear" w:color="auto" w:fill="FEFFFE"/>
            <w:tcMar>
              <w:top w:w="80" w:type="dxa"/>
              <w:left w:w="80" w:type="dxa"/>
              <w:bottom w:w="80" w:type="dxa"/>
              <w:right w:w="80" w:type="dxa"/>
            </w:tcMar>
            <w:vAlign w:val="center"/>
          </w:tcPr>
          <w:p w14:paraId="0CCA88E4" w14:textId="77777777" w:rsidR="00D0052F" w:rsidRPr="006F225A" w:rsidRDefault="00D0052F" w:rsidP="00A57945">
            <w:pPr>
              <w:pStyle w:val="BodyE"/>
              <w:autoSpaceDE w:val="0"/>
              <w:autoSpaceDN w:val="0"/>
              <w:adjustRightInd w:val="0"/>
              <w:snapToGrid w:val="0"/>
              <w:jc w:val="center"/>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lastRenderedPageBreak/>
              <w:t xml:space="preserve">Fair </w:t>
            </w:r>
          </w:p>
        </w:tc>
      </w:tr>
      <w:tr w:rsidR="009D7BC8" w:rsidRPr="006F225A" w14:paraId="7585D447" w14:textId="77777777" w:rsidTr="00A57945">
        <w:tblPrEx>
          <w:shd w:val="clear" w:color="auto" w:fill="CADFFF"/>
        </w:tblPrEx>
        <w:trPr>
          <w:jc w:val="center"/>
        </w:trPr>
        <w:tc>
          <w:tcPr>
            <w:tcW w:w="492" w:type="pct"/>
            <w:shd w:val="clear" w:color="auto" w:fill="FFFFFF"/>
            <w:tcMar>
              <w:top w:w="80" w:type="dxa"/>
              <w:left w:w="80" w:type="dxa"/>
              <w:bottom w:w="80" w:type="dxa"/>
              <w:right w:w="80" w:type="dxa"/>
            </w:tcMar>
            <w:vAlign w:val="center"/>
          </w:tcPr>
          <w:p w14:paraId="785ABD32"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Hasan et al., 2021</w:t>
            </w:r>
            <w:r w:rsidR="003221F8" w:rsidRPr="006F225A">
              <w:rPr>
                <w:rStyle w:val="None"/>
                <w:rFonts w:ascii="Palatino Linotype" w:hAnsi="Palatino Linotype"/>
                <w:color w:val="auto"/>
                <w:sz w:val="18"/>
                <w:szCs w:val="16"/>
                <w:lang w:val="en-GB"/>
              </w:rPr>
              <w:t xml:space="preserve"> [40]</w:t>
            </w:r>
          </w:p>
        </w:tc>
        <w:tc>
          <w:tcPr>
            <w:tcW w:w="393" w:type="pct"/>
            <w:shd w:val="clear" w:color="auto" w:fill="FFFFFF"/>
            <w:tcMar>
              <w:top w:w="80" w:type="dxa"/>
              <w:left w:w="80" w:type="dxa"/>
              <w:bottom w:w="80" w:type="dxa"/>
              <w:right w:w="80" w:type="dxa"/>
            </w:tcMar>
            <w:vAlign w:val="center"/>
          </w:tcPr>
          <w:p w14:paraId="4C192545"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Bangladesh</w:t>
            </w:r>
          </w:p>
        </w:tc>
        <w:tc>
          <w:tcPr>
            <w:tcW w:w="442" w:type="pct"/>
            <w:shd w:val="clear" w:color="auto" w:fill="FFFFFF"/>
            <w:tcMar>
              <w:top w:w="80" w:type="dxa"/>
              <w:left w:w="80" w:type="dxa"/>
              <w:bottom w:w="80" w:type="dxa"/>
              <w:right w:w="80" w:type="dxa"/>
            </w:tcMar>
            <w:vAlign w:val="center"/>
          </w:tcPr>
          <w:p w14:paraId="7BB79683" w14:textId="31E7B218" w:rsidR="00D0052F" w:rsidRPr="006F225A" w:rsidRDefault="006316F7"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 xml:space="preserve">2 </w:t>
            </w:r>
            <w:r w:rsidR="00D0052F" w:rsidRPr="006F225A">
              <w:rPr>
                <w:rStyle w:val="None"/>
                <w:rFonts w:ascii="Palatino Linotype" w:hAnsi="Palatino Linotype"/>
                <w:color w:val="auto"/>
                <w:sz w:val="18"/>
                <w:szCs w:val="16"/>
                <w:lang w:val="en-GB"/>
              </w:rPr>
              <w:t>April 2018</w:t>
            </w:r>
            <w:r w:rsidR="00733890" w:rsidRPr="006F225A">
              <w:rPr>
                <w:rStyle w:val="None"/>
                <w:rFonts w:ascii="Palatino Linotype" w:hAnsi="Palatino Linotype"/>
                <w:color w:val="auto"/>
                <w:sz w:val="18"/>
                <w:szCs w:val="16"/>
                <w:lang w:val="en-GB"/>
              </w:rPr>
              <w:t>–</w:t>
            </w:r>
            <w:r w:rsidRPr="006F225A">
              <w:rPr>
                <w:rStyle w:val="None"/>
                <w:rFonts w:ascii="Palatino Linotype" w:hAnsi="Palatino Linotype"/>
                <w:color w:val="auto"/>
                <w:sz w:val="18"/>
                <w:szCs w:val="16"/>
                <w:lang w:val="en-GB"/>
              </w:rPr>
              <w:t xml:space="preserve">12 </w:t>
            </w:r>
            <w:r w:rsidR="00D0052F" w:rsidRPr="006F225A">
              <w:rPr>
                <w:rStyle w:val="None"/>
                <w:rFonts w:ascii="Palatino Linotype" w:hAnsi="Palatino Linotype"/>
                <w:color w:val="auto"/>
                <w:sz w:val="18"/>
                <w:szCs w:val="16"/>
                <w:lang w:val="en-GB"/>
              </w:rPr>
              <w:t>May 2018</w:t>
            </w:r>
          </w:p>
        </w:tc>
        <w:tc>
          <w:tcPr>
            <w:tcW w:w="441" w:type="pct"/>
            <w:shd w:val="clear" w:color="auto" w:fill="FFFFFF"/>
            <w:tcMar>
              <w:top w:w="80" w:type="dxa"/>
              <w:left w:w="80" w:type="dxa"/>
              <w:bottom w:w="80" w:type="dxa"/>
              <w:right w:w="80" w:type="dxa"/>
            </w:tcMar>
            <w:vAlign w:val="center"/>
          </w:tcPr>
          <w:p w14:paraId="4D16269C"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 xml:space="preserve">Retrospective chart review </w:t>
            </w:r>
          </w:p>
        </w:tc>
        <w:tc>
          <w:tcPr>
            <w:tcW w:w="396" w:type="pct"/>
            <w:shd w:val="clear" w:color="auto" w:fill="FFFFFF"/>
            <w:tcMar>
              <w:top w:w="80" w:type="dxa"/>
              <w:left w:w="80" w:type="dxa"/>
              <w:bottom w:w="80" w:type="dxa"/>
              <w:right w:w="80" w:type="dxa"/>
            </w:tcMar>
            <w:vAlign w:val="center"/>
          </w:tcPr>
          <w:p w14:paraId="65D414CC"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1531</w:t>
            </w:r>
          </w:p>
        </w:tc>
        <w:tc>
          <w:tcPr>
            <w:tcW w:w="488" w:type="pct"/>
            <w:shd w:val="clear" w:color="auto" w:fill="FFFFFF"/>
            <w:tcMar>
              <w:top w:w="80" w:type="dxa"/>
              <w:left w:w="80" w:type="dxa"/>
              <w:bottom w:w="80" w:type="dxa"/>
              <w:right w:w="80" w:type="dxa"/>
            </w:tcMar>
            <w:vAlign w:val="center"/>
          </w:tcPr>
          <w:p w14:paraId="142EC60E" w14:textId="5AC1FA26" w:rsidR="00D0052F" w:rsidRPr="006F225A" w:rsidRDefault="00D0052F" w:rsidP="0034123F">
            <w:pPr>
              <w:pStyle w:val="BodyC"/>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0</w:t>
            </w:r>
            <w:r w:rsidR="00C62722" w:rsidRPr="006F225A">
              <w:rPr>
                <w:rStyle w:val="None"/>
                <w:rFonts w:ascii="Palatino Linotype" w:hAnsi="Palatino Linotype"/>
                <w:color w:val="auto"/>
                <w:sz w:val="18"/>
                <w:szCs w:val="16"/>
                <w:lang w:val="en-GB"/>
              </w:rPr>
              <w:t>–</w:t>
            </w:r>
            <w:r w:rsidRPr="006F225A">
              <w:rPr>
                <w:rStyle w:val="None"/>
                <w:rFonts w:ascii="Palatino Linotype" w:hAnsi="Palatino Linotype"/>
                <w:color w:val="auto"/>
                <w:sz w:val="18"/>
                <w:szCs w:val="16"/>
                <w:lang w:val="en-GB"/>
              </w:rPr>
              <w:t xml:space="preserve">≥ 30 years </w:t>
            </w:r>
          </w:p>
        </w:tc>
        <w:tc>
          <w:tcPr>
            <w:tcW w:w="442" w:type="pct"/>
            <w:shd w:val="clear" w:color="auto" w:fill="FFFFFF"/>
            <w:tcMar>
              <w:top w:w="80" w:type="dxa"/>
              <w:left w:w="80" w:type="dxa"/>
              <w:bottom w:w="80" w:type="dxa"/>
              <w:right w:w="80" w:type="dxa"/>
            </w:tcMar>
            <w:vAlign w:val="center"/>
          </w:tcPr>
          <w:p w14:paraId="6170C8CC" w14:textId="77777777" w:rsidR="00D0052F" w:rsidRPr="006F225A" w:rsidRDefault="00D0052F" w:rsidP="0034123F">
            <w:pPr>
              <w:pStyle w:val="BodyD"/>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NR</w:t>
            </w:r>
          </w:p>
        </w:tc>
        <w:tc>
          <w:tcPr>
            <w:tcW w:w="579" w:type="pct"/>
            <w:shd w:val="clear" w:color="auto" w:fill="FFFFFF"/>
            <w:tcMar>
              <w:top w:w="80" w:type="dxa"/>
              <w:left w:w="80" w:type="dxa"/>
              <w:bottom w:w="80" w:type="dxa"/>
              <w:right w:w="80" w:type="dxa"/>
            </w:tcMar>
            <w:vAlign w:val="center"/>
          </w:tcPr>
          <w:p w14:paraId="3ED41F6A" w14:textId="77777777" w:rsidR="00D0052F" w:rsidRPr="006F225A" w:rsidRDefault="00D0052F" w:rsidP="0034123F">
            <w:pPr>
              <w:pStyle w:val="BodyD"/>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NR</w:t>
            </w:r>
          </w:p>
        </w:tc>
        <w:tc>
          <w:tcPr>
            <w:tcW w:w="351" w:type="pct"/>
            <w:shd w:val="clear" w:color="auto" w:fill="FFFFFF"/>
            <w:tcMar>
              <w:top w:w="80" w:type="dxa"/>
              <w:left w:w="80" w:type="dxa"/>
              <w:bottom w:w="80" w:type="dxa"/>
              <w:right w:w="80" w:type="dxa"/>
            </w:tcMar>
            <w:vAlign w:val="center"/>
          </w:tcPr>
          <w:p w14:paraId="6AC5EF29" w14:textId="77777777" w:rsidR="00D0052F" w:rsidRPr="006F225A" w:rsidRDefault="00D0052F" w:rsidP="0034123F">
            <w:pPr>
              <w:pStyle w:val="BodyD"/>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58.4</w:t>
            </w:r>
          </w:p>
        </w:tc>
        <w:tc>
          <w:tcPr>
            <w:tcW w:w="626" w:type="pct"/>
            <w:shd w:val="clear" w:color="auto" w:fill="FFFFFF"/>
            <w:tcMar>
              <w:top w:w="80" w:type="dxa"/>
              <w:left w:w="80" w:type="dxa"/>
              <w:bottom w:w="80" w:type="dxa"/>
              <w:right w:w="80" w:type="dxa"/>
            </w:tcMar>
            <w:vAlign w:val="center"/>
          </w:tcPr>
          <w:p w14:paraId="4674E6F0"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Paediatric and adult patients hospitalised with diarrhoea during epidemic</w:t>
            </w:r>
          </w:p>
        </w:tc>
        <w:tc>
          <w:tcPr>
            <w:tcW w:w="351" w:type="pct"/>
            <w:shd w:val="clear" w:color="auto" w:fill="FEFFFE"/>
            <w:tcMar>
              <w:top w:w="80" w:type="dxa"/>
              <w:left w:w="80" w:type="dxa"/>
              <w:bottom w:w="80" w:type="dxa"/>
              <w:right w:w="80" w:type="dxa"/>
            </w:tcMar>
            <w:vAlign w:val="center"/>
          </w:tcPr>
          <w:p w14:paraId="0DCC6686" w14:textId="77777777" w:rsidR="00D0052F" w:rsidRPr="006F225A" w:rsidRDefault="00D0052F" w:rsidP="00A57945">
            <w:pPr>
              <w:pStyle w:val="BodyE"/>
              <w:autoSpaceDE w:val="0"/>
              <w:autoSpaceDN w:val="0"/>
              <w:adjustRightInd w:val="0"/>
              <w:snapToGrid w:val="0"/>
              <w:jc w:val="center"/>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Good</w:t>
            </w:r>
          </w:p>
        </w:tc>
      </w:tr>
      <w:tr w:rsidR="009D7BC8" w:rsidRPr="006F225A" w14:paraId="669AF730" w14:textId="77777777" w:rsidTr="00A57945">
        <w:tblPrEx>
          <w:shd w:val="clear" w:color="auto" w:fill="CADFFF"/>
        </w:tblPrEx>
        <w:trPr>
          <w:jc w:val="center"/>
        </w:trPr>
        <w:tc>
          <w:tcPr>
            <w:tcW w:w="492" w:type="pct"/>
            <w:shd w:val="clear" w:color="auto" w:fill="FFFFFF"/>
            <w:tcMar>
              <w:top w:w="80" w:type="dxa"/>
              <w:left w:w="80" w:type="dxa"/>
              <w:bottom w:w="80" w:type="dxa"/>
              <w:right w:w="80" w:type="dxa"/>
            </w:tcMar>
            <w:vAlign w:val="center"/>
          </w:tcPr>
          <w:p w14:paraId="2A2DB170"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Tewari et al., 2018</w:t>
            </w:r>
            <w:r w:rsidR="003221F8" w:rsidRPr="006F225A">
              <w:rPr>
                <w:rStyle w:val="None"/>
                <w:rFonts w:ascii="Palatino Linotype" w:hAnsi="Palatino Linotype"/>
                <w:color w:val="auto"/>
                <w:sz w:val="18"/>
                <w:szCs w:val="16"/>
                <w:lang w:val="en-GB"/>
              </w:rPr>
              <w:t xml:space="preserve"> [37] </w:t>
            </w:r>
          </w:p>
        </w:tc>
        <w:tc>
          <w:tcPr>
            <w:tcW w:w="393" w:type="pct"/>
            <w:shd w:val="clear" w:color="auto" w:fill="FFFFFF"/>
            <w:tcMar>
              <w:top w:w="80" w:type="dxa"/>
              <w:left w:w="80" w:type="dxa"/>
              <w:bottom w:w="80" w:type="dxa"/>
              <w:right w:w="80" w:type="dxa"/>
            </w:tcMar>
            <w:vAlign w:val="center"/>
          </w:tcPr>
          <w:p w14:paraId="35FCE317"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 xml:space="preserve">New Delhi </w:t>
            </w:r>
          </w:p>
        </w:tc>
        <w:tc>
          <w:tcPr>
            <w:tcW w:w="442" w:type="pct"/>
            <w:shd w:val="clear" w:color="auto" w:fill="FFFFFF"/>
            <w:tcMar>
              <w:top w:w="80" w:type="dxa"/>
              <w:left w:w="80" w:type="dxa"/>
              <w:bottom w:w="80" w:type="dxa"/>
              <w:right w:w="80" w:type="dxa"/>
            </w:tcMar>
            <w:vAlign w:val="center"/>
          </w:tcPr>
          <w:p w14:paraId="41A0B52F" w14:textId="7E6F7E12"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May 2013</w:t>
            </w:r>
            <w:r w:rsidR="00733890" w:rsidRPr="006F225A">
              <w:rPr>
                <w:rStyle w:val="None"/>
                <w:rFonts w:ascii="Palatino Linotype" w:hAnsi="Palatino Linotype"/>
                <w:color w:val="auto"/>
                <w:sz w:val="18"/>
                <w:szCs w:val="16"/>
                <w:lang w:val="en-GB"/>
              </w:rPr>
              <w:t>–</w:t>
            </w:r>
            <w:r w:rsidRPr="006F225A">
              <w:rPr>
                <w:rStyle w:val="None"/>
                <w:rFonts w:ascii="Palatino Linotype" w:hAnsi="Palatino Linotype"/>
                <w:color w:val="auto"/>
                <w:sz w:val="18"/>
                <w:szCs w:val="16"/>
                <w:lang w:val="en-GB"/>
              </w:rPr>
              <w:t>September 2013</w:t>
            </w:r>
          </w:p>
        </w:tc>
        <w:tc>
          <w:tcPr>
            <w:tcW w:w="441" w:type="pct"/>
            <w:shd w:val="clear" w:color="auto" w:fill="FFFFFF"/>
            <w:tcMar>
              <w:top w:w="80" w:type="dxa"/>
              <w:left w:w="80" w:type="dxa"/>
              <w:bottom w:w="80" w:type="dxa"/>
              <w:right w:w="80" w:type="dxa"/>
            </w:tcMar>
            <w:vAlign w:val="center"/>
          </w:tcPr>
          <w:p w14:paraId="4D539F05"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 xml:space="preserve">Prospective cohort study </w:t>
            </w:r>
          </w:p>
        </w:tc>
        <w:tc>
          <w:tcPr>
            <w:tcW w:w="396" w:type="pct"/>
            <w:shd w:val="clear" w:color="auto" w:fill="FFFFFF"/>
            <w:tcMar>
              <w:top w:w="80" w:type="dxa"/>
              <w:left w:w="80" w:type="dxa"/>
              <w:bottom w:w="80" w:type="dxa"/>
              <w:right w:w="80" w:type="dxa"/>
            </w:tcMar>
            <w:vAlign w:val="center"/>
          </w:tcPr>
          <w:p w14:paraId="1C085F95"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500</w:t>
            </w:r>
          </w:p>
        </w:tc>
        <w:tc>
          <w:tcPr>
            <w:tcW w:w="488" w:type="pct"/>
            <w:shd w:val="clear" w:color="auto" w:fill="FFFFFF"/>
            <w:tcMar>
              <w:top w:w="80" w:type="dxa"/>
              <w:left w:w="80" w:type="dxa"/>
              <w:bottom w:w="80" w:type="dxa"/>
              <w:right w:w="80" w:type="dxa"/>
            </w:tcMar>
            <w:vAlign w:val="center"/>
          </w:tcPr>
          <w:p w14:paraId="084785AA" w14:textId="77777777" w:rsidR="00D0052F" w:rsidRPr="006F225A" w:rsidRDefault="00D0052F" w:rsidP="0034123F">
            <w:pPr>
              <w:pStyle w:val="BodyC"/>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 xml:space="preserve">6 months to 77 years </w:t>
            </w:r>
          </w:p>
        </w:tc>
        <w:tc>
          <w:tcPr>
            <w:tcW w:w="442" w:type="pct"/>
            <w:shd w:val="clear" w:color="auto" w:fill="FFFFFF"/>
            <w:tcMar>
              <w:top w:w="80" w:type="dxa"/>
              <w:left w:w="80" w:type="dxa"/>
              <w:bottom w:w="80" w:type="dxa"/>
              <w:right w:w="80" w:type="dxa"/>
            </w:tcMar>
            <w:vAlign w:val="center"/>
          </w:tcPr>
          <w:p w14:paraId="3ADF7684" w14:textId="77777777" w:rsidR="00D0052F" w:rsidRPr="006F225A" w:rsidRDefault="00D0052F" w:rsidP="0034123F">
            <w:pPr>
              <w:pStyle w:val="BodyD"/>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NR</w:t>
            </w:r>
          </w:p>
        </w:tc>
        <w:tc>
          <w:tcPr>
            <w:tcW w:w="579" w:type="pct"/>
            <w:shd w:val="clear" w:color="auto" w:fill="FFFFFF"/>
            <w:tcMar>
              <w:top w:w="80" w:type="dxa"/>
              <w:left w:w="80" w:type="dxa"/>
              <w:bottom w:w="80" w:type="dxa"/>
              <w:right w:w="80" w:type="dxa"/>
            </w:tcMar>
            <w:vAlign w:val="center"/>
          </w:tcPr>
          <w:p w14:paraId="29D282CA" w14:textId="77777777" w:rsidR="00D0052F" w:rsidRPr="006F225A" w:rsidRDefault="00D0052F" w:rsidP="0034123F">
            <w:pPr>
              <w:pStyle w:val="BodyD"/>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NR</w:t>
            </w:r>
          </w:p>
        </w:tc>
        <w:tc>
          <w:tcPr>
            <w:tcW w:w="351" w:type="pct"/>
            <w:shd w:val="clear" w:color="auto" w:fill="FFFFFF"/>
            <w:tcMar>
              <w:top w:w="80" w:type="dxa"/>
              <w:left w:w="80" w:type="dxa"/>
              <w:bottom w:w="80" w:type="dxa"/>
              <w:right w:w="80" w:type="dxa"/>
            </w:tcMar>
            <w:vAlign w:val="center"/>
          </w:tcPr>
          <w:p w14:paraId="0BF05B40" w14:textId="77777777" w:rsidR="00D0052F" w:rsidRPr="006F225A" w:rsidRDefault="00D0052F" w:rsidP="0034123F">
            <w:pPr>
              <w:pStyle w:val="BodyD"/>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53.9</w:t>
            </w:r>
          </w:p>
        </w:tc>
        <w:tc>
          <w:tcPr>
            <w:tcW w:w="626" w:type="pct"/>
            <w:shd w:val="clear" w:color="auto" w:fill="FFFFFF"/>
            <w:tcMar>
              <w:top w:w="80" w:type="dxa"/>
              <w:left w:w="80" w:type="dxa"/>
              <w:bottom w:w="80" w:type="dxa"/>
              <w:right w:w="80" w:type="dxa"/>
            </w:tcMar>
            <w:vAlign w:val="center"/>
          </w:tcPr>
          <w:p w14:paraId="1EE94DE4"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Paediatric and adult patients hospitalised with fever and other signs of dengue</w:t>
            </w:r>
          </w:p>
        </w:tc>
        <w:tc>
          <w:tcPr>
            <w:tcW w:w="351" w:type="pct"/>
            <w:shd w:val="clear" w:color="auto" w:fill="FEFFFE"/>
            <w:tcMar>
              <w:top w:w="80" w:type="dxa"/>
              <w:left w:w="80" w:type="dxa"/>
              <w:bottom w:w="80" w:type="dxa"/>
              <w:right w:w="80" w:type="dxa"/>
            </w:tcMar>
            <w:vAlign w:val="center"/>
          </w:tcPr>
          <w:p w14:paraId="775DDAAC" w14:textId="77777777" w:rsidR="00D0052F" w:rsidRPr="006F225A" w:rsidRDefault="00D0052F" w:rsidP="00A57945">
            <w:pPr>
              <w:pStyle w:val="BodyE"/>
              <w:autoSpaceDE w:val="0"/>
              <w:autoSpaceDN w:val="0"/>
              <w:adjustRightInd w:val="0"/>
              <w:snapToGrid w:val="0"/>
              <w:jc w:val="center"/>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 xml:space="preserve">Fair </w:t>
            </w:r>
          </w:p>
        </w:tc>
      </w:tr>
      <w:tr w:rsidR="009D7BC8" w:rsidRPr="006F225A" w14:paraId="74D879BB" w14:textId="77777777" w:rsidTr="00A57945">
        <w:tblPrEx>
          <w:shd w:val="clear" w:color="auto" w:fill="CADFFF"/>
        </w:tblPrEx>
        <w:trPr>
          <w:jc w:val="center"/>
        </w:trPr>
        <w:tc>
          <w:tcPr>
            <w:tcW w:w="492" w:type="pct"/>
            <w:shd w:val="clear" w:color="auto" w:fill="FFFFFF"/>
            <w:tcMar>
              <w:top w:w="80" w:type="dxa"/>
              <w:left w:w="80" w:type="dxa"/>
              <w:bottom w:w="80" w:type="dxa"/>
              <w:right w:w="80" w:type="dxa"/>
            </w:tcMar>
            <w:vAlign w:val="center"/>
          </w:tcPr>
          <w:p w14:paraId="6209CC45"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proofErr w:type="spellStart"/>
            <w:r w:rsidRPr="006F225A">
              <w:rPr>
                <w:rStyle w:val="None"/>
                <w:rFonts w:ascii="Palatino Linotype" w:hAnsi="Palatino Linotype"/>
                <w:color w:val="auto"/>
                <w:sz w:val="18"/>
                <w:szCs w:val="16"/>
                <w:lang w:val="en-GB"/>
              </w:rPr>
              <w:t>Thronaes</w:t>
            </w:r>
            <w:proofErr w:type="spellEnd"/>
            <w:r w:rsidRPr="006F225A">
              <w:rPr>
                <w:rStyle w:val="None"/>
                <w:rFonts w:ascii="Palatino Linotype" w:hAnsi="Palatino Linotype"/>
                <w:color w:val="auto"/>
                <w:sz w:val="18"/>
                <w:szCs w:val="16"/>
                <w:lang w:val="en-GB"/>
              </w:rPr>
              <w:t xml:space="preserve"> et al., 2021</w:t>
            </w:r>
            <w:r w:rsidR="003221F8" w:rsidRPr="006F225A">
              <w:rPr>
                <w:rStyle w:val="None"/>
                <w:rFonts w:ascii="Palatino Linotype" w:hAnsi="Palatino Linotype"/>
                <w:color w:val="auto"/>
                <w:sz w:val="18"/>
                <w:szCs w:val="16"/>
                <w:lang w:val="en-GB"/>
              </w:rPr>
              <w:t xml:space="preserve"> [35]</w:t>
            </w:r>
          </w:p>
        </w:tc>
        <w:tc>
          <w:tcPr>
            <w:tcW w:w="393" w:type="pct"/>
            <w:shd w:val="clear" w:color="auto" w:fill="FFFFFF"/>
            <w:tcMar>
              <w:top w:w="80" w:type="dxa"/>
              <w:left w:w="80" w:type="dxa"/>
              <w:bottom w:w="80" w:type="dxa"/>
              <w:right w:w="80" w:type="dxa"/>
            </w:tcMar>
            <w:vAlign w:val="center"/>
          </w:tcPr>
          <w:p w14:paraId="2CEE591F"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 xml:space="preserve">Norway </w:t>
            </w:r>
          </w:p>
        </w:tc>
        <w:tc>
          <w:tcPr>
            <w:tcW w:w="442" w:type="pct"/>
            <w:shd w:val="clear" w:color="auto" w:fill="FFFFFF"/>
            <w:tcMar>
              <w:top w:w="80" w:type="dxa"/>
              <w:left w:w="80" w:type="dxa"/>
              <w:bottom w:w="80" w:type="dxa"/>
              <w:right w:w="80" w:type="dxa"/>
            </w:tcMar>
            <w:vAlign w:val="center"/>
          </w:tcPr>
          <w:p w14:paraId="4EDDBCDF" w14:textId="0E44D7F6" w:rsidR="00D0052F" w:rsidRPr="006F225A" w:rsidRDefault="00C62722"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 xml:space="preserve">15 </w:t>
            </w:r>
            <w:r w:rsidR="00D0052F" w:rsidRPr="006F225A">
              <w:rPr>
                <w:rStyle w:val="None"/>
                <w:rFonts w:ascii="Palatino Linotype" w:hAnsi="Palatino Linotype"/>
                <w:color w:val="auto"/>
                <w:sz w:val="18"/>
                <w:szCs w:val="16"/>
                <w:lang w:val="en-GB"/>
              </w:rPr>
              <w:t>January 2019</w:t>
            </w:r>
            <w:r w:rsidR="00733890" w:rsidRPr="006F225A">
              <w:rPr>
                <w:rStyle w:val="None"/>
                <w:rFonts w:ascii="Palatino Linotype" w:hAnsi="Palatino Linotype"/>
                <w:color w:val="auto"/>
                <w:sz w:val="18"/>
                <w:szCs w:val="16"/>
                <w:lang w:val="en-GB"/>
              </w:rPr>
              <w:t>–</w:t>
            </w:r>
            <w:r w:rsidRPr="006F225A">
              <w:rPr>
                <w:rStyle w:val="None"/>
                <w:rFonts w:ascii="Palatino Linotype" w:hAnsi="Palatino Linotype"/>
                <w:color w:val="auto"/>
                <w:sz w:val="18"/>
                <w:szCs w:val="16"/>
                <w:lang w:val="en-GB"/>
              </w:rPr>
              <w:t xml:space="preserve">15 </w:t>
            </w:r>
            <w:r w:rsidR="00D0052F" w:rsidRPr="006F225A">
              <w:rPr>
                <w:rStyle w:val="None"/>
                <w:rFonts w:ascii="Palatino Linotype" w:hAnsi="Palatino Linotype"/>
                <w:color w:val="auto"/>
                <w:sz w:val="18"/>
                <w:szCs w:val="16"/>
                <w:lang w:val="en-GB"/>
              </w:rPr>
              <w:t>January 2020</w:t>
            </w:r>
          </w:p>
        </w:tc>
        <w:tc>
          <w:tcPr>
            <w:tcW w:w="441" w:type="pct"/>
            <w:shd w:val="clear" w:color="auto" w:fill="FFFFFF"/>
            <w:tcMar>
              <w:top w:w="80" w:type="dxa"/>
              <w:left w:w="80" w:type="dxa"/>
              <w:bottom w:w="80" w:type="dxa"/>
              <w:right w:w="80" w:type="dxa"/>
            </w:tcMar>
            <w:vAlign w:val="center"/>
          </w:tcPr>
          <w:p w14:paraId="2BA3A336"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 xml:space="preserve">Prospective longitudinal study </w:t>
            </w:r>
          </w:p>
        </w:tc>
        <w:tc>
          <w:tcPr>
            <w:tcW w:w="396" w:type="pct"/>
            <w:shd w:val="clear" w:color="auto" w:fill="FFFFFF"/>
            <w:tcMar>
              <w:top w:w="80" w:type="dxa"/>
              <w:left w:w="80" w:type="dxa"/>
              <w:bottom w:w="80" w:type="dxa"/>
              <w:right w:w="80" w:type="dxa"/>
            </w:tcMar>
            <w:vAlign w:val="center"/>
          </w:tcPr>
          <w:p w14:paraId="3FB90D2F"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451</w:t>
            </w:r>
          </w:p>
        </w:tc>
        <w:tc>
          <w:tcPr>
            <w:tcW w:w="488" w:type="pct"/>
            <w:shd w:val="clear" w:color="auto" w:fill="FFFFFF"/>
            <w:tcMar>
              <w:top w:w="80" w:type="dxa"/>
              <w:left w:w="80" w:type="dxa"/>
              <w:bottom w:w="80" w:type="dxa"/>
              <w:right w:w="80" w:type="dxa"/>
            </w:tcMar>
            <w:vAlign w:val="center"/>
          </w:tcPr>
          <w:p w14:paraId="393B9140"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NR</w:t>
            </w:r>
          </w:p>
        </w:tc>
        <w:tc>
          <w:tcPr>
            <w:tcW w:w="442" w:type="pct"/>
            <w:shd w:val="clear" w:color="auto" w:fill="FFFFFF"/>
            <w:tcMar>
              <w:top w:w="80" w:type="dxa"/>
              <w:left w:w="80" w:type="dxa"/>
              <w:bottom w:w="80" w:type="dxa"/>
              <w:right w:w="80" w:type="dxa"/>
            </w:tcMar>
            <w:vAlign w:val="center"/>
          </w:tcPr>
          <w:p w14:paraId="3D402189"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 xml:space="preserve">68.9 (13.1) years </w:t>
            </w:r>
          </w:p>
        </w:tc>
        <w:tc>
          <w:tcPr>
            <w:tcW w:w="579" w:type="pct"/>
            <w:shd w:val="clear" w:color="auto" w:fill="FFFFFF"/>
            <w:tcMar>
              <w:top w:w="80" w:type="dxa"/>
              <w:left w:w="80" w:type="dxa"/>
              <w:bottom w:w="80" w:type="dxa"/>
              <w:right w:w="80" w:type="dxa"/>
            </w:tcMar>
            <w:vAlign w:val="center"/>
          </w:tcPr>
          <w:p w14:paraId="60536414" w14:textId="77777777" w:rsidR="00D0052F" w:rsidRPr="006F225A" w:rsidRDefault="00D0052F" w:rsidP="0034123F">
            <w:pPr>
              <w:pStyle w:val="BodyD"/>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NR</w:t>
            </w:r>
          </w:p>
        </w:tc>
        <w:tc>
          <w:tcPr>
            <w:tcW w:w="351" w:type="pct"/>
            <w:shd w:val="clear" w:color="auto" w:fill="FFFFFF"/>
            <w:tcMar>
              <w:top w:w="80" w:type="dxa"/>
              <w:left w:w="80" w:type="dxa"/>
              <w:bottom w:w="80" w:type="dxa"/>
              <w:right w:w="80" w:type="dxa"/>
            </w:tcMar>
            <w:vAlign w:val="center"/>
          </w:tcPr>
          <w:p w14:paraId="7A332EE6" w14:textId="77777777" w:rsidR="00D0052F" w:rsidRPr="006F225A" w:rsidRDefault="00D0052F" w:rsidP="0034123F">
            <w:pPr>
              <w:pStyle w:val="BodyD"/>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60.3</w:t>
            </w:r>
          </w:p>
        </w:tc>
        <w:tc>
          <w:tcPr>
            <w:tcW w:w="626" w:type="pct"/>
            <w:shd w:val="clear" w:color="auto" w:fill="FFFFFF"/>
            <w:tcMar>
              <w:top w:w="80" w:type="dxa"/>
              <w:left w:w="80" w:type="dxa"/>
              <w:bottom w:w="80" w:type="dxa"/>
              <w:right w:w="80" w:type="dxa"/>
            </w:tcMar>
            <w:vAlign w:val="center"/>
          </w:tcPr>
          <w:p w14:paraId="189B3361"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 xml:space="preserve">Adult patients with incurable cancer </w:t>
            </w:r>
          </w:p>
        </w:tc>
        <w:tc>
          <w:tcPr>
            <w:tcW w:w="351" w:type="pct"/>
            <w:shd w:val="clear" w:color="auto" w:fill="FEFFFE"/>
            <w:tcMar>
              <w:top w:w="80" w:type="dxa"/>
              <w:left w:w="80" w:type="dxa"/>
              <w:bottom w:w="80" w:type="dxa"/>
              <w:right w:w="80" w:type="dxa"/>
            </w:tcMar>
            <w:vAlign w:val="center"/>
          </w:tcPr>
          <w:p w14:paraId="150ED39A" w14:textId="77777777" w:rsidR="00D0052F" w:rsidRPr="006F225A" w:rsidRDefault="00D0052F" w:rsidP="00A57945">
            <w:pPr>
              <w:pStyle w:val="BodyE"/>
              <w:autoSpaceDE w:val="0"/>
              <w:autoSpaceDN w:val="0"/>
              <w:adjustRightInd w:val="0"/>
              <w:snapToGrid w:val="0"/>
              <w:jc w:val="center"/>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 xml:space="preserve">Fair </w:t>
            </w:r>
          </w:p>
        </w:tc>
      </w:tr>
      <w:tr w:rsidR="009D7BC8" w:rsidRPr="006F225A" w14:paraId="4E585250" w14:textId="77777777" w:rsidTr="00A57945">
        <w:tblPrEx>
          <w:shd w:val="clear" w:color="auto" w:fill="CADFFF"/>
        </w:tblPrEx>
        <w:trPr>
          <w:jc w:val="center"/>
        </w:trPr>
        <w:tc>
          <w:tcPr>
            <w:tcW w:w="492" w:type="pct"/>
            <w:shd w:val="clear" w:color="auto" w:fill="FFFFFF"/>
            <w:tcMar>
              <w:top w:w="80" w:type="dxa"/>
              <w:left w:w="80" w:type="dxa"/>
              <w:bottom w:w="80" w:type="dxa"/>
              <w:right w:w="80" w:type="dxa"/>
            </w:tcMar>
            <w:vAlign w:val="center"/>
          </w:tcPr>
          <w:p w14:paraId="2FC30361" w14:textId="77777777" w:rsidR="00D0052F" w:rsidRPr="006F225A" w:rsidRDefault="00D0052F" w:rsidP="0034123F">
            <w:pPr>
              <w:pStyle w:val="BodyC"/>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Tseng et al., 2018</w:t>
            </w:r>
            <w:r w:rsidR="003221F8" w:rsidRPr="006F225A">
              <w:rPr>
                <w:rStyle w:val="None"/>
                <w:rFonts w:ascii="Palatino Linotype" w:hAnsi="Palatino Linotype"/>
                <w:color w:val="auto"/>
                <w:sz w:val="18"/>
                <w:szCs w:val="16"/>
                <w:lang w:val="en-GB"/>
              </w:rPr>
              <w:t xml:space="preserve"> [42]</w:t>
            </w:r>
          </w:p>
        </w:tc>
        <w:tc>
          <w:tcPr>
            <w:tcW w:w="393" w:type="pct"/>
            <w:shd w:val="clear" w:color="auto" w:fill="FFFFFF"/>
            <w:tcMar>
              <w:top w:w="80" w:type="dxa"/>
              <w:left w:w="80" w:type="dxa"/>
              <w:bottom w:w="80" w:type="dxa"/>
              <w:right w:w="80" w:type="dxa"/>
            </w:tcMar>
            <w:vAlign w:val="center"/>
          </w:tcPr>
          <w:p w14:paraId="6765713C" w14:textId="77777777" w:rsidR="00D0052F" w:rsidRPr="006F225A" w:rsidRDefault="00D0052F" w:rsidP="0034123F">
            <w:pPr>
              <w:pStyle w:val="BodyC"/>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 xml:space="preserve">USA </w:t>
            </w:r>
          </w:p>
        </w:tc>
        <w:tc>
          <w:tcPr>
            <w:tcW w:w="442" w:type="pct"/>
            <w:shd w:val="clear" w:color="auto" w:fill="FFFFFF"/>
            <w:tcMar>
              <w:top w:w="80" w:type="dxa"/>
              <w:left w:w="80" w:type="dxa"/>
              <w:bottom w:w="80" w:type="dxa"/>
              <w:right w:w="80" w:type="dxa"/>
            </w:tcMar>
            <w:vAlign w:val="center"/>
          </w:tcPr>
          <w:p w14:paraId="39B5F233" w14:textId="5AB3AFF6" w:rsidR="00D0052F" w:rsidRPr="006F225A" w:rsidRDefault="00D0052F" w:rsidP="0034123F">
            <w:pPr>
              <w:pStyle w:val="BodyC"/>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January 2010</w:t>
            </w:r>
            <w:r w:rsidR="00733890" w:rsidRPr="006F225A">
              <w:rPr>
                <w:rStyle w:val="None"/>
                <w:rFonts w:ascii="Palatino Linotype" w:hAnsi="Palatino Linotype"/>
                <w:color w:val="auto"/>
                <w:sz w:val="18"/>
                <w:szCs w:val="16"/>
                <w:lang w:val="en-GB"/>
              </w:rPr>
              <w:t>–</w:t>
            </w:r>
            <w:r w:rsidRPr="006F225A">
              <w:rPr>
                <w:rStyle w:val="None"/>
                <w:rFonts w:ascii="Palatino Linotype" w:hAnsi="Palatino Linotype"/>
                <w:color w:val="auto"/>
                <w:sz w:val="18"/>
                <w:szCs w:val="16"/>
                <w:lang w:val="en-GB"/>
              </w:rPr>
              <w:t xml:space="preserve">January 2017 </w:t>
            </w:r>
          </w:p>
        </w:tc>
        <w:tc>
          <w:tcPr>
            <w:tcW w:w="441" w:type="pct"/>
            <w:shd w:val="clear" w:color="auto" w:fill="FFFFFF"/>
            <w:tcMar>
              <w:top w:w="80" w:type="dxa"/>
              <w:left w:w="80" w:type="dxa"/>
              <w:bottom w:w="80" w:type="dxa"/>
              <w:right w:w="80" w:type="dxa"/>
            </w:tcMar>
            <w:vAlign w:val="center"/>
          </w:tcPr>
          <w:p w14:paraId="14195B7B" w14:textId="77777777" w:rsidR="00D0052F" w:rsidRPr="006F225A" w:rsidRDefault="00D0052F" w:rsidP="0034123F">
            <w:pPr>
              <w:pStyle w:val="BodyC"/>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 xml:space="preserve">Retrospective cohort study </w:t>
            </w:r>
          </w:p>
        </w:tc>
        <w:tc>
          <w:tcPr>
            <w:tcW w:w="396" w:type="pct"/>
            <w:shd w:val="clear" w:color="auto" w:fill="FFFFFF"/>
            <w:tcMar>
              <w:top w:w="80" w:type="dxa"/>
              <w:left w:w="80" w:type="dxa"/>
              <w:bottom w:w="80" w:type="dxa"/>
              <w:right w:w="80" w:type="dxa"/>
            </w:tcMar>
            <w:vAlign w:val="center"/>
          </w:tcPr>
          <w:p w14:paraId="2BD74611" w14:textId="77777777" w:rsidR="00D0052F" w:rsidRPr="006F225A" w:rsidRDefault="00D0052F" w:rsidP="0034123F">
            <w:pPr>
              <w:pStyle w:val="BodyC"/>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332</w:t>
            </w:r>
          </w:p>
        </w:tc>
        <w:tc>
          <w:tcPr>
            <w:tcW w:w="488" w:type="pct"/>
            <w:shd w:val="clear" w:color="auto" w:fill="FFFFFF"/>
            <w:tcMar>
              <w:top w:w="80" w:type="dxa"/>
              <w:left w:w="80" w:type="dxa"/>
              <w:bottom w:w="80" w:type="dxa"/>
              <w:right w:w="80" w:type="dxa"/>
            </w:tcMar>
            <w:vAlign w:val="center"/>
          </w:tcPr>
          <w:p w14:paraId="7CA7BF7B" w14:textId="77777777" w:rsidR="00D0052F" w:rsidRPr="006F225A" w:rsidRDefault="00D0052F" w:rsidP="0034123F">
            <w:pPr>
              <w:pStyle w:val="BodyD"/>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NR</w:t>
            </w:r>
          </w:p>
        </w:tc>
        <w:tc>
          <w:tcPr>
            <w:tcW w:w="442" w:type="pct"/>
            <w:shd w:val="clear" w:color="auto" w:fill="FFFFFF"/>
            <w:tcMar>
              <w:top w:w="80" w:type="dxa"/>
              <w:left w:w="80" w:type="dxa"/>
              <w:bottom w:w="80" w:type="dxa"/>
              <w:right w:w="80" w:type="dxa"/>
            </w:tcMar>
            <w:vAlign w:val="center"/>
          </w:tcPr>
          <w:p w14:paraId="4A69D28F" w14:textId="77777777" w:rsidR="00D0052F" w:rsidRPr="006F225A" w:rsidRDefault="00D0052F" w:rsidP="0034123F">
            <w:pPr>
              <w:pStyle w:val="BodyC"/>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 xml:space="preserve">29.3 (9.5) years </w:t>
            </w:r>
          </w:p>
        </w:tc>
        <w:tc>
          <w:tcPr>
            <w:tcW w:w="579" w:type="pct"/>
            <w:shd w:val="clear" w:color="auto" w:fill="FFFFFF"/>
            <w:tcMar>
              <w:top w:w="80" w:type="dxa"/>
              <w:left w:w="80" w:type="dxa"/>
              <w:bottom w:w="80" w:type="dxa"/>
              <w:right w:w="80" w:type="dxa"/>
            </w:tcMar>
            <w:vAlign w:val="center"/>
          </w:tcPr>
          <w:p w14:paraId="58BFA1F9" w14:textId="77777777" w:rsidR="00D0052F" w:rsidRPr="006F225A" w:rsidRDefault="00D0052F" w:rsidP="0034123F">
            <w:pPr>
              <w:pStyle w:val="BodyD"/>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NR</w:t>
            </w:r>
          </w:p>
        </w:tc>
        <w:tc>
          <w:tcPr>
            <w:tcW w:w="351" w:type="pct"/>
            <w:shd w:val="clear" w:color="auto" w:fill="FFFFFF"/>
            <w:tcMar>
              <w:top w:w="80" w:type="dxa"/>
              <w:left w:w="80" w:type="dxa"/>
              <w:bottom w:w="80" w:type="dxa"/>
              <w:right w:w="80" w:type="dxa"/>
            </w:tcMar>
            <w:vAlign w:val="center"/>
          </w:tcPr>
          <w:p w14:paraId="4AB5A81F" w14:textId="77777777" w:rsidR="00D0052F" w:rsidRPr="006F225A" w:rsidRDefault="00D0052F" w:rsidP="0034123F">
            <w:pPr>
              <w:pStyle w:val="BodyD"/>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10</w:t>
            </w:r>
          </w:p>
        </w:tc>
        <w:tc>
          <w:tcPr>
            <w:tcW w:w="626" w:type="pct"/>
            <w:shd w:val="clear" w:color="auto" w:fill="FFFFFF"/>
            <w:tcMar>
              <w:top w:w="80" w:type="dxa"/>
              <w:left w:w="80" w:type="dxa"/>
              <w:bottom w:w="80" w:type="dxa"/>
              <w:right w:w="80" w:type="dxa"/>
            </w:tcMar>
            <w:vAlign w:val="center"/>
          </w:tcPr>
          <w:p w14:paraId="35FF7EDC" w14:textId="77777777" w:rsidR="00D0052F" w:rsidRPr="006F225A" w:rsidRDefault="00D0052F" w:rsidP="0034123F">
            <w:pPr>
              <w:pStyle w:val="BodyC"/>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 xml:space="preserve">Adult patients’ postural tachycardia syndrome </w:t>
            </w:r>
          </w:p>
        </w:tc>
        <w:tc>
          <w:tcPr>
            <w:tcW w:w="351" w:type="pct"/>
            <w:shd w:val="clear" w:color="auto" w:fill="FEFFFE"/>
            <w:tcMar>
              <w:top w:w="80" w:type="dxa"/>
              <w:left w:w="80" w:type="dxa"/>
              <w:bottom w:w="80" w:type="dxa"/>
              <w:right w:w="80" w:type="dxa"/>
            </w:tcMar>
            <w:vAlign w:val="center"/>
          </w:tcPr>
          <w:p w14:paraId="25B29058" w14:textId="77777777" w:rsidR="00D0052F" w:rsidRPr="006F225A" w:rsidRDefault="00D0052F" w:rsidP="00A57945">
            <w:pPr>
              <w:pStyle w:val="BodyE"/>
              <w:autoSpaceDE w:val="0"/>
              <w:autoSpaceDN w:val="0"/>
              <w:adjustRightInd w:val="0"/>
              <w:snapToGrid w:val="0"/>
              <w:jc w:val="center"/>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 xml:space="preserve">Fair </w:t>
            </w:r>
          </w:p>
        </w:tc>
      </w:tr>
      <w:tr w:rsidR="009D7BC8" w:rsidRPr="006F225A" w14:paraId="402CDDF2" w14:textId="77777777" w:rsidTr="00A57945">
        <w:tblPrEx>
          <w:shd w:val="clear" w:color="auto" w:fill="CADFFF"/>
        </w:tblPrEx>
        <w:trPr>
          <w:jc w:val="center"/>
        </w:trPr>
        <w:tc>
          <w:tcPr>
            <w:tcW w:w="492" w:type="pct"/>
            <w:shd w:val="clear" w:color="auto" w:fill="FFFFFF"/>
            <w:tcMar>
              <w:top w:w="80" w:type="dxa"/>
              <w:left w:w="80" w:type="dxa"/>
              <w:bottom w:w="80" w:type="dxa"/>
              <w:right w:w="80" w:type="dxa"/>
            </w:tcMar>
            <w:vAlign w:val="center"/>
          </w:tcPr>
          <w:p w14:paraId="2D5AB8CE"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proofErr w:type="spellStart"/>
            <w:r w:rsidRPr="006F225A">
              <w:rPr>
                <w:rStyle w:val="None"/>
                <w:rFonts w:ascii="Palatino Linotype" w:hAnsi="Palatino Linotype"/>
                <w:color w:val="auto"/>
                <w:sz w:val="18"/>
                <w:szCs w:val="16"/>
                <w:lang w:val="en-GB"/>
              </w:rPr>
              <w:t>Waisbourd-Zinman</w:t>
            </w:r>
            <w:proofErr w:type="spellEnd"/>
            <w:r w:rsidRPr="006F225A">
              <w:rPr>
                <w:rStyle w:val="None"/>
                <w:rFonts w:ascii="Palatino Linotype" w:hAnsi="Palatino Linotype"/>
                <w:color w:val="auto"/>
                <w:sz w:val="18"/>
                <w:szCs w:val="16"/>
                <w:lang w:val="en-GB"/>
              </w:rPr>
              <w:t xml:space="preserve"> et al., 2008</w:t>
            </w:r>
            <w:r w:rsidR="003221F8" w:rsidRPr="006F225A">
              <w:rPr>
                <w:rStyle w:val="None"/>
                <w:rFonts w:ascii="Palatino Linotype" w:hAnsi="Palatino Linotype"/>
                <w:color w:val="auto"/>
                <w:sz w:val="18"/>
                <w:szCs w:val="16"/>
                <w:lang w:val="en-GB"/>
              </w:rPr>
              <w:t xml:space="preserve"> [26]</w:t>
            </w:r>
          </w:p>
        </w:tc>
        <w:tc>
          <w:tcPr>
            <w:tcW w:w="393" w:type="pct"/>
            <w:shd w:val="clear" w:color="auto" w:fill="FFFFFF"/>
            <w:tcMar>
              <w:top w:w="80" w:type="dxa"/>
              <w:left w:w="80" w:type="dxa"/>
              <w:bottom w:w="80" w:type="dxa"/>
              <w:right w:w="80" w:type="dxa"/>
            </w:tcMar>
            <w:vAlign w:val="center"/>
          </w:tcPr>
          <w:p w14:paraId="0C708657" w14:textId="77777777" w:rsidR="00D0052F" w:rsidRPr="006F225A" w:rsidRDefault="00D0052F" w:rsidP="0034123F">
            <w:pPr>
              <w:pStyle w:val="BodyC"/>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 xml:space="preserve">Israel </w:t>
            </w:r>
          </w:p>
        </w:tc>
        <w:tc>
          <w:tcPr>
            <w:tcW w:w="442" w:type="pct"/>
            <w:shd w:val="clear" w:color="auto" w:fill="FFFFFF"/>
            <w:tcMar>
              <w:top w:w="80" w:type="dxa"/>
              <w:left w:w="80" w:type="dxa"/>
              <w:bottom w:w="80" w:type="dxa"/>
              <w:right w:w="80" w:type="dxa"/>
            </w:tcMar>
            <w:vAlign w:val="center"/>
          </w:tcPr>
          <w:p w14:paraId="53DE605E" w14:textId="65225C1F" w:rsidR="00D0052F" w:rsidRPr="006F225A" w:rsidRDefault="00C62722"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 xml:space="preserve">1 </w:t>
            </w:r>
            <w:r w:rsidR="00D0052F" w:rsidRPr="006F225A">
              <w:rPr>
                <w:rStyle w:val="None"/>
                <w:rFonts w:ascii="Palatino Linotype" w:hAnsi="Palatino Linotype"/>
                <w:color w:val="auto"/>
                <w:sz w:val="18"/>
                <w:szCs w:val="16"/>
                <w:lang w:val="en-GB"/>
              </w:rPr>
              <w:t>January 2003</w:t>
            </w:r>
            <w:r w:rsidR="00733890" w:rsidRPr="006F225A">
              <w:rPr>
                <w:rStyle w:val="None"/>
                <w:rFonts w:ascii="Palatino Linotype" w:hAnsi="Palatino Linotype"/>
                <w:color w:val="auto"/>
                <w:sz w:val="18"/>
                <w:szCs w:val="16"/>
                <w:lang w:val="en-GB"/>
              </w:rPr>
              <w:t>–</w:t>
            </w:r>
            <w:r w:rsidRPr="006F225A">
              <w:rPr>
                <w:rStyle w:val="None"/>
                <w:rFonts w:ascii="Palatino Linotype" w:hAnsi="Palatino Linotype"/>
                <w:color w:val="auto"/>
                <w:sz w:val="18"/>
                <w:szCs w:val="16"/>
                <w:lang w:val="en-GB"/>
              </w:rPr>
              <w:t xml:space="preserve">31 </w:t>
            </w:r>
            <w:r w:rsidR="00D0052F" w:rsidRPr="006F225A">
              <w:rPr>
                <w:rStyle w:val="None"/>
                <w:rFonts w:ascii="Palatino Linotype" w:hAnsi="Palatino Linotype"/>
                <w:color w:val="auto"/>
                <w:sz w:val="18"/>
                <w:szCs w:val="16"/>
                <w:lang w:val="en-GB"/>
              </w:rPr>
              <w:t>December 2006</w:t>
            </w:r>
          </w:p>
        </w:tc>
        <w:tc>
          <w:tcPr>
            <w:tcW w:w="441" w:type="pct"/>
            <w:shd w:val="clear" w:color="auto" w:fill="FFFFFF"/>
            <w:tcMar>
              <w:top w:w="80" w:type="dxa"/>
              <w:left w:w="80" w:type="dxa"/>
              <w:bottom w:w="80" w:type="dxa"/>
              <w:right w:w="80" w:type="dxa"/>
            </w:tcMar>
            <w:vAlign w:val="center"/>
          </w:tcPr>
          <w:p w14:paraId="1523C8CC"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 xml:space="preserve">Prospective cohort study </w:t>
            </w:r>
          </w:p>
        </w:tc>
        <w:tc>
          <w:tcPr>
            <w:tcW w:w="396" w:type="pct"/>
            <w:shd w:val="clear" w:color="auto" w:fill="FFFFFF"/>
            <w:tcMar>
              <w:top w:w="80" w:type="dxa"/>
              <w:left w:w="80" w:type="dxa"/>
              <w:bottom w:w="80" w:type="dxa"/>
              <w:right w:w="80" w:type="dxa"/>
            </w:tcMar>
            <w:vAlign w:val="center"/>
          </w:tcPr>
          <w:p w14:paraId="18DAFB00"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356</w:t>
            </w:r>
          </w:p>
        </w:tc>
        <w:tc>
          <w:tcPr>
            <w:tcW w:w="488" w:type="pct"/>
            <w:shd w:val="clear" w:color="auto" w:fill="FFFFFF"/>
            <w:tcMar>
              <w:top w:w="80" w:type="dxa"/>
              <w:left w:w="80" w:type="dxa"/>
              <w:bottom w:w="80" w:type="dxa"/>
              <w:right w:w="80" w:type="dxa"/>
            </w:tcMar>
            <w:vAlign w:val="center"/>
          </w:tcPr>
          <w:p w14:paraId="23DBEE04" w14:textId="77777777" w:rsidR="00D0052F" w:rsidRPr="006F225A" w:rsidRDefault="00D0052F" w:rsidP="0034123F">
            <w:pPr>
              <w:pStyle w:val="BodyD"/>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NR</w:t>
            </w:r>
          </w:p>
        </w:tc>
        <w:tc>
          <w:tcPr>
            <w:tcW w:w="442" w:type="pct"/>
            <w:shd w:val="clear" w:color="auto" w:fill="FFFFFF"/>
            <w:tcMar>
              <w:top w:w="80" w:type="dxa"/>
              <w:left w:w="80" w:type="dxa"/>
              <w:bottom w:w="80" w:type="dxa"/>
              <w:right w:w="80" w:type="dxa"/>
            </w:tcMar>
            <w:vAlign w:val="center"/>
          </w:tcPr>
          <w:p w14:paraId="4746E013"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 xml:space="preserve">14.6 (24.7) months </w:t>
            </w:r>
          </w:p>
        </w:tc>
        <w:tc>
          <w:tcPr>
            <w:tcW w:w="579" w:type="pct"/>
            <w:shd w:val="clear" w:color="auto" w:fill="FFFFFF"/>
            <w:tcMar>
              <w:top w:w="80" w:type="dxa"/>
              <w:left w:w="80" w:type="dxa"/>
              <w:bottom w:w="80" w:type="dxa"/>
              <w:right w:w="80" w:type="dxa"/>
            </w:tcMar>
            <w:vAlign w:val="center"/>
          </w:tcPr>
          <w:p w14:paraId="050F23D4" w14:textId="77777777" w:rsidR="00D0052F" w:rsidRPr="006F225A" w:rsidRDefault="00D0052F" w:rsidP="0034123F">
            <w:pPr>
              <w:pStyle w:val="BodyD"/>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9 months</w:t>
            </w:r>
          </w:p>
        </w:tc>
        <w:tc>
          <w:tcPr>
            <w:tcW w:w="351" w:type="pct"/>
            <w:shd w:val="clear" w:color="auto" w:fill="FFFFFF"/>
            <w:tcMar>
              <w:top w:w="80" w:type="dxa"/>
              <w:left w:w="80" w:type="dxa"/>
              <w:bottom w:w="80" w:type="dxa"/>
              <w:right w:w="80" w:type="dxa"/>
            </w:tcMar>
            <w:vAlign w:val="center"/>
          </w:tcPr>
          <w:p w14:paraId="30DE3736" w14:textId="77777777" w:rsidR="00D0052F" w:rsidRPr="006F225A" w:rsidRDefault="00D0052F" w:rsidP="0034123F">
            <w:pPr>
              <w:pStyle w:val="BodyD"/>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54.5</w:t>
            </w:r>
          </w:p>
        </w:tc>
        <w:tc>
          <w:tcPr>
            <w:tcW w:w="626" w:type="pct"/>
            <w:shd w:val="clear" w:color="auto" w:fill="FFFFFF"/>
            <w:tcMar>
              <w:top w:w="80" w:type="dxa"/>
              <w:left w:w="80" w:type="dxa"/>
              <w:bottom w:w="80" w:type="dxa"/>
              <w:right w:w="80" w:type="dxa"/>
            </w:tcMar>
            <w:vAlign w:val="center"/>
          </w:tcPr>
          <w:p w14:paraId="57F8D920"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Paediatric patients hospitalised with nosocomial rotavirus gastroenteritis</w:t>
            </w:r>
          </w:p>
        </w:tc>
        <w:tc>
          <w:tcPr>
            <w:tcW w:w="351" w:type="pct"/>
            <w:shd w:val="clear" w:color="auto" w:fill="FEFFFE"/>
            <w:tcMar>
              <w:top w:w="80" w:type="dxa"/>
              <w:left w:w="80" w:type="dxa"/>
              <w:bottom w:w="80" w:type="dxa"/>
              <w:right w:w="80" w:type="dxa"/>
            </w:tcMar>
            <w:vAlign w:val="center"/>
          </w:tcPr>
          <w:p w14:paraId="00AE778C" w14:textId="77777777" w:rsidR="00D0052F" w:rsidRPr="006F225A" w:rsidRDefault="00D0052F" w:rsidP="00A57945">
            <w:pPr>
              <w:pStyle w:val="BodyE"/>
              <w:autoSpaceDE w:val="0"/>
              <w:autoSpaceDN w:val="0"/>
              <w:adjustRightInd w:val="0"/>
              <w:snapToGrid w:val="0"/>
              <w:jc w:val="center"/>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 xml:space="preserve">Fair </w:t>
            </w:r>
          </w:p>
        </w:tc>
      </w:tr>
      <w:tr w:rsidR="009D7BC8" w:rsidRPr="006F225A" w14:paraId="14516A16" w14:textId="77777777" w:rsidTr="00A57945">
        <w:tblPrEx>
          <w:shd w:val="clear" w:color="auto" w:fill="CADFFF"/>
        </w:tblPrEx>
        <w:trPr>
          <w:jc w:val="center"/>
        </w:trPr>
        <w:tc>
          <w:tcPr>
            <w:tcW w:w="492" w:type="pct"/>
            <w:shd w:val="clear" w:color="auto" w:fill="FFFFFF"/>
            <w:tcMar>
              <w:top w:w="80" w:type="dxa"/>
              <w:left w:w="80" w:type="dxa"/>
              <w:bottom w:w="80" w:type="dxa"/>
              <w:right w:w="80" w:type="dxa"/>
            </w:tcMar>
            <w:vAlign w:val="center"/>
          </w:tcPr>
          <w:p w14:paraId="144B6D93" w14:textId="77777777" w:rsidR="00D0052F" w:rsidRPr="006F225A" w:rsidRDefault="00D0052F" w:rsidP="0034123F">
            <w:pPr>
              <w:pStyle w:val="BodyD"/>
              <w:autoSpaceDE w:val="0"/>
              <w:autoSpaceDN w:val="0"/>
              <w:adjustRightInd w:val="0"/>
              <w:snapToGrid w:val="0"/>
              <w:rPr>
                <w:rFonts w:ascii="Palatino Linotype" w:hAnsi="Palatino Linotype"/>
                <w:color w:val="auto"/>
                <w:sz w:val="18"/>
                <w:szCs w:val="16"/>
                <w:lang w:val="en-GB"/>
              </w:rPr>
            </w:pPr>
            <w:proofErr w:type="spellStart"/>
            <w:r w:rsidRPr="006F225A">
              <w:rPr>
                <w:rStyle w:val="None"/>
                <w:rFonts w:ascii="Palatino Linotype" w:hAnsi="Palatino Linotype"/>
                <w:color w:val="auto"/>
                <w:sz w:val="18"/>
                <w:szCs w:val="16"/>
                <w:lang w:val="en-GB"/>
              </w:rPr>
              <w:t>Wathen</w:t>
            </w:r>
            <w:proofErr w:type="spellEnd"/>
            <w:r w:rsidRPr="006F225A">
              <w:rPr>
                <w:rStyle w:val="None"/>
                <w:rFonts w:ascii="Palatino Linotype" w:hAnsi="Palatino Linotype"/>
                <w:color w:val="auto"/>
                <w:sz w:val="18"/>
                <w:szCs w:val="16"/>
                <w:lang w:val="en-GB"/>
              </w:rPr>
              <w:t xml:space="preserve">, </w:t>
            </w:r>
            <w:proofErr w:type="spellStart"/>
            <w:r w:rsidRPr="006F225A">
              <w:rPr>
                <w:rStyle w:val="None"/>
                <w:rFonts w:ascii="Palatino Linotype" w:hAnsi="Palatino Linotype"/>
                <w:color w:val="auto"/>
                <w:sz w:val="18"/>
                <w:szCs w:val="16"/>
                <w:lang w:val="en-GB"/>
              </w:rPr>
              <w:t>MacKenzie</w:t>
            </w:r>
            <w:proofErr w:type="spellEnd"/>
            <w:r w:rsidRPr="006F225A">
              <w:rPr>
                <w:rStyle w:val="None"/>
                <w:rFonts w:ascii="Palatino Linotype" w:hAnsi="Palatino Linotype"/>
                <w:color w:val="auto"/>
                <w:sz w:val="18"/>
                <w:szCs w:val="16"/>
                <w:lang w:val="en-GB"/>
              </w:rPr>
              <w:t xml:space="preserve"> and Bothner, 2004 </w:t>
            </w:r>
            <w:r w:rsidR="003221F8" w:rsidRPr="006F225A">
              <w:rPr>
                <w:rStyle w:val="None"/>
                <w:rFonts w:ascii="Palatino Linotype" w:hAnsi="Palatino Linotype"/>
                <w:color w:val="auto"/>
                <w:sz w:val="18"/>
                <w:szCs w:val="16"/>
                <w:lang w:val="en-GB"/>
              </w:rPr>
              <w:t>[28]</w:t>
            </w:r>
          </w:p>
        </w:tc>
        <w:tc>
          <w:tcPr>
            <w:tcW w:w="393" w:type="pct"/>
            <w:shd w:val="clear" w:color="auto" w:fill="FFFFFF"/>
            <w:tcMar>
              <w:top w:w="80" w:type="dxa"/>
              <w:left w:w="80" w:type="dxa"/>
              <w:bottom w:w="80" w:type="dxa"/>
              <w:right w:w="80" w:type="dxa"/>
            </w:tcMar>
            <w:vAlign w:val="center"/>
          </w:tcPr>
          <w:p w14:paraId="2CB76B7B" w14:textId="77777777" w:rsidR="00D0052F" w:rsidRPr="006F225A" w:rsidRDefault="00D0052F" w:rsidP="0034123F">
            <w:pPr>
              <w:pStyle w:val="BodyD"/>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USA</w:t>
            </w:r>
          </w:p>
        </w:tc>
        <w:tc>
          <w:tcPr>
            <w:tcW w:w="442" w:type="pct"/>
            <w:shd w:val="clear" w:color="auto" w:fill="FFFFFF"/>
            <w:tcMar>
              <w:top w:w="80" w:type="dxa"/>
              <w:left w:w="80" w:type="dxa"/>
              <w:bottom w:w="80" w:type="dxa"/>
              <w:right w:w="80" w:type="dxa"/>
            </w:tcMar>
            <w:vAlign w:val="center"/>
          </w:tcPr>
          <w:p w14:paraId="13A327AD" w14:textId="4E507C85" w:rsidR="00D0052F" w:rsidRPr="006F225A" w:rsidRDefault="00D0052F" w:rsidP="0034123F">
            <w:pPr>
              <w:pStyle w:val="BodyD"/>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January</w:t>
            </w:r>
            <w:r w:rsidR="00733890" w:rsidRPr="006F225A">
              <w:rPr>
                <w:rStyle w:val="None"/>
                <w:rFonts w:ascii="Palatino Linotype" w:hAnsi="Palatino Linotype"/>
                <w:color w:val="auto"/>
                <w:sz w:val="18"/>
                <w:szCs w:val="16"/>
                <w:lang w:val="en-GB"/>
              </w:rPr>
              <w:t>–</w:t>
            </w:r>
            <w:r w:rsidRPr="006F225A">
              <w:rPr>
                <w:rStyle w:val="None"/>
                <w:rFonts w:ascii="Palatino Linotype" w:hAnsi="Palatino Linotype"/>
                <w:color w:val="auto"/>
                <w:sz w:val="18"/>
                <w:szCs w:val="16"/>
                <w:lang w:val="en-GB"/>
              </w:rPr>
              <w:t>October, 2004</w:t>
            </w:r>
          </w:p>
        </w:tc>
        <w:tc>
          <w:tcPr>
            <w:tcW w:w="441" w:type="pct"/>
            <w:shd w:val="clear" w:color="auto" w:fill="FFFFFF"/>
            <w:tcMar>
              <w:top w:w="80" w:type="dxa"/>
              <w:left w:w="80" w:type="dxa"/>
              <w:bottom w:w="80" w:type="dxa"/>
              <w:right w:w="80" w:type="dxa"/>
            </w:tcMar>
            <w:vAlign w:val="center"/>
          </w:tcPr>
          <w:p w14:paraId="7535D117"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 xml:space="preserve">Prospective cohort study </w:t>
            </w:r>
          </w:p>
        </w:tc>
        <w:tc>
          <w:tcPr>
            <w:tcW w:w="396" w:type="pct"/>
            <w:shd w:val="clear" w:color="auto" w:fill="FFFFFF"/>
            <w:tcMar>
              <w:top w:w="80" w:type="dxa"/>
              <w:left w:w="80" w:type="dxa"/>
              <w:bottom w:w="80" w:type="dxa"/>
              <w:right w:w="80" w:type="dxa"/>
            </w:tcMar>
            <w:vAlign w:val="center"/>
          </w:tcPr>
          <w:p w14:paraId="2CA356DE" w14:textId="77777777" w:rsidR="00D0052F" w:rsidRPr="006F225A" w:rsidRDefault="00D0052F" w:rsidP="0034123F">
            <w:pPr>
              <w:pStyle w:val="BodyD"/>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182</w:t>
            </w:r>
          </w:p>
        </w:tc>
        <w:tc>
          <w:tcPr>
            <w:tcW w:w="488" w:type="pct"/>
            <w:shd w:val="clear" w:color="auto" w:fill="FFFFFF"/>
            <w:tcMar>
              <w:top w:w="80" w:type="dxa"/>
              <w:left w:w="80" w:type="dxa"/>
              <w:bottom w:w="80" w:type="dxa"/>
              <w:right w:w="80" w:type="dxa"/>
            </w:tcMar>
            <w:vAlign w:val="center"/>
          </w:tcPr>
          <w:p w14:paraId="114851B3" w14:textId="77777777" w:rsidR="00D0052F" w:rsidRPr="006F225A" w:rsidRDefault="00D0052F" w:rsidP="0034123F">
            <w:pPr>
              <w:pStyle w:val="BodyD"/>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 xml:space="preserve">2.7 months to 8.5 years </w:t>
            </w:r>
          </w:p>
        </w:tc>
        <w:tc>
          <w:tcPr>
            <w:tcW w:w="442" w:type="pct"/>
            <w:shd w:val="clear" w:color="auto" w:fill="FFFFFF"/>
            <w:tcMar>
              <w:top w:w="80" w:type="dxa"/>
              <w:left w:w="80" w:type="dxa"/>
              <w:bottom w:w="80" w:type="dxa"/>
              <w:right w:w="80" w:type="dxa"/>
            </w:tcMar>
            <w:vAlign w:val="center"/>
          </w:tcPr>
          <w:p w14:paraId="1E730BB5" w14:textId="77777777" w:rsidR="00D0052F" w:rsidRPr="006F225A" w:rsidRDefault="00D0052F" w:rsidP="0034123F">
            <w:pPr>
              <w:autoSpaceDE w:val="0"/>
              <w:autoSpaceDN w:val="0"/>
              <w:adjustRightInd w:val="0"/>
              <w:snapToGrid w:val="0"/>
              <w:spacing w:line="240" w:lineRule="auto"/>
              <w:jc w:val="left"/>
              <w:rPr>
                <w:color w:val="auto"/>
                <w:sz w:val="18"/>
                <w:szCs w:val="16"/>
                <w:lang w:val="en-GB"/>
              </w:rPr>
            </w:pPr>
          </w:p>
        </w:tc>
        <w:tc>
          <w:tcPr>
            <w:tcW w:w="579" w:type="pct"/>
            <w:shd w:val="clear" w:color="auto" w:fill="FFFFFF"/>
            <w:tcMar>
              <w:top w:w="80" w:type="dxa"/>
              <w:left w:w="80" w:type="dxa"/>
              <w:bottom w:w="80" w:type="dxa"/>
              <w:right w:w="80" w:type="dxa"/>
            </w:tcMar>
            <w:vAlign w:val="center"/>
          </w:tcPr>
          <w:p w14:paraId="3E94E3C3" w14:textId="77777777" w:rsidR="00D0052F" w:rsidRPr="006F225A" w:rsidRDefault="00D0052F" w:rsidP="0034123F">
            <w:pPr>
              <w:pStyle w:val="BodyD"/>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1.4 years</w:t>
            </w:r>
          </w:p>
        </w:tc>
        <w:tc>
          <w:tcPr>
            <w:tcW w:w="351" w:type="pct"/>
            <w:shd w:val="clear" w:color="auto" w:fill="FFFFFF"/>
            <w:tcMar>
              <w:top w:w="80" w:type="dxa"/>
              <w:left w:w="80" w:type="dxa"/>
              <w:bottom w:w="80" w:type="dxa"/>
              <w:right w:w="80" w:type="dxa"/>
            </w:tcMar>
            <w:vAlign w:val="center"/>
          </w:tcPr>
          <w:p w14:paraId="70F294D7" w14:textId="77777777" w:rsidR="00D0052F" w:rsidRPr="006F225A" w:rsidRDefault="00D0052F" w:rsidP="0034123F">
            <w:pPr>
              <w:pStyle w:val="BodyD"/>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51</w:t>
            </w:r>
          </w:p>
        </w:tc>
        <w:tc>
          <w:tcPr>
            <w:tcW w:w="626" w:type="pct"/>
            <w:shd w:val="clear" w:color="auto" w:fill="FFFFFF"/>
            <w:tcMar>
              <w:top w:w="80" w:type="dxa"/>
              <w:left w:w="80" w:type="dxa"/>
              <w:bottom w:w="80" w:type="dxa"/>
              <w:right w:w="80" w:type="dxa"/>
            </w:tcMar>
            <w:vAlign w:val="center"/>
          </w:tcPr>
          <w:p w14:paraId="2544F69D" w14:textId="77777777" w:rsidR="00D0052F" w:rsidRPr="006F225A" w:rsidRDefault="00D0052F" w:rsidP="0034123F">
            <w:pPr>
              <w:pStyle w:val="BodyA"/>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Paediatric patients presenting at the hospital with gastroenteritis and dehydration</w:t>
            </w:r>
          </w:p>
        </w:tc>
        <w:tc>
          <w:tcPr>
            <w:tcW w:w="351" w:type="pct"/>
            <w:shd w:val="clear" w:color="auto" w:fill="FEFFFE"/>
            <w:tcMar>
              <w:top w:w="80" w:type="dxa"/>
              <w:left w:w="80" w:type="dxa"/>
              <w:bottom w:w="80" w:type="dxa"/>
              <w:right w:w="80" w:type="dxa"/>
            </w:tcMar>
            <w:vAlign w:val="center"/>
          </w:tcPr>
          <w:p w14:paraId="61B5BE46" w14:textId="77777777" w:rsidR="00D0052F" w:rsidRPr="006F225A" w:rsidRDefault="00D0052F" w:rsidP="00A57945">
            <w:pPr>
              <w:pStyle w:val="BodyE"/>
              <w:autoSpaceDE w:val="0"/>
              <w:autoSpaceDN w:val="0"/>
              <w:adjustRightInd w:val="0"/>
              <w:snapToGrid w:val="0"/>
              <w:jc w:val="center"/>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 xml:space="preserve">Fair </w:t>
            </w:r>
          </w:p>
        </w:tc>
      </w:tr>
      <w:tr w:rsidR="009D7BC8" w:rsidRPr="006F225A" w14:paraId="59AD2AB5" w14:textId="77777777" w:rsidTr="00A57945">
        <w:tblPrEx>
          <w:shd w:val="clear" w:color="auto" w:fill="CADFFF"/>
        </w:tblPrEx>
        <w:trPr>
          <w:jc w:val="center"/>
        </w:trPr>
        <w:tc>
          <w:tcPr>
            <w:tcW w:w="492" w:type="pct"/>
            <w:tcBorders>
              <w:bottom w:val="single" w:sz="8" w:space="0" w:color="auto"/>
            </w:tcBorders>
            <w:shd w:val="clear" w:color="auto" w:fill="FFFFFF"/>
            <w:tcMar>
              <w:top w:w="80" w:type="dxa"/>
              <w:left w:w="80" w:type="dxa"/>
              <w:bottom w:w="80" w:type="dxa"/>
              <w:right w:w="80" w:type="dxa"/>
            </w:tcMar>
            <w:vAlign w:val="center"/>
          </w:tcPr>
          <w:p w14:paraId="125F7BA0" w14:textId="77777777" w:rsidR="00D0052F" w:rsidRPr="006F225A" w:rsidRDefault="00D0052F" w:rsidP="0034123F">
            <w:pPr>
              <w:pStyle w:val="BodyC"/>
              <w:autoSpaceDE w:val="0"/>
              <w:autoSpaceDN w:val="0"/>
              <w:adjustRightInd w:val="0"/>
              <w:snapToGrid w:val="0"/>
              <w:rPr>
                <w:rFonts w:ascii="Palatino Linotype" w:hAnsi="Palatino Linotype"/>
                <w:color w:val="auto"/>
                <w:sz w:val="18"/>
                <w:szCs w:val="16"/>
                <w:lang w:val="en-GB"/>
              </w:rPr>
            </w:pPr>
            <w:proofErr w:type="spellStart"/>
            <w:r w:rsidRPr="006F225A">
              <w:rPr>
                <w:rStyle w:val="None"/>
                <w:rFonts w:ascii="Palatino Linotype" w:hAnsi="Palatino Linotype"/>
                <w:color w:val="auto"/>
                <w:sz w:val="18"/>
                <w:szCs w:val="16"/>
                <w:lang w:val="en-GB"/>
              </w:rPr>
              <w:t>Wildi</w:t>
            </w:r>
            <w:proofErr w:type="spellEnd"/>
            <w:r w:rsidRPr="006F225A">
              <w:rPr>
                <w:rStyle w:val="None"/>
                <w:rFonts w:ascii="Palatino Linotype" w:hAnsi="Palatino Linotype"/>
                <w:color w:val="auto"/>
                <w:sz w:val="18"/>
                <w:szCs w:val="16"/>
                <w:lang w:val="en-GB"/>
              </w:rPr>
              <w:t>-Runge et al., 2009</w:t>
            </w:r>
            <w:r w:rsidR="003221F8" w:rsidRPr="006F225A">
              <w:rPr>
                <w:rStyle w:val="None"/>
                <w:rFonts w:ascii="Palatino Linotype" w:hAnsi="Palatino Linotype"/>
                <w:color w:val="auto"/>
                <w:sz w:val="18"/>
                <w:szCs w:val="16"/>
                <w:lang w:val="en-GB"/>
              </w:rPr>
              <w:t xml:space="preserve"> [27]</w:t>
            </w:r>
          </w:p>
        </w:tc>
        <w:tc>
          <w:tcPr>
            <w:tcW w:w="393" w:type="pct"/>
            <w:tcBorders>
              <w:bottom w:val="single" w:sz="8" w:space="0" w:color="auto"/>
            </w:tcBorders>
            <w:shd w:val="clear" w:color="auto" w:fill="FFFFFF"/>
            <w:tcMar>
              <w:top w:w="80" w:type="dxa"/>
              <w:left w:w="80" w:type="dxa"/>
              <w:bottom w:w="80" w:type="dxa"/>
              <w:right w:w="80" w:type="dxa"/>
            </w:tcMar>
            <w:vAlign w:val="center"/>
          </w:tcPr>
          <w:p w14:paraId="7416745A" w14:textId="77777777" w:rsidR="00D0052F" w:rsidRPr="006F225A" w:rsidRDefault="00D0052F" w:rsidP="0034123F">
            <w:pPr>
              <w:pStyle w:val="BodyC"/>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Switzerland</w:t>
            </w:r>
          </w:p>
        </w:tc>
        <w:tc>
          <w:tcPr>
            <w:tcW w:w="442" w:type="pct"/>
            <w:tcBorders>
              <w:bottom w:val="single" w:sz="8" w:space="0" w:color="auto"/>
            </w:tcBorders>
            <w:shd w:val="clear" w:color="auto" w:fill="FFFFFF"/>
            <w:tcMar>
              <w:top w:w="80" w:type="dxa"/>
              <w:left w:w="80" w:type="dxa"/>
              <w:bottom w:w="80" w:type="dxa"/>
              <w:right w:w="80" w:type="dxa"/>
            </w:tcMar>
            <w:vAlign w:val="center"/>
          </w:tcPr>
          <w:p w14:paraId="1C7A88A0" w14:textId="00C5D462" w:rsidR="00D0052F" w:rsidRPr="006F225A" w:rsidRDefault="00D0052F" w:rsidP="0034123F">
            <w:pPr>
              <w:pStyle w:val="BodyC"/>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July 2002</w:t>
            </w:r>
            <w:r w:rsidR="00733890" w:rsidRPr="006F225A">
              <w:rPr>
                <w:rStyle w:val="None"/>
                <w:rFonts w:ascii="Palatino Linotype" w:hAnsi="Palatino Linotype"/>
                <w:color w:val="auto"/>
                <w:sz w:val="18"/>
                <w:szCs w:val="16"/>
                <w:lang w:val="en-GB"/>
              </w:rPr>
              <w:t>–</w:t>
            </w:r>
            <w:r w:rsidRPr="006F225A">
              <w:rPr>
                <w:rStyle w:val="None"/>
                <w:rFonts w:ascii="Palatino Linotype" w:hAnsi="Palatino Linotype"/>
                <w:color w:val="auto"/>
                <w:sz w:val="18"/>
                <w:szCs w:val="16"/>
                <w:lang w:val="en-GB"/>
              </w:rPr>
              <w:t>March 2006</w:t>
            </w:r>
          </w:p>
        </w:tc>
        <w:tc>
          <w:tcPr>
            <w:tcW w:w="441" w:type="pct"/>
            <w:tcBorders>
              <w:bottom w:val="single" w:sz="8" w:space="0" w:color="auto"/>
            </w:tcBorders>
            <w:shd w:val="clear" w:color="auto" w:fill="FFFFFF"/>
            <w:tcMar>
              <w:top w:w="80" w:type="dxa"/>
              <w:left w:w="80" w:type="dxa"/>
              <w:bottom w:w="80" w:type="dxa"/>
              <w:right w:w="80" w:type="dxa"/>
            </w:tcMar>
            <w:vAlign w:val="center"/>
          </w:tcPr>
          <w:p w14:paraId="23D81335" w14:textId="77777777" w:rsidR="00D0052F" w:rsidRPr="006F225A" w:rsidRDefault="00D0052F" w:rsidP="0034123F">
            <w:pPr>
              <w:pStyle w:val="BodyC"/>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 xml:space="preserve">Retrospective chart review </w:t>
            </w:r>
          </w:p>
        </w:tc>
        <w:tc>
          <w:tcPr>
            <w:tcW w:w="396" w:type="pct"/>
            <w:tcBorders>
              <w:bottom w:val="single" w:sz="8" w:space="0" w:color="auto"/>
            </w:tcBorders>
            <w:shd w:val="clear" w:color="auto" w:fill="FFFFFF"/>
            <w:tcMar>
              <w:top w:w="80" w:type="dxa"/>
              <w:left w:w="80" w:type="dxa"/>
              <w:bottom w:w="80" w:type="dxa"/>
              <w:right w:w="80" w:type="dxa"/>
            </w:tcMar>
            <w:vAlign w:val="center"/>
          </w:tcPr>
          <w:p w14:paraId="33658AC2" w14:textId="77777777" w:rsidR="00D0052F" w:rsidRPr="006F225A" w:rsidRDefault="00D0052F" w:rsidP="0034123F">
            <w:pPr>
              <w:pStyle w:val="BodyC"/>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539</w:t>
            </w:r>
          </w:p>
        </w:tc>
        <w:tc>
          <w:tcPr>
            <w:tcW w:w="488" w:type="pct"/>
            <w:tcBorders>
              <w:bottom w:val="single" w:sz="8" w:space="0" w:color="auto"/>
            </w:tcBorders>
            <w:shd w:val="clear" w:color="auto" w:fill="FFFFFF"/>
            <w:tcMar>
              <w:top w:w="80" w:type="dxa"/>
              <w:left w:w="80" w:type="dxa"/>
              <w:bottom w:w="80" w:type="dxa"/>
              <w:right w:w="80" w:type="dxa"/>
            </w:tcMar>
            <w:vAlign w:val="center"/>
          </w:tcPr>
          <w:p w14:paraId="5988F849" w14:textId="77777777" w:rsidR="00D0052F" w:rsidRPr="006F225A" w:rsidRDefault="00D0052F" w:rsidP="0034123F">
            <w:pPr>
              <w:pStyle w:val="BodyD"/>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NR</w:t>
            </w:r>
          </w:p>
        </w:tc>
        <w:tc>
          <w:tcPr>
            <w:tcW w:w="442" w:type="pct"/>
            <w:tcBorders>
              <w:bottom w:val="single" w:sz="8" w:space="0" w:color="auto"/>
            </w:tcBorders>
            <w:shd w:val="clear" w:color="auto" w:fill="FFFFFF"/>
            <w:tcMar>
              <w:top w:w="80" w:type="dxa"/>
              <w:left w:w="80" w:type="dxa"/>
              <w:bottom w:w="80" w:type="dxa"/>
              <w:right w:w="80" w:type="dxa"/>
            </w:tcMar>
            <w:vAlign w:val="center"/>
          </w:tcPr>
          <w:p w14:paraId="76A9F11E" w14:textId="77777777" w:rsidR="00D0052F" w:rsidRPr="006F225A" w:rsidRDefault="00D0052F" w:rsidP="0034123F">
            <w:pPr>
              <w:pStyle w:val="BodyC"/>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 xml:space="preserve">1.4 (NR) years </w:t>
            </w:r>
          </w:p>
        </w:tc>
        <w:tc>
          <w:tcPr>
            <w:tcW w:w="579" w:type="pct"/>
            <w:tcBorders>
              <w:bottom w:val="single" w:sz="8" w:space="0" w:color="auto"/>
            </w:tcBorders>
            <w:shd w:val="clear" w:color="auto" w:fill="FFFFFF"/>
            <w:tcMar>
              <w:top w:w="80" w:type="dxa"/>
              <w:left w:w="80" w:type="dxa"/>
              <w:bottom w:w="80" w:type="dxa"/>
              <w:right w:w="80" w:type="dxa"/>
            </w:tcMar>
            <w:vAlign w:val="center"/>
          </w:tcPr>
          <w:p w14:paraId="7093FB9D" w14:textId="77777777" w:rsidR="00D0052F" w:rsidRPr="006F225A" w:rsidRDefault="00D0052F" w:rsidP="0034123F">
            <w:pPr>
              <w:pStyle w:val="BodyD"/>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NR</w:t>
            </w:r>
          </w:p>
        </w:tc>
        <w:tc>
          <w:tcPr>
            <w:tcW w:w="351" w:type="pct"/>
            <w:tcBorders>
              <w:bottom w:val="single" w:sz="8" w:space="0" w:color="auto"/>
            </w:tcBorders>
            <w:shd w:val="clear" w:color="auto" w:fill="FFFFFF"/>
            <w:tcMar>
              <w:top w:w="80" w:type="dxa"/>
              <w:left w:w="80" w:type="dxa"/>
              <w:bottom w:w="80" w:type="dxa"/>
              <w:right w:w="80" w:type="dxa"/>
            </w:tcMar>
            <w:vAlign w:val="center"/>
          </w:tcPr>
          <w:p w14:paraId="7828AFA4" w14:textId="77777777" w:rsidR="00D0052F" w:rsidRPr="006F225A" w:rsidRDefault="00D0052F" w:rsidP="0034123F">
            <w:pPr>
              <w:pStyle w:val="BodyD"/>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55.6</w:t>
            </w:r>
          </w:p>
        </w:tc>
        <w:tc>
          <w:tcPr>
            <w:tcW w:w="626" w:type="pct"/>
            <w:tcBorders>
              <w:bottom w:val="single" w:sz="8" w:space="0" w:color="auto"/>
            </w:tcBorders>
            <w:shd w:val="clear" w:color="auto" w:fill="FFFFFF"/>
            <w:tcMar>
              <w:top w:w="80" w:type="dxa"/>
              <w:left w:w="80" w:type="dxa"/>
              <w:bottom w:w="80" w:type="dxa"/>
              <w:right w:w="80" w:type="dxa"/>
            </w:tcMar>
            <w:vAlign w:val="center"/>
          </w:tcPr>
          <w:p w14:paraId="4BE71F4A" w14:textId="77777777" w:rsidR="00D0052F" w:rsidRPr="006F225A" w:rsidRDefault="00D0052F" w:rsidP="0034123F">
            <w:pPr>
              <w:pStyle w:val="BodyC"/>
              <w:autoSpaceDE w:val="0"/>
              <w:autoSpaceDN w:val="0"/>
              <w:adjustRightInd w:val="0"/>
              <w:snapToGrid w:val="0"/>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 xml:space="preserve">Paediatric patients hospitalised with rotavirus gastroenteritis </w:t>
            </w:r>
          </w:p>
        </w:tc>
        <w:tc>
          <w:tcPr>
            <w:tcW w:w="351" w:type="pct"/>
            <w:tcBorders>
              <w:bottom w:val="single" w:sz="8" w:space="0" w:color="auto"/>
            </w:tcBorders>
            <w:shd w:val="clear" w:color="auto" w:fill="FEFFFE"/>
            <w:tcMar>
              <w:top w:w="80" w:type="dxa"/>
              <w:left w:w="80" w:type="dxa"/>
              <w:bottom w:w="80" w:type="dxa"/>
              <w:right w:w="80" w:type="dxa"/>
            </w:tcMar>
            <w:vAlign w:val="center"/>
          </w:tcPr>
          <w:p w14:paraId="7CA82555" w14:textId="77777777" w:rsidR="00D0052F" w:rsidRPr="006F225A" w:rsidRDefault="00D0052F" w:rsidP="00A57945">
            <w:pPr>
              <w:pStyle w:val="BodyE"/>
              <w:autoSpaceDE w:val="0"/>
              <w:autoSpaceDN w:val="0"/>
              <w:adjustRightInd w:val="0"/>
              <w:snapToGrid w:val="0"/>
              <w:jc w:val="center"/>
              <w:rPr>
                <w:rFonts w:ascii="Palatino Linotype" w:hAnsi="Palatino Linotype"/>
                <w:color w:val="auto"/>
                <w:sz w:val="18"/>
                <w:szCs w:val="16"/>
                <w:lang w:val="en-GB"/>
              </w:rPr>
            </w:pPr>
            <w:r w:rsidRPr="006F225A">
              <w:rPr>
                <w:rStyle w:val="None"/>
                <w:rFonts w:ascii="Palatino Linotype" w:hAnsi="Palatino Linotype"/>
                <w:color w:val="auto"/>
                <w:sz w:val="18"/>
                <w:szCs w:val="16"/>
                <w:lang w:val="en-GB"/>
              </w:rPr>
              <w:t xml:space="preserve">Fair </w:t>
            </w:r>
          </w:p>
        </w:tc>
      </w:tr>
    </w:tbl>
    <w:p w14:paraId="05509B17" w14:textId="35F33869" w:rsidR="00C232BA" w:rsidRPr="006F225A" w:rsidRDefault="00C232BA" w:rsidP="0034123F">
      <w:pPr>
        <w:pStyle w:val="MDPI43tablefooter"/>
        <w:spacing w:after="240"/>
        <w:rPr>
          <w:lang w:val="en-GB"/>
        </w:rPr>
      </w:pPr>
      <w:r w:rsidRPr="006F225A">
        <w:rPr>
          <w:lang w:val="en-GB"/>
        </w:rPr>
        <w:t>SD, standard deviation; IQR, interquartile range; NR, not reported</w:t>
      </w:r>
      <w:r w:rsidR="0034123F" w:rsidRPr="006F225A">
        <w:rPr>
          <w:lang w:val="en-GB"/>
        </w:rPr>
        <w:t>.</w:t>
      </w:r>
    </w:p>
    <w:p w14:paraId="288614F5" w14:textId="77777777" w:rsidR="008E4C96" w:rsidRPr="006F225A" w:rsidRDefault="008E4C96" w:rsidP="001A13AA">
      <w:pPr>
        <w:pStyle w:val="MDPI31text"/>
        <w:rPr>
          <w:lang w:val="en-GB"/>
        </w:rPr>
      </w:pPr>
    </w:p>
    <w:p w14:paraId="634C5345" w14:textId="005A6FF7" w:rsidR="008E4C96" w:rsidRPr="006F225A" w:rsidRDefault="008E4C96" w:rsidP="00C232BA">
      <w:pPr>
        <w:pStyle w:val="MDPI23heading3"/>
        <w:ind w:left="0"/>
        <w:rPr>
          <w:iCs/>
          <w:color w:val="auto"/>
          <w:sz w:val="18"/>
          <w:szCs w:val="20"/>
          <w:lang w:val="en-GB"/>
        </w:rPr>
        <w:sectPr w:rsidR="008E4C96" w:rsidRPr="006F225A" w:rsidSect="00A57945">
          <w:pgSz w:w="16838" w:h="11906" w:orient="landscape" w:code="9"/>
          <w:pgMar w:top="1418" w:right="720" w:bottom="1077" w:left="720" w:header="1021" w:footer="340" w:gutter="0"/>
          <w:cols w:space="425"/>
          <w:bidi/>
          <w:docGrid w:linePitch="326"/>
        </w:sectPr>
      </w:pPr>
    </w:p>
    <w:p w14:paraId="0B150D67" w14:textId="6279AC7C" w:rsidR="00C232BA" w:rsidRPr="006F225A" w:rsidRDefault="00A57945" w:rsidP="00A57945">
      <w:pPr>
        <w:pStyle w:val="MDPI22heading2"/>
        <w:spacing w:before="240"/>
        <w:rPr>
          <w:lang w:val="en-GB"/>
        </w:rPr>
      </w:pPr>
      <w:r w:rsidRPr="006F225A">
        <w:rPr>
          <w:lang w:val="en-GB"/>
        </w:rPr>
        <w:lastRenderedPageBreak/>
        <w:t xml:space="preserve">3.3. </w:t>
      </w:r>
      <w:r w:rsidR="00C232BA" w:rsidRPr="006F225A">
        <w:rPr>
          <w:lang w:val="en-GB"/>
        </w:rPr>
        <w:t xml:space="preserve">Frequency of </w:t>
      </w:r>
      <w:r w:rsidR="00C62722" w:rsidRPr="006F225A">
        <w:rPr>
          <w:lang w:val="en-GB"/>
        </w:rPr>
        <w:t xml:space="preserve">Intravenous Rehydration </w:t>
      </w:r>
      <w:r w:rsidR="00C232BA" w:rsidRPr="006F225A">
        <w:rPr>
          <w:lang w:val="en-GB"/>
        </w:rPr>
        <w:t xml:space="preserve">in </w:t>
      </w:r>
      <w:r w:rsidR="00C62722" w:rsidRPr="006F225A">
        <w:rPr>
          <w:lang w:val="en-GB"/>
        </w:rPr>
        <w:t>Paediatric Patients</w:t>
      </w:r>
    </w:p>
    <w:p w14:paraId="41AFCF75" w14:textId="7CBB2282" w:rsidR="00C232BA" w:rsidRPr="006F225A" w:rsidRDefault="00C232BA" w:rsidP="00A57945">
      <w:pPr>
        <w:pStyle w:val="MDPI31text"/>
        <w:rPr>
          <w:lang w:val="en-GB"/>
        </w:rPr>
      </w:pPr>
      <w:r w:rsidRPr="006F225A">
        <w:rPr>
          <w:lang w:val="en-GB"/>
        </w:rPr>
        <w:t>Of the 29 included studies, 21 reported the prevalence of IV rehydration in</w:t>
      </w:r>
      <w:r w:rsidR="00F365BC" w:rsidRPr="006F225A">
        <w:rPr>
          <w:lang w:val="en-GB"/>
        </w:rPr>
        <w:t xml:space="preserve"> paediatric pa</w:t>
      </w:r>
      <w:r w:rsidRPr="006F225A">
        <w:rPr>
          <w:lang w:val="en-GB"/>
        </w:rPr>
        <w:t>tients.</w:t>
      </w:r>
      <w:r w:rsidR="00C7178F" w:rsidRPr="006F225A">
        <w:rPr>
          <w:lang w:val="en-GB"/>
        </w:rPr>
        <w:t xml:space="preserve"> This review found that the use </w:t>
      </w:r>
      <w:r w:rsidR="00E72D5C" w:rsidRPr="006F225A">
        <w:rPr>
          <w:lang w:val="en-GB"/>
        </w:rPr>
        <w:t>of IV rehydration therapy varied</w:t>
      </w:r>
      <w:r w:rsidR="00C7178F" w:rsidRPr="006F225A">
        <w:rPr>
          <w:lang w:val="en-GB"/>
        </w:rPr>
        <w:t xml:space="preserve"> considerably amongst paediatric patients</w:t>
      </w:r>
      <w:r w:rsidR="00B04DC6" w:rsidRPr="006F225A">
        <w:rPr>
          <w:lang w:val="en-GB"/>
        </w:rPr>
        <w:t xml:space="preserve">. </w:t>
      </w:r>
      <w:r w:rsidRPr="006F225A">
        <w:rPr>
          <w:lang w:val="en-GB"/>
        </w:rPr>
        <w:t>The prevalence ranged from 4.5% to 100% (Table 2).</w:t>
      </w:r>
    </w:p>
    <w:p w14:paraId="10B68756" w14:textId="5AA69723" w:rsidR="002D1B8F" w:rsidRPr="006F225A" w:rsidRDefault="00C232BA" w:rsidP="00A57945">
      <w:pPr>
        <w:pStyle w:val="MDPI31text"/>
        <w:rPr>
          <w:lang w:val="en-GB"/>
        </w:rPr>
      </w:pPr>
      <w:r w:rsidRPr="006F225A">
        <w:rPr>
          <w:lang w:val="en-GB"/>
        </w:rPr>
        <w:t xml:space="preserve">Four studies reported the prevalence of IV rehydration in children admitted to the hospital with diagnosis of diarrhoea </w:t>
      </w:r>
      <w:r w:rsidR="00CA3BE5" w:rsidRPr="006F225A">
        <w:rPr>
          <w:lang w:val="en-GB"/>
        </w:rPr>
        <w:t>[</w:t>
      </w:r>
      <w:r w:rsidR="00307EE0" w:rsidRPr="006F225A">
        <w:rPr>
          <w:lang w:val="en-GB"/>
        </w:rPr>
        <w:t>13</w:t>
      </w:r>
      <w:r w:rsidR="00D03CFC" w:rsidRPr="006F225A">
        <w:rPr>
          <w:lang w:val="en-GB"/>
        </w:rPr>
        <w:t>–</w:t>
      </w:r>
      <w:r w:rsidR="00CA3BE5" w:rsidRPr="006F225A">
        <w:rPr>
          <w:lang w:val="en-GB"/>
        </w:rPr>
        <w:t>16]</w:t>
      </w:r>
      <w:r w:rsidR="00F8142A" w:rsidRPr="006F225A">
        <w:rPr>
          <w:lang w:val="en-GB"/>
        </w:rPr>
        <w:t>. The prevalence ranged from 6.1</w:t>
      </w:r>
      <w:r w:rsidRPr="006F225A">
        <w:rPr>
          <w:lang w:val="en-GB"/>
        </w:rPr>
        <w:t xml:space="preserve">% to 48%. Five studies reported the prevalence of IV rehydration in children admitted to the hospital with diagnosis of acute gastroenteritis </w:t>
      </w:r>
      <w:r w:rsidR="007E66E2" w:rsidRPr="006F225A">
        <w:rPr>
          <w:lang w:val="en-GB"/>
        </w:rPr>
        <w:t>[</w:t>
      </w:r>
      <w:r w:rsidR="00CA3BE5" w:rsidRPr="006F225A">
        <w:rPr>
          <w:lang w:val="en-GB"/>
        </w:rPr>
        <w:t>1</w:t>
      </w:r>
      <w:r w:rsidR="00120E5A" w:rsidRPr="006F225A">
        <w:rPr>
          <w:lang w:val="en-GB"/>
        </w:rPr>
        <w:t>7</w:t>
      </w:r>
      <w:r w:rsidR="00CA3BE5" w:rsidRPr="006F225A">
        <w:rPr>
          <w:lang w:val="en-GB"/>
        </w:rPr>
        <w:t>,</w:t>
      </w:r>
      <w:r w:rsidR="00120E5A" w:rsidRPr="006F225A">
        <w:rPr>
          <w:lang w:val="en-GB"/>
        </w:rPr>
        <w:t>19</w:t>
      </w:r>
      <w:r w:rsidR="00CA3BE5" w:rsidRPr="006F225A">
        <w:rPr>
          <w:lang w:val="en-GB"/>
        </w:rPr>
        <w:t>,2</w:t>
      </w:r>
      <w:r w:rsidR="00120E5A" w:rsidRPr="006F225A">
        <w:rPr>
          <w:lang w:val="en-GB"/>
        </w:rPr>
        <w:t>0</w:t>
      </w:r>
      <w:r w:rsidR="00CA3BE5" w:rsidRPr="006F225A">
        <w:rPr>
          <w:lang w:val="en-GB"/>
        </w:rPr>
        <w:t>,2</w:t>
      </w:r>
      <w:r w:rsidR="00120E5A" w:rsidRPr="006F225A">
        <w:rPr>
          <w:lang w:val="en-GB"/>
        </w:rPr>
        <w:t>5</w:t>
      </w:r>
      <w:r w:rsidR="00CA3BE5" w:rsidRPr="006F225A">
        <w:rPr>
          <w:lang w:val="en-GB"/>
        </w:rPr>
        <w:t>,</w:t>
      </w:r>
      <w:r w:rsidR="007E66E2" w:rsidRPr="006F225A">
        <w:rPr>
          <w:lang w:val="en-GB"/>
        </w:rPr>
        <w:t>2</w:t>
      </w:r>
      <w:r w:rsidR="00120E5A" w:rsidRPr="006F225A">
        <w:rPr>
          <w:lang w:val="en-GB"/>
        </w:rPr>
        <w:t>7</w:t>
      </w:r>
      <w:r w:rsidR="007E66E2" w:rsidRPr="006F225A">
        <w:rPr>
          <w:lang w:val="en-GB"/>
        </w:rPr>
        <w:t>]</w:t>
      </w:r>
      <w:r w:rsidRPr="006F225A">
        <w:rPr>
          <w:lang w:val="en-GB"/>
        </w:rPr>
        <w:t xml:space="preserve">. The prevalence ranged from 18.5% to 100%. Six studies reported the prevalence of IV rehydration in children with diagnosis of acute gastroenteritis who also tested positive for rotavirus </w:t>
      </w:r>
      <w:r w:rsidR="007E66E2" w:rsidRPr="006F225A">
        <w:rPr>
          <w:lang w:val="en-GB"/>
        </w:rPr>
        <w:t>[1</w:t>
      </w:r>
      <w:r w:rsidR="00120E5A" w:rsidRPr="006F225A">
        <w:rPr>
          <w:lang w:val="en-GB"/>
        </w:rPr>
        <w:t>8</w:t>
      </w:r>
      <w:r w:rsidR="007E66E2" w:rsidRPr="006F225A">
        <w:rPr>
          <w:lang w:val="en-GB"/>
        </w:rPr>
        <w:t>,2</w:t>
      </w:r>
      <w:r w:rsidR="00120E5A" w:rsidRPr="006F225A">
        <w:rPr>
          <w:lang w:val="en-GB"/>
        </w:rPr>
        <w:t>1</w:t>
      </w:r>
      <w:r w:rsidR="00D03CFC" w:rsidRPr="006F225A">
        <w:rPr>
          <w:lang w:val="en-GB"/>
        </w:rPr>
        <w:t>–</w:t>
      </w:r>
      <w:r w:rsidR="007E66E2" w:rsidRPr="006F225A">
        <w:rPr>
          <w:lang w:val="en-GB"/>
        </w:rPr>
        <w:t>2</w:t>
      </w:r>
      <w:r w:rsidR="00120E5A" w:rsidRPr="006F225A">
        <w:rPr>
          <w:lang w:val="en-GB"/>
        </w:rPr>
        <w:t>4</w:t>
      </w:r>
      <w:r w:rsidR="007E66E2" w:rsidRPr="006F225A">
        <w:rPr>
          <w:lang w:val="en-GB"/>
        </w:rPr>
        <w:t>,2</w:t>
      </w:r>
      <w:r w:rsidR="00120E5A" w:rsidRPr="006F225A">
        <w:rPr>
          <w:lang w:val="en-GB"/>
        </w:rPr>
        <w:t>6</w:t>
      </w:r>
      <w:r w:rsidR="007E66E2" w:rsidRPr="006F225A">
        <w:rPr>
          <w:lang w:val="en-GB"/>
        </w:rPr>
        <w:t>]</w:t>
      </w:r>
      <w:r w:rsidRPr="006F225A">
        <w:rPr>
          <w:lang w:val="en-GB"/>
        </w:rPr>
        <w:t>. The prevalence in children with rotavirus ranged from 4.5% to 100%. Two studies reported the prevalence of IV r</w:t>
      </w:r>
      <w:r w:rsidR="002A46B5" w:rsidRPr="006F225A">
        <w:rPr>
          <w:lang w:val="en-GB"/>
        </w:rPr>
        <w:t>ehydration in children hospital</w:t>
      </w:r>
      <w:r w:rsidRPr="006F225A">
        <w:rPr>
          <w:lang w:val="en-GB"/>
        </w:rPr>
        <w:t xml:space="preserve">ised with dehydration </w:t>
      </w:r>
      <w:r w:rsidR="007E66E2" w:rsidRPr="006F225A">
        <w:rPr>
          <w:lang w:val="en-GB"/>
        </w:rPr>
        <w:t>[2</w:t>
      </w:r>
      <w:r w:rsidR="00120E5A" w:rsidRPr="006F225A">
        <w:rPr>
          <w:lang w:val="en-GB"/>
        </w:rPr>
        <w:t>8</w:t>
      </w:r>
      <w:r w:rsidR="007E66E2" w:rsidRPr="006F225A">
        <w:rPr>
          <w:lang w:val="en-GB"/>
        </w:rPr>
        <w:t>,</w:t>
      </w:r>
      <w:r w:rsidR="00120E5A" w:rsidRPr="006F225A">
        <w:rPr>
          <w:lang w:val="en-GB"/>
        </w:rPr>
        <w:t>29</w:t>
      </w:r>
      <w:r w:rsidR="007E66E2" w:rsidRPr="006F225A">
        <w:rPr>
          <w:lang w:val="en-GB"/>
        </w:rPr>
        <w:t xml:space="preserve">]. </w:t>
      </w:r>
      <w:r w:rsidRPr="006F225A">
        <w:rPr>
          <w:lang w:val="en-GB"/>
        </w:rPr>
        <w:t xml:space="preserve">The prevalence was 100%. One study reported the prevalence of IV rehydration in children admitted to the hospital with chronic neuromuscular disorder </w:t>
      </w:r>
      <w:r w:rsidR="007E66E2" w:rsidRPr="006F225A">
        <w:rPr>
          <w:lang w:val="en-GB"/>
        </w:rPr>
        <w:t>[3</w:t>
      </w:r>
      <w:r w:rsidR="00120E5A" w:rsidRPr="006F225A">
        <w:rPr>
          <w:lang w:val="en-GB"/>
        </w:rPr>
        <w:t>0</w:t>
      </w:r>
      <w:r w:rsidR="007E66E2" w:rsidRPr="006F225A">
        <w:rPr>
          <w:lang w:val="en-GB"/>
        </w:rPr>
        <w:t>].</w:t>
      </w:r>
      <w:r w:rsidRPr="006F225A">
        <w:rPr>
          <w:lang w:val="en-GB"/>
        </w:rPr>
        <w:t xml:space="preserve"> The prevalence was 34%. One study reported the prevalence of IV rehydration in children admitted to the hospital with severe acute malnutrition </w:t>
      </w:r>
      <w:r w:rsidR="007E66E2" w:rsidRPr="006F225A">
        <w:rPr>
          <w:lang w:val="en-GB"/>
        </w:rPr>
        <w:t>[3</w:t>
      </w:r>
      <w:r w:rsidR="00120E5A" w:rsidRPr="006F225A">
        <w:rPr>
          <w:lang w:val="en-GB"/>
        </w:rPr>
        <w:t>1</w:t>
      </w:r>
      <w:r w:rsidR="007E66E2" w:rsidRPr="006F225A">
        <w:rPr>
          <w:lang w:val="en-GB"/>
        </w:rPr>
        <w:t>]</w:t>
      </w:r>
      <w:r w:rsidRPr="006F225A">
        <w:rPr>
          <w:lang w:val="en-GB"/>
        </w:rPr>
        <w:t xml:space="preserve">. The prevalence was 22.8%. One study reported the prevalence of IV rehydration in children hospitalised with laboratory-confirmed influenza </w:t>
      </w:r>
      <w:r w:rsidR="007E66E2" w:rsidRPr="006F225A">
        <w:rPr>
          <w:lang w:val="en-GB"/>
        </w:rPr>
        <w:t>[3</w:t>
      </w:r>
      <w:r w:rsidR="00120E5A" w:rsidRPr="006F225A">
        <w:rPr>
          <w:lang w:val="en-GB"/>
        </w:rPr>
        <w:t>2</w:t>
      </w:r>
      <w:r w:rsidR="007E66E2" w:rsidRPr="006F225A">
        <w:rPr>
          <w:lang w:val="en-GB"/>
        </w:rPr>
        <w:t>].</w:t>
      </w:r>
      <w:r w:rsidRPr="006F225A">
        <w:rPr>
          <w:lang w:val="en-GB"/>
        </w:rPr>
        <w:t xml:space="preserve"> The prevalence was 53%. One study reported the prevalence of IV rehydration in </w:t>
      </w:r>
      <w:r w:rsidR="002A46B5" w:rsidRPr="006F225A">
        <w:rPr>
          <w:lang w:val="en-GB"/>
        </w:rPr>
        <w:t>children hospitalised with bron</w:t>
      </w:r>
      <w:r w:rsidRPr="006F225A">
        <w:rPr>
          <w:lang w:val="en-GB"/>
        </w:rPr>
        <w:t xml:space="preserve">chiolitis </w:t>
      </w:r>
      <w:r w:rsidR="007E66E2" w:rsidRPr="006F225A">
        <w:rPr>
          <w:lang w:val="en-GB"/>
        </w:rPr>
        <w:t>[3</w:t>
      </w:r>
      <w:r w:rsidR="00120E5A" w:rsidRPr="006F225A">
        <w:rPr>
          <w:lang w:val="en-GB"/>
        </w:rPr>
        <w:t>3</w:t>
      </w:r>
      <w:r w:rsidR="007E66E2" w:rsidRPr="006F225A">
        <w:rPr>
          <w:lang w:val="en-GB"/>
        </w:rPr>
        <w:t>]</w:t>
      </w:r>
      <w:r w:rsidRPr="006F225A">
        <w:rPr>
          <w:lang w:val="en-GB"/>
        </w:rPr>
        <w:t>. The prevalence was 31%.</w:t>
      </w:r>
    </w:p>
    <w:p w14:paraId="45729AD3" w14:textId="4400F833" w:rsidR="003A7A86" w:rsidRPr="006F225A" w:rsidRDefault="002D1B8F" w:rsidP="00A57945">
      <w:pPr>
        <w:pStyle w:val="MDPI31text"/>
        <w:rPr>
          <w:lang w:val="en-GB"/>
        </w:rPr>
      </w:pPr>
      <w:r w:rsidRPr="006F225A">
        <w:rPr>
          <w:lang w:val="en-GB"/>
        </w:rPr>
        <w:t>These results show that the highest prevalence of IV rehydration therapy was observed amongst those hospitalised with dehydration [28,29] and rota</w:t>
      </w:r>
      <w:r w:rsidR="00F8142A" w:rsidRPr="006F225A">
        <w:rPr>
          <w:lang w:val="en-GB"/>
        </w:rPr>
        <w:t xml:space="preserve">virus-positive </w:t>
      </w:r>
      <w:r w:rsidRPr="006F225A">
        <w:rPr>
          <w:lang w:val="en-GB"/>
        </w:rPr>
        <w:t xml:space="preserve">gastroenteritis [18], while the lowest prevalence was also observed amongst those hospitalized with </w:t>
      </w:r>
      <w:r w:rsidR="005474FE" w:rsidRPr="006F225A">
        <w:rPr>
          <w:lang w:val="en-GB"/>
        </w:rPr>
        <w:t xml:space="preserve">acute </w:t>
      </w:r>
      <w:r w:rsidRPr="006F225A">
        <w:rPr>
          <w:lang w:val="en-GB"/>
        </w:rPr>
        <w:t>gastroenteritis</w:t>
      </w:r>
      <w:r w:rsidR="005474FE" w:rsidRPr="006F225A">
        <w:rPr>
          <w:lang w:val="en-GB"/>
        </w:rPr>
        <w:t xml:space="preserve"> but only amongst rotavirus-negative patients</w:t>
      </w:r>
      <w:r w:rsidRPr="006F225A">
        <w:rPr>
          <w:lang w:val="en-GB"/>
        </w:rPr>
        <w:t xml:space="preserve"> [24]. This suggests that</w:t>
      </w:r>
      <w:r w:rsidR="005474FE" w:rsidRPr="006F225A">
        <w:rPr>
          <w:lang w:val="en-GB"/>
        </w:rPr>
        <w:t xml:space="preserve"> type and</w:t>
      </w:r>
      <w:r w:rsidRPr="006F225A">
        <w:rPr>
          <w:lang w:val="en-GB"/>
        </w:rPr>
        <w:t xml:space="preserve"> severity of illness may play a role in the prevalence of IV rehydration therapy. </w:t>
      </w:r>
      <w:r w:rsidR="00605026" w:rsidRPr="006F225A">
        <w:rPr>
          <w:lang w:val="en-GB"/>
        </w:rPr>
        <w:t>Furthermore,</w:t>
      </w:r>
      <w:r w:rsidR="00605026" w:rsidRPr="006F225A">
        <w:rPr>
          <w:b/>
          <w:lang w:val="en-GB"/>
        </w:rPr>
        <w:t xml:space="preserve"> </w:t>
      </w:r>
      <w:r w:rsidR="00605026" w:rsidRPr="006F225A">
        <w:rPr>
          <w:lang w:val="en-GB"/>
        </w:rPr>
        <w:t>patients with rotavirus-positive gastroenteritis were administrated IV rehydration therapy more often compared to rotavirus-negative patients.</w:t>
      </w:r>
    </w:p>
    <w:p w14:paraId="58AA6D6A" w14:textId="0E90E6E3" w:rsidR="005474FE" w:rsidRPr="006F225A" w:rsidRDefault="003A7A86" w:rsidP="00A57945">
      <w:pPr>
        <w:pStyle w:val="MDPI31text"/>
        <w:rPr>
          <w:lang w:val="en-GB"/>
        </w:rPr>
      </w:pPr>
      <w:r w:rsidRPr="006F225A">
        <w:rPr>
          <w:rStyle w:val="gwp5ea76120s1"/>
          <w:rFonts w:cs="Arial"/>
          <w:bCs/>
          <w:color w:val="auto"/>
          <w:szCs w:val="20"/>
          <w:shd w:val="clear" w:color="auto" w:fill="FFFFFF"/>
          <w:lang w:val="en-GB"/>
        </w:rPr>
        <w:t>This review showed that t</w:t>
      </w:r>
      <w:r w:rsidRPr="006F225A">
        <w:rPr>
          <w:rStyle w:val="gwp5ea76120s2"/>
          <w:bCs/>
          <w:color w:val="auto"/>
          <w:szCs w:val="20"/>
          <w:shd w:val="clear" w:color="auto" w:fill="FFFFFF"/>
          <w:lang w:val="en-GB"/>
        </w:rPr>
        <w:t xml:space="preserve">he most common indication for IV rehydration therapy in </w:t>
      </w:r>
      <w:r w:rsidR="005F4355" w:rsidRPr="006F225A">
        <w:rPr>
          <w:rStyle w:val="gwp5ea76120s2"/>
          <w:bCs/>
          <w:color w:val="auto"/>
          <w:szCs w:val="20"/>
          <w:shd w:val="clear" w:color="auto" w:fill="FFFFFF"/>
          <w:lang w:val="en-GB"/>
        </w:rPr>
        <w:t>paediatric</w:t>
      </w:r>
      <w:r w:rsidRPr="006F225A">
        <w:rPr>
          <w:rStyle w:val="gwp5ea76120s2"/>
          <w:bCs/>
          <w:color w:val="auto"/>
          <w:szCs w:val="20"/>
          <w:shd w:val="clear" w:color="auto" w:fill="FFFFFF"/>
          <w:lang w:val="en-GB"/>
        </w:rPr>
        <w:t xml:space="preserve"> patients was dehydration due to fluid loss from the gastrointestinal tract. The second most common indication for IV rehydration was influenza, followed by neuromuscular disease, </w:t>
      </w:r>
      <w:r w:rsidRPr="006F225A">
        <w:rPr>
          <w:lang w:val="en-GB"/>
        </w:rPr>
        <w:t>bronchiolitis,</w:t>
      </w:r>
      <w:r w:rsidRPr="006F225A">
        <w:rPr>
          <w:rStyle w:val="gwp5ea76120s2"/>
          <w:bCs/>
          <w:color w:val="auto"/>
          <w:szCs w:val="20"/>
          <w:shd w:val="clear" w:color="auto" w:fill="FFFFFF"/>
          <w:lang w:val="en-GB"/>
        </w:rPr>
        <w:t xml:space="preserve"> and malnutrition</w:t>
      </w:r>
      <w:r w:rsidRPr="006F225A">
        <w:rPr>
          <w:rStyle w:val="gwp5ea76120s2"/>
          <w:color w:val="auto"/>
          <w:szCs w:val="20"/>
          <w:shd w:val="clear" w:color="auto" w:fill="FFFFFF"/>
          <w:lang w:val="en-GB"/>
        </w:rPr>
        <w:t>.</w:t>
      </w:r>
      <w:r w:rsidR="007E7A90" w:rsidRPr="006F225A">
        <w:rPr>
          <w:rStyle w:val="gwp5ea76120apple-converted-space"/>
          <w:color w:val="auto"/>
          <w:szCs w:val="20"/>
          <w:shd w:val="clear" w:color="auto" w:fill="FFFFFF"/>
          <w:lang w:val="en-GB"/>
        </w:rPr>
        <w:t xml:space="preserve"> </w:t>
      </w:r>
    </w:p>
    <w:p w14:paraId="4AD5AEDC" w14:textId="67F65B5E" w:rsidR="00D0052F" w:rsidRPr="006F225A" w:rsidRDefault="00716A4E" w:rsidP="00716A4E">
      <w:pPr>
        <w:pStyle w:val="MDPI41tablecaption"/>
        <w:rPr>
          <w:lang w:val="en-GB"/>
        </w:rPr>
      </w:pPr>
      <w:r w:rsidRPr="006F225A">
        <w:rPr>
          <w:b/>
          <w:bCs/>
          <w:lang w:val="en-GB"/>
        </w:rPr>
        <w:t xml:space="preserve">Table 2. </w:t>
      </w:r>
      <w:r w:rsidR="00EA43DA" w:rsidRPr="006F225A">
        <w:rPr>
          <w:lang w:val="en-GB"/>
        </w:rPr>
        <w:t>Frequency of IV rehydration in paediatric</w:t>
      </w:r>
      <w:r w:rsidR="009B2673" w:rsidRPr="006F225A">
        <w:rPr>
          <w:lang w:val="en-GB"/>
        </w:rPr>
        <w:t xml:space="preserve"> and adult</w:t>
      </w:r>
      <w:r w:rsidR="00EA43DA" w:rsidRPr="006F225A">
        <w:rPr>
          <w:lang w:val="en-GB"/>
        </w:rPr>
        <w:t xml:space="preserve"> patients</w:t>
      </w:r>
      <w:r w:rsidRPr="006F225A">
        <w:rPr>
          <w:lang w:val="en-GB"/>
        </w:rPr>
        <w:t>.</w:t>
      </w:r>
    </w:p>
    <w:tbl>
      <w:tblPr>
        <w:tblW w:w="10465" w:type="dxa"/>
        <w:jc w:val="center"/>
        <w:shd w:val="clear" w:color="auto" w:fill="FFFFFF"/>
        <w:tblLayout w:type="fixed"/>
        <w:tblCellMar>
          <w:left w:w="0" w:type="dxa"/>
          <w:right w:w="0" w:type="dxa"/>
        </w:tblCellMar>
        <w:tblLook w:val="04A0" w:firstRow="1" w:lastRow="0" w:firstColumn="1" w:lastColumn="0" w:noHBand="0" w:noVBand="1"/>
      </w:tblPr>
      <w:tblGrid>
        <w:gridCol w:w="1697"/>
        <w:gridCol w:w="1131"/>
        <w:gridCol w:w="1415"/>
        <w:gridCol w:w="1414"/>
        <w:gridCol w:w="849"/>
        <w:gridCol w:w="990"/>
        <w:gridCol w:w="2969"/>
      </w:tblGrid>
      <w:tr w:rsidR="00207EA1" w:rsidRPr="006F225A" w14:paraId="1E1707F9" w14:textId="77777777" w:rsidTr="00716A4E">
        <w:trPr>
          <w:jc w:val="center"/>
        </w:trPr>
        <w:tc>
          <w:tcPr>
            <w:tcW w:w="1701" w:type="dxa"/>
            <w:tcBorders>
              <w:top w:val="single" w:sz="8" w:space="0" w:color="auto"/>
              <w:bottom w:val="single" w:sz="4" w:space="0" w:color="auto"/>
            </w:tcBorders>
            <w:shd w:val="clear" w:color="auto" w:fill="FFFFFF"/>
            <w:tcMar>
              <w:top w:w="80" w:type="dxa"/>
              <w:left w:w="80" w:type="dxa"/>
              <w:bottom w:w="80" w:type="dxa"/>
              <w:right w:w="80" w:type="dxa"/>
            </w:tcMar>
            <w:vAlign w:val="center"/>
          </w:tcPr>
          <w:p w14:paraId="02A211A8" w14:textId="35C79C20" w:rsidR="00185FDF" w:rsidRPr="006F225A" w:rsidRDefault="00185FDF" w:rsidP="00716A4E">
            <w:pPr>
              <w:pStyle w:val="Default"/>
              <w:autoSpaceDE w:val="0"/>
              <w:autoSpaceDN w:val="0"/>
              <w:adjustRightInd w:val="0"/>
              <w:snapToGrid w:val="0"/>
              <w:spacing w:before="0"/>
              <w:jc w:val="center"/>
              <w:rPr>
                <w:rFonts w:ascii="Palatino Linotype" w:hAnsi="Palatino Linotype"/>
                <w:b/>
                <w:color w:val="auto"/>
                <w:sz w:val="17"/>
                <w:szCs w:val="17"/>
                <w:lang w:val="en-GB"/>
              </w:rPr>
            </w:pPr>
            <w:r w:rsidRPr="006F225A">
              <w:rPr>
                <w:rStyle w:val="None"/>
                <w:rFonts w:ascii="Palatino Linotype" w:hAnsi="Palatino Linotype"/>
                <w:b/>
                <w:bCs/>
                <w:color w:val="auto"/>
                <w:sz w:val="17"/>
                <w:szCs w:val="17"/>
                <w:lang w:val="en-GB"/>
              </w:rPr>
              <w:t xml:space="preserve">Author, </w:t>
            </w:r>
            <w:r w:rsidR="00D03CFC" w:rsidRPr="006F225A">
              <w:rPr>
                <w:rStyle w:val="None"/>
                <w:rFonts w:ascii="Palatino Linotype" w:hAnsi="Palatino Linotype"/>
                <w:b/>
                <w:bCs/>
                <w:color w:val="auto"/>
                <w:sz w:val="17"/>
                <w:szCs w:val="17"/>
                <w:lang w:val="en-GB"/>
              </w:rPr>
              <w:t>Year</w:t>
            </w:r>
          </w:p>
        </w:tc>
        <w:tc>
          <w:tcPr>
            <w:tcW w:w="1134" w:type="dxa"/>
            <w:tcBorders>
              <w:top w:val="single" w:sz="8" w:space="0" w:color="auto"/>
              <w:bottom w:val="single" w:sz="4" w:space="0" w:color="auto"/>
            </w:tcBorders>
            <w:shd w:val="clear" w:color="auto" w:fill="FFFFFF"/>
            <w:tcMar>
              <w:top w:w="80" w:type="dxa"/>
              <w:left w:w="80" w:type="dxa"/>
              <w:bottom w:w="80" w:type="dxa"/>
              <w:right w:w="80" w:type="dxa"/>
            </w:tcMar>
            <w:vAlign w:val="center"/>
          </w:tcPr>
          <w:p w14:paraId="1E8C0471" w14:textId="09500666" w:rsidR="00185FDF" w:rsidRPr="006F225A" w:rsidRDefault="00185FDF" w:rsidP="00716A4E">
            <w:pPr>
              <w:pStyle w:val="Default"/>
              <w:autoSpaceDE w:val="0"/>
              <w:autoSpaceDN w:val="0"/>
              <w:adjustRightInd w:val="0"/>
              <w:snapToGrid w:val="0"/>
              <w:spacing w:before="0"/>
              <w:jc w:val="center"/>
              <w:rPr>
                <w:rFonts w:ascii="Palatino Linotype" w:hAnsi="Palatino Linotype"/>
                <w:b/>
                <w:color w:val="auto"/>
                <w:sz w:val="17"/>
                <w:szCs w:val="17"/>
                <w:lang w:val="en-GB"/>
              </w:rPr>
            </w:pPr>
            <w:r w:rsidRPr="006F225A">
              <w:rPr>
                <w:rStyle w:val="None"/>
                <w:rFonts w:ascii="Palatino Linotype" w:hAnsi="Palatino Linotype"/>
                <w:b/>
                <w:bCs/>
                <w:color w:val="auto"/>
                <w:sz w:val="17"/>
                <w:szCs w:val="17"/>
                <w:lang w:val="en-GB"/>
              </w:rPr>
              <w:t xml:space="preserve">Sample </w:t>
            </w:r>
            <w:r w:rsidR="00D03CFC" w:rsidRPr="006F225A">
              <w:rPr>
                <w:rStyle w:val="None"/>
                <w:rFonts w:ascii="Palatino Linotype" w:hAnsi="Palatino Linotype"/>
                <w:b/>
                <w:bCs/>
                <w:color w:val="auto"/>
                <w:sz w:val="17"/>
                <w:szCs w:val="17"/>
                <w:lang w:val="en-GB"/>
              </w:rPr>
              <w:t>Size</w:t>
            </w:r>
          </w:p>
        </w:tc>
        <w:tc>
          <w:tcPr>
            <w:tcW w:w="1418" w:type="dxa"/>
            <w:tcBorders>
              <w:top w:val="single" w:sz="8" w:space="0" w:color="auto"/>
              <w:bottom w:val="single" w:sz="4" w:space="0" w:color="auto"/>
            </w:tcBorders>
            <w:shd w:val="clear" w:color="auto" w:fill="FFFFFF"/>
            <w:tcMar>
              <w:top w:w="80" w:type="dxa"/>
              <w:left w:w="80" w:type="dxa"/>
              <w:bottom w:w="80" w:type="dxa"/>
              <w:right w:w="80" w:type="dxa"/>
            </w:tcMar>
            <w:vAlign w:val="center"/>
          </w:tcPr>
          <w:p w14:paraId="7C93358C" w14:textId="7BF8FDED" w:rsidR="00185FDF" w:rsidRPr="006F225A" w:rsidRDefault="00185FDF" w:rsidP="00716A4E">
            <w:pPr>
              <w:pStyle w:val="Default"/>
              <w:autoSpaceDE w:val="0"/>
              <w:autoSpaceDN w:val="0"/>
              <w:adjustRightInd w:val="0"/>
              <w:snapToGrid w:val="0"/>
              <w:spacing w:before="0"/>
              <w:jc w:val="center"/>
              <w:rPr>
                <w:rStyle w:val="None"/>
                <w:rFonts w:ascii="Palatino Linotype" w:eastAsia="Arial" w:hAnsi="Palatino Linotype" w:cs="Arial"/>
                <w:b/>
                <w:bCs/>
                <w:color w:val="auto"/>
                <w:sz w:val="17"/>
                <w:szCs w:val="17"/>
                <w:lang w:val="en-GB"/>
              </w:rPr>
            </w:pPr>
            <w:r w:rsidRPr="006F225A">
              <w:rPr>
                <w:rStyle w:val="None"/>
                <w:rFonts w:ascii="Palatino Linotype" w:hAnsi="Palatino Linotype"/>
                <w:b/>
                <w:bCs/>
                <w:color w:val="auto"/>
                <w:sz w:val="17"/>
                <w:szCs w:val="17"/>
                <w:lang w:val="en-GB"/>
              </w:rPr>
              <w:t xml:space="preserve">Exposure </w:t>
            </w:r>
            <w:r w:rsidR="00D03CFC" w:rsidRPr="006F225A">
              <w:rPr>
                <w:rStyle w:val="None"/>
                <w:rFonts w:ascii="Palatino Linotype" w:hAnsi="Palatino Linotype"/>
                <w:b/>
                <w:bCs/>
                <w:color w:val="auto"/>
                <w:sz w:val="17"/>
                <w:szCs w:val="17"/>
                <w:lang w:val="en-GB"/>
              </w:rPr>
              <w:t>Group</w:t>
            </w:r>
          </w:p>
          <w:p w14:paraId="367A2C2E" w14:textId="77777777" w:rsidR="00185FDF" w:rsidRPr="006F225A" w:rsidRDefault="00185FDF" w:rsidP="00716A4E">
            <w:pPr>
              <w:pStyle w:val="Default"/>
              <w:autoSpaceDE w:val="0"/>
              <w:autoSpaceDN w:val="0"/>
              <w:adjustRightInd w:val="0"/>
              <w:snapToGrid w:val="0"/>
              <w:spacing w:before="0"/>
              <w:jc w:val="center"/>
              <w:rPr>
                <w:rFonts w:ascii="Palatino Linotype" w:hAnsi="Palatino Linotype"/>
                <w:b/>
                <w:color w:val="auto"/>
                <w:sz w:val="17"/>
                <w:szCs w:val="17"/>
                <w:lang w:val="en-GB"/>
              </w:rPr>
            </w:pPr>
            <w:r w:rsidRPr="006F225A">
              <w:rPr>
                <w:rStyle w:val="None"/>
                <w:rFonts w:ascii="Palatino Linotype" w:hAnsi="Palatino Linotype"/>
                <w:b/>
                <w:bCs/>
                <w:color w:val="auto"/>
                <w:sz w:val="17"/>
                <w:szCs w:val="17"/>
                <w:lang w:val="en-GB"/>
              </w:rPr>
              <w:t>n (%)</w:t>
            </w:r>
          </w:p>
        </w:tc>
        <w:tc>
          <w:tcPr>
            <w:tcW w:w="1417" w:type="dxa"/>
            <w:tcBorders>
              <w:top w:val="single" w:sz="8" w:space="0" w:color="auto"/>
              <w:bottom w:val="single" w:sz="4" w:space="0" w:color="auto"/>
            </w:tcBorders>
            <w:shd w:val="clear" w:color="auto" w:fill="FFFFFF"/>
            <w:tcMar>
              <w:top w:w="80" w:type="dxa"/>
              <w:left w:w="80" w:type="dxa"/>
              <w:bottom w:w="80" w:type="dxa"/>
              <w:right w:w="80" w:type="dxa"/>
            </w:tcMar>
            <w:vAlign w:val="center"/>
          </w:tcPr>
          <w:p w14:paraId="07FD9EFB" w14:textId="1A36648E" w:rsidR="00185FDF" w:rsidRPr="006F225A" w:rsidRDefault="00185FDF" w:rsidP="00716A4E">
            <w:pPr>
              <w:pStyle w:val="Default"/>
              <w:autoSpaceDE w:val="0"/>
              <w:autoSpaceDN w:val="0"/>
              <w:adjustRightInd w:val="0"/>
              <w:snapToGrid w:val="0"/>
              <w:spacing w:before="0"/>
              <w:jc w:val="center"/>
              <w:rPr>
                <w:rFonts w:ascii="Palatino Linotype" w:hAnsi="Palatino Linotype"/>
                <w:b/>
                <w:color w:val="auto"/>
                <w:sz w:val="17"/>
                <w:szCs w:val="17"/>
                <w:lang w:val="en-GB"/>
              </w:rPr>
            </w:pPr>
            <w:r w:rsidRPr="006F225A">
              <w:rPr>
                <w:rStyle w:val="None"/>
                <w:rFonts w:ascii="Palatino Linotype" w:hAnsi="Palatino Linotype"/>
                <w:b/>
                <w:bCs/>
                <w:color w:val="auto"/>
                <w:sz w:val="17"/>
                <w:szCs w:val="17"/>
                <w:lang w:val="en-GB"/>
              </w:rPr>
              <w:t xml:space="preserve">Comparator </w:t>
            </w:r>
            <w:r w:rsidR="00D03CFC" w:rsidRPr="006F225A">
              <w:rPr>
                <w:rStyle w:val="None"/>
                <w:rFonts w:ascii="Palatino Linotype" w:hAnsi="Palatino Linotype"/>
                <w:b/>
                <w:bCs/>
                <w:color w:val="auto"/>
                <w:sz w:val="17"/>
                <w:szCs w:val="17"/>
                <w:lang w:val="en-GB"/>
              </w:rPr>
              <w:t xml:space="preserve">Group </w:t>
            </w:r>
            <w:r w:rsidRPr="006F225A">
              <w:rPr>
                <w:rStyle w:val="None"/>
                <w:rFonts w:ascii="Palatino Linotype" w:hAnsi="Palatino Linotype"/>
                <w:b/>
                <w:bCs/>
                <w:color w:val="auto"/>
                <w:sz w:val="17"/>
                <w:szCs w:val="17"/>
                <w:lang w:val="en-GB"/>
              </w:rPr>
              <w:t>n (%)</w:t>
            </w:r>
          </w:p>
        </w:tc>
        <w:tc>
          <w:tcPr>
            <w:tcW w:w="851" w:type="dxa"/>
            <w:tcBorders>
              <w:top w:val="single" w:sz="8" w:space="0" w:color="auto"/>
              <w:bottom w:val="single" w:sz="4" w:space="0" w:color="auto"/>
            </w:tcBorders>
            <w:shd w:val="clear" w:color="auto" w:fill="FFFFFF"/>
            <w:tcMar>
              <w:top w:w="80" w:type="dxa"/>
              <w:left w:w="80" w:type="dxa"/>
              <w:bottom w:w="80" w:type="dxa"/>
              <w:right w:w="80" w:type="dxa"/>
            </w:tcMar>
            <w:vAlign w:val="center"/>
          </w:tcPr>
          <w:p w14:paraId="27C8B47D" w14:textId="77777777" w:rsidR="00185FDF" w:rsidRPr="006F225A" w:rsidRDefault="00185FDF" w:rsidP="00716A4E">
            <w:pPr>
              <w:pStyle w:val="Default"/>
              <w:autoSpaceDE w:val="0"/>
              <w:autoSpaceDN w:val="0"/>
              <w:adjustRightInd w:val="0"/>
              <w:snapToGrid w:val="0"/>
              <w:spacing w:before="0"/>
              <w:jc w:val="center"/>
              <w:rPr>
                <w:rStyle w:val="None"/>
                <w:rFonts w:ascii="Palatino Linotype" w:eastAsia="Arial" w:hAnsi="Palatino Linotype" w:cs="Arial"/>
                <w:b/>
                <w:bCs/>
                <w:color w:val="auto"/>
                <w:sz w:val="17"/>
                <w:szCs w:val="17"/>
                <w:lang w:val="en-GB"/>
              </w:rPr>
            </w:pPr>
            <w:r w:rsidRPr="006F225A">
              <w:rPr>
                <w:rStyle w:val="None"/>
                <w:rFonts w:ascii="Palatino Linotype" w:hAnsi="Palatino Linotype"/>
                <w:b/>
                <w:bCs/>
                <w:color w:val="auto"/>
                <w:sz w:val="17"/>
                <w:szCs w:val="17"/>
                <w:lang w:val="en-GB"/>
              </w:rPr>
              <w:t>Overall</w:t>
            </w:r>
          </w:p>
          <w:p w14:paraId="59C0E6D1" w14:textId="77777777" w:rsidR="00185FDF" w:rsidRPr="006F225A" w:rsidRDefault="00185FDF" w:rsidP="00716A4E">
            <w:pPr>
              <w:pStyle w:val="Default"/>
              <w:autoSpaceDE w:val="0"/>
              <w:autoSpaceDN w:val="0"/>
              <w:adjustRightInd w:val="0"/>
              <w:snapToGrid w:val="0"/>
              <w:spacing w:before="0"/>
              <w:jc w:val="center"/>
              <w:rPr>
                <w:rFonts w:ascii="Palatino Linotype" w:hAnsi="Palatino Linotype"/>
                <w:b/>
                <w:color w:val="auto"/>
                <w:sz w:val="17"/>
                <w:szCs w:val="17"/>
                <w:lang w:val="en-GB"/>
              </w:rPr>
            </w:pPr>
            <w:r w:rsidRPr="006F225A">
              <w:rPr>
                <w:rStyle w:val="None"/>
                <w:rFonts w:ascii="Palatino Linotype" w:hAnsi="Palatino Linotype"/>
                <w:b/>
                <w:bCs/>
                <w:color w:val="auto"/>
                <w:sz w:val="17"/>
                <w:szCs w:val="17"/>
                <w:lang w:val="en-GB"/>
              </w:rPr>
              <w:t>n (%)</w:t>
            </w:r>
          </w:p>
        </w:tc>
        <w:tc>
          <w:tcPr>
            <w:tcW w:w="992" w:type="dxa"/>
            <w:tcBorders>
              <w:top w:val="single" w:sz="8" w:space="0" w:color="auto"/>
              <w:bottom w:val="single" w:sz="4" w:space="0" w:color="auto"/>
            </w:tcBorders>
            <w:shd w:val="clear" w:color="auto" w:fill="FFFFFF"/>
            <w:tcMar>
              <w:top w:w="80" w:type="dxa"/>
              <w:left w:w="80" w:type="dxa"/>
              <w:bottom w:w="80" w:type="dxa"/>
              <w:right w:w="80" w:type="dxa"/>
            </w:tcMar>
            <w:vAlign w:val="center"/>
          </w:tcPr>
          <w:p w14:paraId="5863BDBC" w14:textId="5B59FD2A" w:rsidR="00185FDF" w:rsidRPr="006F225A" w:rsidRDefault="00185FDF" w:rsidP="00716A4E">
            <w:pPr>
              <w:pStyle w:val="BodyA"/>
              <w:autoSpaceDE w:val="0"/>
              <w:autoSpaceDN w:val="0"/>
              <w:adjustRightInd w:val="0"/>
              <w:snapToGrid w:val="0"/>
              <w:jc w:val="center"/>
              <w:rPr>
                <w:rFonts w:ascii="Palatino Linotype" w:hAnsi="Palatino Linotype"/>
                <w:b/>
                <w:color w:val="auto"/>
                <w:sz w:val="17"/>
                <w:szCs w:val="17"/>
                <w:lang w:val="en-GB"/>
              </w:rPr>
            </w:pPr>
            <w:r w:rsidRPr="006F225A">
              <w:rPr>
                <w:rStyle w:val="None"/>
                <w:rFonts w:ascii="Palatino Linotype" w:hAnsi="Palatino Linotype"/>
                <w:b/>
                <w:bCs/>
                <w:color w:val="auto"/>
                <w:sz w:val="17"/>
                <w:szCs w:val="17"/>
                <w:lang w:val="en-GB"/>
              </w:rPr>
              <w:t xml:space="preserve">Effect </w:t>
            </w:r>
            <w:r w:rsidR="00D03CFC" w:rsidRPr="006F225A">
              <w:rPr>
                <w:rStyle w:val="None"/>
                <w:rFonts w:ascii="Palatino Linotype" w:hAnsi="Palatino Linotype"/>
                <w:b/>
                <w:bCs/>
                <w:color w:val="auto"/>
                <w:sz w:val="17"/>
                <w:szCs w:val="17"/>
                <w:lang w:val="en-GB"/>
              </w:rPr>
              <w:t>Size</w:t>
            </w:r>
          </w:p>
        </w:tc>
        <w:tc>
          <w:tcPr>
            <w:tcW w:w="2977" w:type="dxa"/>
            <w:tcBorders>
              <w:top w:val="single" w:sz="8" w:space="0" w:color="auto"/>
              <w:bottom w:val="single" w:sz="4" w:space="0" w:color="auto"/>
            </w:tcBorders>
            <w:shd w:val="clear" w:color="auto" w:fill="FFFFFF"/>
            <w:tcMar>
              <w:top w:w="80" w:type="dxa"/>
              <w:left w:w="80" w:type="dxa"/>
              <w:bottom w:w="80" w:type="dxa"/>
              <w:right w:w="80" w:type="dxa"/>
            </w:tcMar>
            <w:vAlign w:val="center"/>
          </w:tcPr>
          <w:p w14:paraId="0572BF06" w14:textId="77777777" w:rsidR="00185FDF" w:rsidRPr="006F225A" w:rsidRDefault="00185FDF" w:rsidP="00716A4E">
            <w:pPr>
              <w:pStyle w:val="Default"/>
              <w:autoSpaceDE w:val="0"/>
              <w:autoSpaceDN w:val="0"/>
              <w:adjustRightInd w:val="0"/>
              <w:snapToGrid w:val="0"/>
              <w:spacing w:before="0"/>
              <w:jc w:val="center"/>
              <w:rPr>
                <w:rFonts w:ascii="Palatino Linotype" w:hAnsi="Palatino Linotype"/>
                <w:b/>
                <w:color w:val="auto"/>
                <w:sz w:val="17"/>
                <w:szCs w:val="17"/>
                <w:lang w:val="en-GB"/>
              </w:rPr>
            </w:pPr>
            <w:r w:rsidRPr="006F225A">
              <w:rPr>
                <w:rStyle w:val="None"/>
                <w:rFonts w:ascii="Palatino Linotype" w:hAnsi="Palatino Linotype"/>
                <w:b/>
                <w:bCs/>
                <w:color w:val="auto"/>
                <w:sz w:val="17"/>
                <w:szCs w:val="17"/>
                <w:lang w:val="en-GB"/>
              </w:rPr>
              <w:t>Population</w:t>
            </w:r>
          </w:p>
        </w:tc>
      </w:tr>
      <w:tr w:rsidR="00207EA1" w:rsidRPr="006F225A" w14:paraId="56EC0E41" w14:textId="77777777" w:rsidTr="00716A4E">
        <w:trPr>
          <w:jc w:val="center"/>
        </w:trPr>
        <w:tc>
          <w:tcPr>
            <w:tcW w:w="1701" w:type="dxa"/>
            <w:tcBorders>
              <w:top w:val="single" w:sz="4" w:space="0" w:color="auto"/>
            </w:tcBorders>
            <w:shd w:val="clear" w:color="auto" w:fill="FFFFFF"/>
            <w:tcMar>
              <w:top w:w="80" w:type="dxa"/>
              <w:left w:w="80" w:type="dxa"/>
              <w:bottom w:w="80" w:type="dxa"/>
              <w:right w:w="80" w:type="dxa"/>
            </w:tcMar>
            <w:vAlign w:val="center"/>
          </w:tcPr>
          <w:p w14:paraId="7499972C" w14:textId="77777777" w:rsidR="00185FDF" w:rsidRPr="006F225A" w:rsidRDefault="00185FDF" w:rsidP="009B5C6E">
            <w:pPr>
              <w:pStyle w:val="Default"/>
              <w:autoSpaceDE w:val="0"/>
              <w:autoSpaceDN w:val="0"/>
              <w:adjustRightInd w:val="0"/>
              <w:snapToGrid w:val="0"/>
              <w:spacing w:before="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Chow et al., 2009</w:t>
            </w:r>
            <w:r w:rsidR="003221F8" w:rsidRPr="006F225A">
              <w:rPr>
                <w:rStyle w:val="None"/>
                <w:rFonts w:ascii="Palatino Linotype" w:hAnsi="Palatino Linotype"/>
                <w:color w:val="auto"/>
                <w:sz w:val="17"/>
                <w:szCs w:val="17"/>
                <w:lang w:val="en-GB"/>
              </w:rPr>
              <w:t xml:space="preserve"> [14]</w:t>
            </w:r>
          </w:p>
        </w:tc>
        <w:tc>
          <w:tcPr>
            <w:tcW w:w="1134" w:type="dxa"/>
            <w:tcBorders>
              <w:top w:val="single" w:sz="4" w:space="0" w:color="auto"/>
            </w:tcBorders>
            <w:shd w:val="clear" w:color="auto" w:fill="FFFFFF"/>
            <w:tcMar>
              <w:top w:w="80" w:type="dxa"/>
              <w:left w:w="80" w:type="dxa"/>
              <w:bottom w:w="80" w:type="dxa"/>
              <w:right w:w="80" w:type="dxa"/>
            </w:tcMar>
            <w:vAlign w:val="center"/>
          </w:tcPr>
          <w:p w14:paraId="43496A45" w14:textId="77777777" w:rsidR="00185FDF" w:rsidRPr="006F225A" w:rsidRDefault="00185FDF" w:rsidP="009B5C6E">
            <w:pPr>
              <w:pStyle w:val="Default"/>
              <w:autoSpaceDE w:val="0"/>
              <w:autoSpaceDN w:val="0"/>
              <w:adjustRightInd w:val="0"/>
              <w:snapToGrid w:val="0"/>
              <w:spacing w:before="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7391</w:t>
            </w:r>
          </w:p>
        </w:tc>
        <w:tc>
          <w:tcPr>
            <w:tcW w:w="1418" w:type="dxa"/>
            <w:tcBorders>
              <w:top w:val="single" w:sz="4" w:space="0" w:color="auto"/>
            </w:tcBorders>
            <w:shd w:val="clear" w:color="auto" w:fill="FFFFFF"/>
            <w:tcMar>
              <w:top w:w="80" w:type="dxa"/>
              <w:left w:w="80" w:type="dxa"/>
              <w:bottom w:w="80" w:type="dxa"/>
              <w:right w:w="80" w:type="dxa"/>
            </w:tcMar>
            <w:vAlign w:val="center"/>
          </w:tcPr>
          <w:p w14:paraId="727EB97F" w14:textId="77777777" w:rsidR="00185FDF" w:rsidRPr="006F225A" w:rsidRDefault="00185FDF" w:rsidP="009B5C6E">
            <w:pPr>
              <w:pStyle w:val="Default"/>
              <w:autoSpaceDE w:val="0"/>
              <w:autoSpaceDN w:val="0"/>
              <w:adjustRightInd w:val="0"/>
              <w:snapToGrid w:val="0"/>
              <w:spacing w:before="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3548 (48%)</w:t>
            </w:r>
          </w:p>
        </w:tc>
        <w:tc>
          <w:tcPr>
            <w:tcW w:w="1417" w:type="dxa"/>
            <w:tcBorders>
              <w:top w:val="single" w:sz="4" w:space="0" w:color="auto"/>
            </w:tcBorders>
            <w:shd w:val="clear" w:color="auto" w:fill="FFFFFF"/>
            <w:tcMar>
              <w:top w:w="80" w:type="dxa"/>
              <w:left w:w="80" w:type="dxa"/>
              <w:bottom w:w="80" w:type="dxa"/>
              <w:right w:w="80" w:type="dxa"/>
            </w:tcMar>
            <w:vAlign w:val="center"/>
          </w:tcPr>
          <w:p w14:paraId="029F3494" w14:textId="77777777" w:rsidR="00185FDF" w:rsidRPr="006F225A" w:rsidRDefault="00185FDF" w:rsidP="009B5C6E">
            <w:pPr>
              <w:pStyle w:val="Default"/>
              <w:autoSpaceDE w:val="0"/>
              <w:autoSpaceDN w:val="0"/>
              <w:adjustRightInd w:val="0"/>
              <w:snapToGrid w:val="0"/>
              <w:spacing w:before="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w:t>
            </w:r>
          </w:p>
        </w:tc>
        <w:tc>
          <w:tcPr>
            <w:tcW w:w="851" w:type="dxa"/>
            <w:tcBorders>
              <w:top w:val="single" w:sz="4" w:space="0" w:color="auto"/>
            </w:tcBorders>
            <w:shd w:val="clear" w:color="auto" w:fill="FFFFFF"/>
            <w:tcMar>
              <w:top w:w="80" w:type="dxa"/>
              <w:left w:w="80" w:type="dxa"/>
              <w:bottom w:w="80" w:type="dxa"/>
              <w:right w:w="80" w:type="dxa"/>
            </w:tcMar>
            <w:vAlign w:val="center"/>
          </w:tcPr>
          <w:p w14:paraId="30B0B38F" w14:textId="77777777" w:rsidR="00185FDF" w:rsidRPr="006F225A" w:rsidRDefault="00185FDF" w:rsidP="009B5C6E">
            <w:pPr>
              <w:pStyle w:val="Default"/>
              <w:autoSpaceDE w:val="0"/>
              <w:autoSpaceDN w:val="0"/>
              <w:adjustRightInd w:val="0"/>
              <w:snapToGrid w:val="0"/>
              <w:spacing w:before="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w:t>
            </w:r>
          </w:p>
        </w:tc>
        <w:tc>
          <w:tcPr>
            <w:tcW w:w="992" w:type="dxa"/>
            <w:tcBorders>
              <w:top w:val="single" w:sz="4" w:space="0" w:color="auto"/>
            </w:tcBorders>
            <w:shd w:val="clear" w:color="auto" w:fill="FFFFFF"/>
            <w:tcMar>
              <w:top w:w="80" w:type="dxa"/>
              <w:left w:w="80" w:type="dxa"/>
              <w:bottom w:w="80" w:type="dxa"/>
              <w:right w:w="80" w:type="dxa"/>
            </w:tcMar>
            <w:vAlign w:val="center"/>
          </w:tcPr>
          <w:p w14:paraId="05E54BB9" w14:textId="77777777" w:rsidR="00185FDF" w:rsidRPr="006F225A" w:rsidRDefault="00185FDF" w:rsidP="009B5C6E">
            <w:pPr>
              <w:pStyle w:val="Default"/>
              <w:autoSpaceDE w:val="0"/>
              <w:autoSpaceDN w:val="0"/>
              <w:adjustRightInd w:val="0"/>
              <w:snapToGrid w:val="0"/>
              <w:spacing w:before="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w:t>
            </w:r>
          </w:p>
        </w:tc>
        <w:tc>
          <w:tcPr>
            <w:tcW w:w="2977" w:type="dxa"/>
            <w:tcBorders>
              <w:top w:val="single" w:sz="4" w:space="0" w:color="auto"/>
            </w:tcBorders>
            <w:shd w:val="clear" w:color="auto" w:fill="FFFFFF"/>
            <w:tcMar>
              <w:top w:w="80" w:type="dxa"/>
              <w:left w:w="80" w:type="dxa"/>
              <w:bottom w:w="80" w:type="dxa"/>
              <w:right w:w="80" w:type="dxa"/>
            </w:tcMar>
            <w:vAlign w:val="center"/>
          </w:tcPr>
          <w:p w14:paraId="4896A95C" w14:textId="77777777" w:rsidR="00185FDF" w:rsidRPr="006F225A" w:rsidRDefault="00185FDF" w:rsidP="009B5C6E">
            <w:pPr>
              <w:pStyle w:val="BodyA"/>
              <w:autoSpaceDE w:val="0"/>
              <w:autoSpaceDN w:val="0"/>
              <w:adjustRightInd w:val="0"/>
              <w:snapToGrid w:val="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Paediatric patients admitted to the hospital with diagnosis of diarrhoea</w:t>
            </w:r>
          </w:p>
        </w:tc>
      </w:tr>
      <w:tr w:rsidR="00207EA1" w:rsidRPr="006F225A" w14:paraId="58CA2E42" w14:textId="77777777" w:rsidTr="00716A4E">
        <w:trPr>
          <w:jc w:val="center"/>
        </w:trPr>
        <w:tc>
          <w:tcPr>
            <w:tcW w:w="1701" w:type="dxa"/>
            <w:shd w:val="clear" w:color="auto" w:fill="FFFFFF"/>
            <w:tcMar>
              <w:top w:w="80" w:type="dxa"/>
              <w:left w:w="80" w:type="dxa"/>
              <w:bottom w:w="80" w:type="dxa"/>
              <w:right w:w="80" w:type="dxa"/>
            </w:tcMar>
            <w:vAlign w:val="center"/>
          </w:tcPr>
          <w:p w14:paraId="38EBB9AB" w14:textId="77777777" w:rsidR="00185FDF" w:rsidRPr="006F225A" w:rsidRDefault="00185FDF" w:rsidP="009B5C6E">
            <w:pPr>
              <w:pStyle w:val="BodyA"/>
              <w:autoSpaceDE w:val="0"/>
              <w:autoSpaceDN w:val="0"/>
              <w:adjustRightInd w:val="0"/>
              <w:snapToGrid w:val="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Patwari et al., 1991</w:t>
            </w:r>
            <w:r w:rsidR="003221F8" w:rsidRPr="006F225A">
              <w:rPr>
                <w:rStyle w:val="None"/>
                <w:rFonts w:ascii="Palatino Linotype" w:hAnsi="Palatino Linotype"/>
                <w:color w:val="auto"/>
                <w:sz w:val="17"/>
                <w:szCs w:val="17"/>
                <w:lang w:val="en-GB"/>
              </w:rPr>
              <w:t xml:space="preserve"> [16]</w:t>
            </w:r>
          </w:p>
        </w:tc>
        <w:tc>
          <w:tcPr>
            <w:tcW w:w="1134" w:type="dxa"/>
            <w:shd w:val="clear" w:color="auto" w:fill="FFFFFF"/>
            <w:tcMar>
              <w:top w:w="80" w:type="dxa"/>
              <w:left w:w="80" w:type="dxa"/>
              <w:bottom w:w="80" w:type="dxa"/>
              <w:right w:w="80" w:type="dxa"/>
            </w:tcMar>
            <w:vAlign w:val="center"/>
          </w:tcPr>
          <w:p w14:paraId="463E97BB" w14:textId="142A5251" w:rsidR="00185FDF" w:rsidRPr="006F225A" w:rsidRDefault="00185FDF" w:rsidP="009B5C6E">
            <w:pPr>
              <w:pStyle w:val="Default"/>
              <w:autoSpaceDE w:val="0"/>
              <w:autoSpaceDN w:val="0"/>
              <w:adjustRightInd w:val="0"/>
              <w:snapToGrid w:val="0"/>
              <w:spacing w:before="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5996</w:t>
            </w:r>
          </w:p>
        </w:tc>
        <w:tc>
          <w:tcPr>
            <w:tcW w:w="1418" w:type="dxa"/>
            <w:shd w:val="clear" w:color="auto" w:fill="FFFFFF"/>
            <w:tcMar>
              <w:top w:w="80" w:type="dxa"/>
              <w:left w:w="80" w:type="dxa"/>
              <w:bottom w:w="80" w:type="dxa"/>
              <w:right w:w="80" w:type="dxa"/>
            </w:tcMar>
            <w:vAlign w:val="center"/>
          </w:tcPr>
          <w:p w14:paraId="6A4FCD21" w14:textId="77777777" w:rsidR="00185FDF" w:rsidRPr="006F225A" w:rsidRDefault="00F365BC" w:rsidP="009B5C6E">
            <w:pPr>
              <w:pStyle w:val="Default"/>
              <w:autoSpaceDE w:val="0"/>
              <w:autoSpaceDN w:val="0"/>
              <w:adjustRightInd w:val="0"/>
              <w:snapToGrid w:val="0"/>
              <w:spacing w:before="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366 (6.1</w:t>
            </w:r>
            <w:r w:rsidR="00185FDF" w:rsidRPr="006F225A">
              <w:rPr>
                <w:rStyle w:val="None"/>
                <w:rFonts w:ascii="Palatino Linotype" w:hAnsi="Palatino Linotype"/>
                <w:color w:val="auto"/>
                <w:sz w:val="17"/>
                <w:szCs w:val="17"/>
                <w:lang w:val="en-GB"/>
              </w:rPr>
              <w:t>%)</w:t>
            </w:r>
          </w:p>
        </w:tc>
        <w:tc>
          <w:tcPr>
            <w:tcW w:w="1417" w:type="dxa"/>
            <w:shd w:val="clear" w:color="auto" w:fill="FFFFFF"/>
            <w:tcMar>
              <w:top w:w="80" w:type="dxa"/>
              <w:left w:w="80" w:type="dxa"/>
              <w:bottom w:w="80" w:type="dxa"/>
              <w:right w:w="80" w:type="dxa"/>
            </w:tcMar>
            <w:vAlign w:val="center"/>
          </w:tcPr>
          <w:p w14:paraId="127D4FEB" w14:textId="77777777" w:rsidR="00185FDF" w:rsidRPr="006F225A" w:rsidRDefault="00185FDF" w:rsidP="009B5C6E">
            <w:pPr>
              <w:pStyle w:val="Default"/>
              <w:autoSpaceDE w:val="0"/>
              <w:autoSpaceDN w:val="0"/>
              <w:adjustRightInd w:val="0"/>
              <w:snapToGrid w:val="0"/>
              <w:spacing w:before="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w:t>
            </w:r>
          </w:p>
        </w:tc>
        <w:tc>
          <w:tcPr>
            <w:tcW w:w="851" w:type="dxa"/>
            <w:shd w:val="clear" w:color="auto" w:fill="FFFFFF"/>
            <w:tcMar>
              <w:top w:w="80" w:type="dxa"/>
              <w:left w:w="80" w:type="dxa"/>
              <w:bottom w:w="80" w:type="dxa"/>
              <w:right w:w="80" w:type="dxa"/>
            </w:tcMar>
            <w:vAlign w:val="center"/>
          </w:tcPr>
          <w:p w14:paraId="6C6FB78B" w14:textId="77777777" w:rsidR="00185FDF" w:rsidRPr="006F225A" w:rsidRDefault="00185FDF" w:rsidP="009B5C6E">
            <w:pPr>
              <w:pStyle w:val="Default"/>
              <w:autoSpaceDE w:val="0"/>
              <w:autoSpaceDN w:val="0"/>
              <w:adjustRightInd w:val="0"/>
              <w:snapToGrid w:val="0"/>
              <w:spacing w:before="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w:t>
            </w:r>
          </w:p>
        </w:tc>
        <w:tc>
          <w:tcPr>
            <w:tcW w:w="992" w:type="dxa"/>
            <w:shd w:val="clear" w:color="auto" w:fill="FFFFFF"/>
            <w:tcMar>
              <w:top w:w="80" w:type="dxa"/>
              <w:left w:w="80" w:type="dxa"/>
              <w:bottom w:w="80" w:type="dxa"/>
              <w:right w:w="80" w:type="dxa"/>
            </w:tcMar>
            <w:vAlign w:val="center"/>
          </w:tcPr>
          <w:p w14:paraId="14E15326" w14:textId="77777777" w:rsidR="00185FDF" w:rsidRPr="006F225A" w:rsidRDefault="00185FDF" w:rsidP="009B5C6E">
            <w:pPr>
              <w:pStyle w:val="Default"/>
              <w:autoSpaceDE w:val="0"/>
              <w:autoSpaceDN w:val="0"/>
              <w:adjustRightInd w:val="0"/>
              <w:snapToGrid w:val="0"/>
              <w:spacing w:before="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w:t>
            </w:r>
          </w:p>
        </w:tc>
        <w:tc>
          <w:tcPr>
            <w:tcW w:w="2977" w:type="dxa"/>
            <w:shd w:val="clear" w:color="auto" w:fill="FFFFFF"/>
            <w:tcMar>
              <w:top w:w="80" w:type="dxa"/>
              <w:left w:w="80" w:type="dxa"/>
              <w:bottom w:w="80" w:type="dxa"/>
              <w:right w:w="80" w:type="dxa"/>
            </w:tcMar>
            <w:vAlign w:val="center"/>
          </w:tcPr>
          <w:p w14:paraId="233F91D4" w14:textId="711C1B3C" w:rsidR="00185FDF" w:rsidRPr="006F225A" w:rsidRDefault="00185FDF" w:rsidP="009B5C6E">
            <w:pPr>
              <w:pStyle w:val="BodyA"/>
              <w:autoSpaceDE w:val="0"/>
              <w:autoSpaceDN w:val="0"/>
              <w:adjustRightInd w:val="0"/>
              <w:snapToGrid w:val="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 xml:space="preserve">Paediatric patients who </w:t>
            </w:r>
            <w:r w:rsidR="00CD4210" w:rsidRPr="006F225A">
              <w:rPr>
                <w:rStyle w:val="None"/>
                <w:rFonts w:ascii="Palatino Linotype" w:hAnsi="Palatino Linotype"/>
                <w:color w:val="auto"/>
                <w:sz w:val="17"/>
                <w:szCs w:val="17"/>
                <w:lang w:val="en-GB"/>
              </w:rPr>
              <w:t xml:space="preserve">came to the </w:t>
            </w:r>
            <w:r w:rsidRPr="006F225A">
              <w:rPr>
                <w:rStyle w:val="None"/>
                <w:rFonts w:ascii="Palatino Linotype" w:hAnsi="Palatino Linotype"/>
                <w:color w:val="auto"/>
                <w:sz w:val="17"/>
                <w:szCs w:val="17"/>
                <w:lang w:val="en-GB"/>
              </w:rPr>
              <w:t>hospital with diarrhoea</w:t>
            </w:r>
          </w:p>
        </w:tc>
      </w:tr>
      <w:tr w:rsidR="00207EA1" w:rsidRPr="006F225A" w14:paraId="4211AF03" w14:textId="77777777" w:rsidTr="00716A4E">
        <w:trPr>
          <w:jc w:val="center"/>
        </w:trPr>
        <w:tc>
          <w:tcPr>
            <w:tcW w:w="1701" w:type="dxa"/>
            <w:shd w:val="clear" w:color="auto" w:fill="FFFFFF"/>
            <w:tcMar>
              <w:top w:w="80" w:type="dxa"/>
              <w:left w:w="80" w:type="dxa"/>
              <w:bottom w:w="80" w:type="dxa"/>
              <w:right w:w="80" w:type="dxa"/>
            </w:tcMar>
            <w:vAlign w:val="center"/>
          </w:tcPr>
          <w:p w14:paraId="5F5D7550" w14:textId="77777777" w:rsidR="00185FDF" w:rsidRPr="006F225A" w:rsidRDefault="00185FDF" w:rsidP="009B5C6E">
            <w:pPr>
              <w:pStyle w:val="Default"/>
              <w:autoSpaceDE w:val="0"/>
              <w:autoSpaceDN w:val="0"/>
              <w:adjustRightInd w:val="0"/>
              <w:snapToGrid w:val="0"/>
              <w:spacing w:before="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Akech et al., 2018</w:t>
            </w:r>
            <w:r w:rsidR="003221F8" w:rsidRPr="006F225A">
              <w:rPr>
                <w:rStyle w:val="None"/>
                <w:rFonts w:ascii="Palatino Linotype" w:hAnsi="Palatino Linotype"/>
                <w:color w:val="auto"/>
                <w:sz w:val="17"/>
                <w:szCs w:val="17"/>
                <w:lang w:val="en-GB"/>
              </w:rPr>
              <w:t xml:space="preserve"> [13]</w:t>
            </w:r>
          </w:p>
        </w:tc>
        <w:tc>
          <w:tcPr>
            <w:tcW w:w="1134" w:type="dxa"/>
            <w:shd w:val="clear" w:color="auto" w:fill="FFFFFF"/>
            <w:tcMar>
              <w:top w:w="80" w:type="dxa"/>
              <w:left w:w="80" w:type="dxa"/>
              <w:bottom w:w="80" w:type="dxa"/>
              <w:right w:w="80" w:type="dxa"/>
            </w:tcMar>
            <w:vAlign w:val="center"/>
          </w:tcPr>
          <w:p w14:paraId="1F6A6803" w14:textId="77777777" w:rsidR="00185FDF" w:rsidRPr="006F225A" w:rsidRDefault="00185FDF" w:rsidP="009B5C6E">
            <w:pPr>
              <w:pStyle w:val="BodyA"/>
              <w:autoSpaceDE w:val="0"/>
              <w:autoSpaceDN w:val="0"/>
              <w:adjustRightInd w:val="0"/>
              <w:snapToGrid w:val="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8025</w:t>
            </w:r>
          </w:p>
        </w:tc>
        <w:tc>
          <w:tcPr>
            <w:tcW w:w="1418" w:type="dxa"/>
            <w:shd w:val="clear" w:color="auto" w:fill="FFFFFF"/>
            <w:tcMar>
              <w:top w:w="80" w:type="dxa"/>
              <w:left w:w="80" w:type="dxa"/>
              <w:bottom w:w="80" w:type="dxa"/>
              <w:right w:w="80" w:type="dxa"/>
            </w:tcMar>
            <w:vAlign w:val="center"/>
          </w:tcPr>
          <w:p w14:paraId="50250EC9" w14:textId="77777777" w:rsidR="00185FDF" w:rsidRPr="006F225A" w:rsidRDefault="00185FDF" w:rsidP="009B5C6E">
            <w:pPr>
              <w:pStyle w:val="Default"/>
              <w:autoSpaceDE w:val="0"/>
              <w:autoSpaceDN w:val="0"/>
              <w:adjustRightInd w:val="0"/>
              <w:snapToGrid w:val="0"/>
              <w:spacing w:before="0"/>
              <w:rPr>
                <w:rFonts w:ascii="Palatino Linotype" w:hAnsi="Palatino Linotype"/>
                <w:color w:val="auto"/>
                <w:sz w:val="17"/>
                <w:szCs w:val="17"/>
                <w:lang w:val="en-GB"/>
              </w:rPr>
            </w:pPr>
            <w:r w:rsidRPr="006F225A">
              <w:rPr>
                <w:rStyle w:val="None"/>
                <w:rFonts w:ascii="Palatino Linotype" w:hAnsi="Palatino Linotype"/>
                <w:color w:val="auto"/>
                <w:sz w:val="17"/>
                <w:szCs w:val="17"/>
                <w:shd w:val="clear" w:color="auto" w:fill="FEFFFE"/>
                <w:lang w:val="en-GB"/>
              </w:rPr>
              <w:t xml:space="preserve">3569 (45%) </w:t>
            </w:r>
          </w:p>
        </w:tc>
        <w:tc>
          <w:tcPr>
            <w:tcW w:w="1417" w:type="dxa"/>
            <w:shd w:val="clear" w:color="auto" w:fill="FFFFFF"/>
            <w:tcMar>
              <w:top w:w="80" w:type="dxa"/>
              <w:left w:w="80" w:type="dxa"/>
              <w:bottom w:w="80" w:type="dxa"/>
              <w:right w:w="80" w:type="dxa"/>
            </w:tcMar>
            <w:vAlign w:val="center"/>
          </w:tcPr>
          <w:p w14:paraId="38B50ABD" w14:textId="77777777" w:rsidR="00185FDF" w:rsidRPr="006F225A" w:rsidRDefault="00185FDF" w:rsidP="009B5C6E">
            <w:pPr>
              <w:pStyle w:val="Default"/>
              <w:autoSpaceDE w:val="0"/>
              <w:autoSpaceDN w:val="0"/>
              <w:adjustRightInd w:val="0"/>
              <w:snapToGrid w:val="0"/>
              <w:spacing w:before="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w:t>
            </w:r>
          </w:p>
        </w:tc>
        <w:tc>
          <w:tcPr>
            <w:tcW w:w="851" w:type="dxa"/>
            <w:shd w:val="clear" w:color="auto" w:fill="FFFFFF"/>
            <w:tcMar>
              <w:top w:w="80" w:type="dxa"/>
              <w:left w:w="80" w:type="dxa"/>
              <w:bottom w:w="80" w:type="dxa"/>
              <w:right w:w="80" w:type="dxa"/>
            </w:tcMar>
            <w:vAlign w:val="center"/>
          </w:tcPr>
          <w:p w14:paraId="1469C6B6" w14:textId="77777777" w:rsidR="00185FDF" w:rsidRPr="006F225A" w:rsidRDefault="00185FDF" w:rsidP="009B5C6E">
            <w:pPr>
              <w:pStyle w:val="Default"/>
              <w:autoSpaceDE w:val="0"/>
              <w:autoSpaceDN w:val="0"/>
              <w:adjustRightInd w:val="0"/>
              <w:snapToGrid w:val="0"/>
              <w:spacing w:before="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w:t>
            </w:r>
          </w:p>
        </w:tc>
        <w:tc>
          <w:tcPr>
            <w:tcW w:w="992" w:type="dxa"/>
            <w:shd w:val="clear" w:color="auto" w:fill="FFFFFF"/>
            <w:tcMar>
              <w:top w:w="80" w:type="dxa"/>
              <w:left w:w="80" w:type="dxa"/>
              <w:bottom w:w="80" w:type="dxa"/>
              <w:right w:w="80" w:type="dxa"/>
            </w:tcMar>
            <w:vAlign w:val="center"/>
          </w:tcPr>
          <w:p w14:paraId="38F8E39F" w14:textId="77777777" w:rsidR="00185FDF" w:rsidRPr="006F225A" w:rsidRDefault="00185FDF" w:rsidP="009B5C6E">
            <w:pPr>
              <w:pStyle w:val="Default"/>
              <w:autoSpaceDE w:val="0"/>
              <w:autoSpaceDN w:val="0"/>
              <w:adjustRightInd w:val="0"/>
              <w:snapToGrid w:val="0"/>
              <w:spacing w:before="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w:t>
            </w:r>
          </w:p>
        </w:tc>
        <w:tc>
          <w:tcPr>
            <w:tcW w:w="2977" w:type="dxa"/>
            <w:shd w:val="clear" w:color="auto" w:fill="FFFFFF"/>
            <w:tcMar>
              <w:top w:w="80" w:type="dxa"/>
              <w:left w:w="80" w:type="dxa"/>
              <w:bottom w:w="80" w:type="dxa"/>
              <w:right w:w="80" w:type="dxa"/>
            </w:tcMar>
            <w:vAlign w:val="center"/>
          </w:tcPr>
          <w:p w14:paraId="3F412ABF" w14:textId="77777777" w:rsidR="00185FDF" w:rsidRPr="006F225A" w:rsidRDefault="00185FDF" w:rsidP="009B5C6E">
            <w:pPr>
              <w:pStyle w:val="BodyA"/>
              <w:autoSpaceDE w:val="0"/>
              <w:autoSpaceDN w:val="0"/>
              <w:adjustRightInd w:val="0"/>
              <w:snapToGrid w:val="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Paediatric patients hospitalised with diarrhoea and dehydration</w:t>
            </w:r>
          </w:p>
        </w:tc>
      </w:tr>
      <w:tr w:rsidR="00207EA1" w:rsidRPr="006F225A" w14:paraId="79776C9D" w14:textId="77777777" w:rsidTr="00716A4E">
        <w:trPr>
          <w:jc w:val="center"/>
        </w:trPr>
        <w:tc>
          <w:tcPr>
            <w:tcW w:w="1701" w:type="dxa"/>
            <w:shd w:val="clear" w:color="auto" w:fill="FFFFFF"/>
            <w:tcMar>
              <w:top w:w="80" w:type="dxa"/>
              <w:left w:w="80" w:type="dxa"/>
              <w:bottom w:w="80" w:type="dxa"/>
              <w:right w:w="80" w:type="dxa"/>
            </w:tcMar>
            <w:vAlign w:val="center"/>
          </w:tcPr>
          <w:p w14:paraId="3B73E6D3" w14:textId="77777777" w:rsidR="00185FDF" w:rsidRPr="006F225A" w:rsidRDefault="00185FDF" w:rsidP="009B5C6E">
            <w:pPr>
              <w:pStyle w:val="Default"/>
              <w:autoSpaceDE w:val="0"/>
              <w:autoSpaceDN w:val="0"/>
              <w:adjustRightInd w:val="0"/>
              <w:snapToGrid w:val="0"/>
              <w:spacing w:before="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Heyman et al., 1990</w:t>
            </w:r>
            <w:r w:rsidR="003221F8" w:rsidRPr="006F225A">
              <w:rPr>
                <w:rStyle w:val="None"/>
                <w:rFonts w:ascii="Palatino Linotype" w:hAnsi="Palatino Linotype"/>
                <w:color w:val="auto"/>
                <w:sz w:val="17"/>
                <w:szCs w:val="17"/>
                <w:lang w:val="en-GB"/>
              </w:rPr>
              <w:t xml:space="preserve"> [15]</w:t>
            </w:r>
          </w:p>
        </w:tc>
        <w:tc>
          <w:tcPr>
            <w:tcW w:w="1134" w:type="dxa"/>
            <w:shd w:val="clear" w:color="auto" w:fill="FFFFFF"/>
            <w:tcMar>
              <w:top w:w="80" w:type="dxa"/>
              <w:left w:w="80" w:type="dxa"/>
              <w:bottom w:w="80" w:type="dxa"/>
              <w:right w:w="80" w:type="dxa"/>
            </w:tcMar>
            <w:vAlign w:val="center"/>
          </w:tcPr>
          <w:p w14:paraId="686AF33C" w14:textId="77777777" w:rsidR="00185FDF" w:rsidRPr="006F225A" w:rsidRDefault="00185FDF" w:rsidP="009B5C6E">
            <w:pPr>
              <w:pStyle w:val="Default"/>
              <w:autoSpaceDE w:val="0"/>
              <w:autoSpaceDN w:val="0"/>
              <w:adjustRightInd w:val="0"/>
              <w:snapToGrid w:val="0"/>
              <w:spacing w:before="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3495</w:t>
            </w:r>
          </w:p>
        </w:tc>
        <w:tc>
          <w:tcPr>
            <w:tcW w:w="1418" w:type="dxa"/>
            <w:shd w:val="clear" w:color="auto" w:fill="FFFFFF"/>
            <w:tcMar>
              <w:top w:w="80" w:type="dxa"/>
              <w:left w:w="80" w:type="dxa"/>
              <w:bottom w:w="80" w:type="dxa"/>
              <w:right w:w="80" w:type="dxa"/>
            </w:tcMar>
            <w:vAlign w:val="center"/>
          </w:tcPr>
          <w:p w14:paraId="6A0222AE" w14:textId="77777777" w:rsidR="00185FDF" w:rsidRPr="006F225A" w:rsidRDefault="00185FDF" w:rsidP="009B5C6E">
            <w:pPr>
              <w:pStyle w:val="Default"/>
              <w:autoSpaceDE w:val="0"/>
              <w:autoSpaceDN w:val="0"/>
              <w:adjustRightInd w:val="0"/>
              <w:snapToGrid w:val="0"/>
              <w:spacing w:before="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1310 (37.5%)</w:t>
            </w:r>
          </w:p>
        </w:tc>
        <w:tc>
          <w:tcPr>
            <w:tcW w:w="1417" w:type="dxa"/>
            <w:shd w:val="clear" w:color="auto" w:fill="FFFFFF"/>
            <w:tcMar>
              <w:top w:w="80" w:type="dxa"/>
              <w:left w:w="80" w:type="dxa"/>
              <w:bottom w:w="80" w:type="dxa"/>
              <w:right w:w="80" w:type="dxa"/>
            </w:tcMar>
            <w:vAlign w:val="center"/>
          </w:tcPr>
          <w:p w14:paraId="6EF95DE7" w14:textId="77777777" w:rsidR="00185FDF" w:rsidRPr="006F225A" w:rsidRDefault="00185FDF" w:rsidP="009B5C6E">
            <w:pPr>
              <w:pStyle w:val="Default"/>
              <w:autoSpaceDE w:val="0"/>
              <w:autoSpaceDN w:val="0"/>
              <w:adjustRightInd w:val="0"/>
              <w:snapToGrid w:val="0"/>
              <w:spacing w:before="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w:t>
            </w:r>
          </w:p>
        </w:tc>
        <w:tc>
          <w:tcPr>
            <w:tcW w:w="851" w:type="dxa"/>
            <w:shd w:val="clear" w:color="auto" w:fill="FFFFFF"/>
            <w:tcMar>
              <w:top w:w="80" w:type="dxa"/>
              <w:left w:w="80" w:type="dxa"/>
              <w:bottom w:w="80" w:type="dxa"/>
              <w:right w:w="80" w:type="dxa"/>
            </w:tcMar>
            <w:vAlign w:val="center"/>
          </w:tcPr>
          <w:p w14:paraId="6F9447F3" w14:textId="77777777" w:rsidR="00185FDF" w:rsidRPr="006F225A" w:rsidRDefault="00185FDF" w:rsidP="009B5C6E">
            <w:pPr>
              <w:pStyle w:val="Default"/>
              <w:autoSpaceDE w:val="0"/>
              <w:autoSpaceDN w:val="0"/>
              <w:adjustRightInd w:val="0"/>
              <w:snapToGrid w:val="0"/>
              <w:spacing w:before="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w:t>
            </w:r>
          </w:p>
        </w:tc>
        <w:tc>
          <w:tcPr>
            <w:tcW w:w="992" w:type="dxa"/>
            <w:shd w:val="clear" w:color="auto" w:fill="FFFFFF"/>
            <w:tcMar>
              <w:top w:w="80" w:type="dxa"/>
              <w:left w:w="80" w:type="dxa"/>
              <w:bottom w:w="80" w:type="dxa"/>
              <w:right w:w="80" w:type="dxa"/>
            </w:tcMar>
            <w:vAlign w:val="center"/>
          </w:tcPr>
          <w:p w14:paraId="269917CF" w14:textId="77777777" w:rsidR="00185FDF" w:rsidRPr="006F225A" w:rsidRDefault="00185FDF" w:rsidP="009B5C6E">
            <w:pPr>
              <w:pStyle w:val="Default"/>
              <w:autoSpaceDE w:val="0"/>
              <w:autoSpaceDN w:val="0"/>
              <w:adjustRightInd w:val="0"/>
              <w:snapToGrid w:val="0"/>
              <w:spacing w:before="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w:t>
            </w:r>
          </w:p>
        </w:tc>
        <w:tc>
          <w:tcPr>
            <w:tcW w:w="2977" w:type="dxa"/>
            <w:shd w:val="clear" w:color="auto" w:fill="FFFFFF"/>
            <w:tcMar>
              <w:top w:w="80" w:type="dxa"/>
              <w:left w:w="80" w:type="dxa"/>
              <w:bottom w:w="80" w:type="dxa"/>
              <w:right w:w="80" w:type="dxa"/>
            </w:tcMar>
            <w:vAlign w:val="center"/>
          </w:tcPr>
          <w:p w14:paraId="5A3334A4" w14:textId="77777777" w:rsidR="00185FDF" w:rsidRPr="006F225A" w:rsidRDefault="00185FDF" w:rsidP="009B5C6E">
            <w:pPr>
              <w:pStyle w:val="BodyA"/>
              <w:autoSpaceDE w:val="0"/>
              <w:autoSpaceDN w:val="0"/>
              <w:adjustRightInd w:val="0"/>
              <w:snapToGrid w:val="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Paediatric patients hospitalised with diarrhoea or gastroenteritis</w:t>
            </w:r>
          </w:p>
        </w:tc>
      </w:tr>
      <w:tr w:rsidR="00207EA1" w:rsidRPr="006F225A" w14:paraId="17CFF3C3" w14:textId="77777777" w:rsidTr="00716A4E">
        <w:trPr>
          <w:jc w:val="center"/>
        </w:trPr>
        <w:tc>
          <w:tcPr>
            <w:tcW w:w="1701" w:type="dxa"/>
            <w:shd w:val="clear" w:color="auto" w:fill="FFFFFF"/>
            <w:tcMar>
              <w:top w:w="80" w:type="dxa"/>
              <w:left w:w="80" w:type="dxa"/>
              <w:bottom w:w="80" w:type="dxa"/>
              <w:right w:w="80" w:type="dxa"/>
            </w:tcMar>
            <w:vAlign w:val="center"/>
          </w:tcPr>
          <w:p w14:paraId="758EB898" w14:textId="77777777" w:rsidR="00185FDF" w:rsidRPr="006F225A" w:rsidRDefault="00185FDF" w:rsidP="009B5C6E">
            <w:pPr>
              <w:pStyle w:val="BodyA"/>
              <w:autoSpaceDE w:val="0"/>
              <w:autoSpaceDN w:val="0"/>
              <w:adjustRightInd w:val="0"/>
              <w:snapToGrid w:val="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Abdul-</w:t>
            </w:r>
            <w:proofErr w:type="spellStart"/>
            <w:r w:rsidRPr="006F225A">
              <w:rPr>
                <w:rStyle w:val="None"/>
                <w:rFonts w:ascii="Palatino Linotype" w:hAnsi="Palatino Linotype"/>
                <w:color w:val="auto"/>
                <w:sz w:val="17"/>
                <w:szCs w:val="17"/>
                <w:lang w:val="en-GB"/>
              </w:rPr>
              <w:t>Mumin</w:t>
            </w:r>
            <w:proofErr w:type="spellEnd"/>
            <w:r w:rsidRPr="006F225A">
              <w:rPr>
                <w:rStyle w:val="None"/>
                <w:rFonts w:ascii="Palatino Linotype" w:hAnsi="Palatino Linotype"/>
                <w:color w:val="auto"/>
                <w:sz w:val="17"/>
                <w:szCs w:val="17"/>
                <w:lang w:val="en-GB"/>
              </w:rPr>
              <w:t>, Ervin and Halvorson, 2019</w:t>
            </w:r>
            <w:r w:rsidR="003221F8" w:rsidRPr="006F225A">
              <w:rPr>
                <w:rStyle w:val="None"/>
                <w:rFonts w:ascii="Palatino Linotype" w:hAnsi="Palatino Linotype"/>
                <w:color w:val="auto"/>
                <w:sz w:val="17"/>
                <w:szCs w:val="17"/>
                <w:lang w:val="en-GB"/>
              </w:rPr>
              <w:t xml:space="preserve"> [1</w:t>
            </w:r>
            <w:r w:rsidR="00120E5A" w:rsidRPr="006F225A">
              <w:rPr>
                <w:rStyle w:val="None"/>
                <w:rFonts w:ascii="Palatino Linotype" w:hAnsi="Palatino Linotype"/>
                <w:color w:val="auto"/>
                <w:sz w:val="17"/>
                <w:szCs w:val="17"/>
                <w:lang w:val="en-GB"/>
              </w:rPr>
              <w:t>7</w:t>
            </w:r>
            <w:r w:rsidR="003221F8" w:rsidRPr="006F225A">
              <w:rPr>
                <w:rStyle w:val="None"/>
                <w:rFonts w:ascii="Palatino Linotype" w:hAnsi="Palatino Linotype"/>
                <w:color w:val="auto"/>
                <w:sz w:val="17"/>
                <w:szCs w:val="17"/>
                <w:lang w:val="en-GB"/>
              </w:rPr>
              <w:t>]</w:t>
            </w:r>
          </w:p>
        </w:tc>
        <w:tc>
          <w:tcPr>
            <w:tcW w:w="1134" w:type="dxa"/>
            <w:shd w:val="clear" w:color="auto" w:fill="FFFFFF"/>
            <w:tcMar>
              <w:top w:w="80" w:type="dxa"/>
              <w:left w:w="80" w:type="dxa"/>
              <w:bottom w:w="80" w:type="dxa"/>
              <w:right w:w="80" w:type="dxa"/>
            </w:tcMar>
            <w:vAlign w:val="center"/>
          </w:tcPr>
          <w:p w14:paraId="7F4C9F45" w14:textId="77777777" w:rsidR="00185FDF" w:rsidRPr="006F225A" w:rsidRDefault="00185FDF" w:rsidP="009B5C6E">
            <w:pPr>
              <w:pStyle w:val="Default"/>
              <w:autoSpaceDE w:val="0"/>
              <w:autoSpaceDN w:val="0"/>
              <w:adjustRightInd w:val="0"/>
              <w:snapToGrid w:val="0"/>
              <w:spacing w:before="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473</w:t>
            </w:r>
          </w:p>
        </w:tc>
        <w:tc>
          <w:tcPr>
            <w:tcW w:w="1418" w:type="dxa"/>
            <w:shd w:val="clear" w:color="auto" w:fill="FFFFFF"/>
            <w:tcMar>
              <w:top w:w="80" w:type="dxa"/>
              <w:left w:w="80" w:type="dxa"/>
              <w:bottom w:w="80" w:type="dxa"/>
              <w:right w:w="80" w:type="dxa"/>
            </w:tcMar>
            <w:vAlign w:val="center"/>
          </w:tcPr>
          <w:p w14:paraId="3987043E" w14:textId="77777777" w:rsidR="00185FDF" w:rsidRPr="006F225A" w:rsidRDefault="00185FDF" w:rsidP="009B5C6E">
            <w:pPr>
              <w:pStyle w:val="Default"/>
              <w:autoSpaceDE w:val="0"/>
              <w:autoSpaceDN w:val="0"/>
              <w:adjustRightInd w:val="0"/>
              <w:snapToGrid w:val="0"/>
              <w:spacing w:before="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365 (77%)</w:t>
            </w:r>
          </w:p>
        </w:tc>
        <w:tc>
          <w:tcPr>
            <w:tcW w:w="1417" w:type="dxa"/>
            <w:shd w:val="clear" w:color="auto" w:fill="FFFFFF"/>
            <w:tcMar>
              <w:top w:w="80" w:type="dxa"/>
              <w:left w:w="80" w:type="dxa"/>
              <w:bottom w:w="80" w:type="dxa"/>
              <w:right w:w="80" w:type="dxa"/>
            </w:tcMar>
            <w:vAlign w:val="center"/>
          </w:tcPr>
          <w:p w14:paraId="0BBA80D7" w14:textId="77777777" w:rsidR="00185FDF" w:rsidRPr="006F225A" w:rsidRDefault="00185FDF" w:rsidP="009B5C6E">
            <w:pPr>
              <w:pStyle w:val="Default"/>
              <w:autoSpaceDE w:val="0"/>
              <w:autoSpaceDN w:val="0"/>
              <w:adjustRightInd w:val="0"/>
              <w:snapToGrid w:val="0"/>
              <w:spacing w:before="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w:t>
            </w:r>
          </w:p>
        </w:tc>
        <w:tc>
          <w:tcPr>
            <w:tcW w:w="851" w:type="dxa"/>
            <w:shd w:val="clear" w:color="auto" w:fill="FFFFFF"/>
            <w:tcMar>
              <w:top w:w="80" w:type="dxa"/>
              <w:left w:w="80" w:type="dxa"/>
              <w:bottom w:w="80" w:type="dxa"/>
              <w:right w:w="80" w:type="dxa"/>
            </w:tcMar>
            <w:vAlign w:val="center"/>
          </w:tcPr>
          <w:p w14:paraId="0CED6212" w14:textId="77777777" w:rsidR="00185FDF" w:rsidRPr="006F225A" w:rsidRDefault="00185FDF" w:rsidP="009B5C6E">
            <w:pPr>
              <w:pStyle w:val="Default"/>
              <w:autoSpaceDE w:val="0"/>
              <w:autoSpaceDN w:val="0"/>
              <w:adjustRightInd w:val="0"/>
              <w:snapToGrid w:val="0"/>
              <w:spacing w:before="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w:t>
            </w:r>
          </w:p>
        </w:tc>
        <w:tc>
          <w:tcPr>
            <w:tcW w:w="992" w:type="dxa"/>
            <w:shd w:val="clear" w:color="auto" w:fill="FFFFFF"/>
            <w:tcMar>
              <w:top w:w="80" w:type="dxa"/>
              <w:left w:w="80" w:type="dxa"/>
              <w:bottom w:w="80" w:type="dxa"/>
              <w:right w:w="80" w:type="dxa"/>
            </w:tcMar>
            <w:vAlign w:val="center"/>
          </w:tcPr>
          <w:p w14:paraId="09D7F53B" w14:textId="77777777" w:rsidR="00185FDF" w:rsidRPr="006F225A" w:rsidRDefault="00185FDF" w:rsidP="009B5C6E">
            <w:pPr>
              <w:pStyle w:val="Default"/>
              <w:autoSpaceDE w:val="0"/>
              <w:autoSpaceDN w:val="0"/>
              <w:adjustRightInd w:val="0"/>
              <w:snapToGrid w:val="0"/>
              <w:spacing w:before="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w:t>
            </w:r>
          </w:p>
        </w:tc>
        <w:tc>
          <w:tcPr>
            <w:tcW w:w="2977" w:type="dxa"/>
            <w:shd w:val="clear" w:color="auto" w:fill="FFFFFF"/>
            <w:tcMar>
              <w:top w:w="80" w:type="dxa"/>
              <w:left w:w="80" w:type="dxa"/>
              <w:bottom w:w="80" w:type="dxa"/>
              <w:right w:w="80" w:type="dxa"/>
            </w:tcMar>
            <w:vAlign w:val="center"/>
          </w:tcPr>
          <w:p w14:paraId="3CE77DC0" w14:textId="77777777" w:rsidR="00185FDF" w:rsidRPr="006F225A" w:rsidRDefault="00185FDF" w:rsidP="009B5C6E">
            <w:pPr>
              <w:pStyle w:val="BodyA"/>
              <w:autoSpaceDE w:val="0"/>
              <w:autoSpaceDN w:val="0"/>
              <w:adjustRightInd w:val="0"/>
              <w:snapToGrid w:val="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Paediatric patients hospitalised with acute gastroenteritis</w:t>
            </w:r>
          </w:p>
        </w:tc>
      </w:tr>
      <w:tr w:rsidR="00207EA1" w:rsidRPr="006F225A" w14:paraId="3FBD0798" w14:textId="77777777" w:rsidTr="00716A4E">
        <w:trPr>
          <w:jc w:val="center"/>
        </w:trPr>
        <w:tc>
          <w:tcPr>
            <w:tcW w:w="1701" w:type="dxa"/>
            <w:shd w:val="clear" w:color="auto" w:fill="FFFFFF"/>
            <w:tcMar>
              <w:top w:w="80" w:type="dxa"/>
              <w:left w:w="80" w:type="dxa"/>
              <w:bottom w:w="80" w:type="dxa"/>
              <w:right w:w="80" w:type="dxa"/>
            </w:tcMar>
            <w:vAlign w:val="center"/>
          </w:tcPr>
          <w:p w14:paraId="1FC73E7B" w14:textId="77777777" w:rsidR="00185FDF" w:rsidRPr="006F225A" w:rsidRDefault="00185FDF" w:rsidP="009B5C6E">
            <w:pPr>
              <w:pStyle w:val="Default"/>
              <w:autoSpaceDE w:val="0"/>
              <w:autoSpaceDN w:val="0"/>
              <w:adjustRightInd w:val="0"/>
              <w:snapToGrid w:val="0"/>
              <w:spacing w:before="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Freedman et al., 2014</w:t>
            </w:r>
            <w:r w:rsidR="00120E5A" w:rsidRPr="006F225A">
              <w:rPr>
                <w:rStyle w:val="None"/>
                <w:rFonts w:ascii="Palatino Linotype" w:hAnsi="Palatino Linotype"/>
                <w:color w:val="auto"/>
                <w:sz w:val="17"/>
                <w:szCs w:val="17"/>
                <w:lang w:val="en-GB"/>
              </w:rPr>
              <w:t xml:space="preserve"> [19]</w:t>
            </w:r>
          </w:p>
        </w:tc>
        <w:tc>
          <w:tcPr>
            <w:tcW w:w="1134" w:type="dxa"/>
            <w:shd w:val="clear" w:color="auto" w:fill="FFFFFF"/>
            <w:tcMar>
              <w:top w:w="80" w:type="dxa"/>
              <w:left w:w="80" w:type="dxa"/>
              <w:bottom w:w="80" w:type="dxa"/>
              <w:right w:w="80" w:type="dxa"/>
            </w:tcMar>
            <w:vAlign w:val="center"/>
          </w:tcPr>
          <w:p w14:paraId="39B4C8D4" w14:textId="36A49776" w:rsidR="00185FDF" w:rsidRPr="006F225A" w:rsidRDefault="00185FDF" w:rsidP="009B5C6E">
            <w:pPr>
              <w:pStyle w:val="Default"/>
              <w:autoSpaceDE w:val="0"/>
              <w:autoSpaceDN w:val="0"/>
              <w:adjustRightInd w:val="0"/>
              <w:snapToGrid w:val="0"/>
              <w:spacing w:before="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804</w:t>
            </w:r>
            <w:r w:rsidR="003321C4" w:rsidRPr="006F225A">
              <w:rPr>
                <w:rStyle w:val="None"/>
                <w:rFonts w:ascii="Palatino Linotype" w:hAnsi="Palatino Linotype"/>
                <w:color w:val="auto"/>
                <w:sz w:val="17"/>
                <w:szCs w:val="17"/>
                <w:lang w:val="en-GB"/>
              </w:rPr>
              <w:t>,</w:t>
            </w:r>
            <w:r w:rsidRPr="006F225A">
              <w:rPr>
                <w:rStyle w:val="None"/>
                <w:rFonts w:ascii="Palatino Linotype" w:hAnsi="Palatino Linotype"/>
                <w:color w:val="auto"/>
                <w:sz w:val="17"/>
                <w:szCs w:val="17"/>
                <w:lang w:val="en-GB"/>
              </w:rPr>
              <w:t>000</w:t>
            </w:r>
          </w:p>
        </w:tc>
        <w:tc>
          <w:tcPr>
            <w:tcW w:w="1418" w:type="dxa"/>
            <w:shd w:val="clear" w:color="auto" w:fill="FFFFFF"/>
            <w:tcMar>
              <w:top w:w="80" w:type="dxa"/>
              <w:left w:w="80" w:type="dxa"/>
              <w:bottom w:w="80" w:type="dxa"/>
              <w:right w:w="80" w:type="dxa"/>
            </w:tcMar>
            <w:vAlign w:val="center"/>
          </w:tcPr>
          <w:p w14:paraId="6789462E" w14:textId="1EECC32D" w:rsidR="00185FDF" w:rsidRPr="006F225A" w:rsidRDefault="00185FDF" w:rsidP="009B5C6E">
            <w:pPr>
              <w:pStyle w:val="Default"/>
              <w:autoSpaceDE w:val="0"/>
              <w:autoSpaceDN w:val="0"/>
              <w:adjustRightInd w:val="0"/>
              <w:snapToGrid w:val="0"/>
              <w:spacing w:before="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148</w:t>
            </w:r>
            <w:r w:rsidR="009B5C6E" w:rsidRPr="006F225A">
              <w:rPr>
                <w:rStyle w:val="None"/>
                <w:rFonts w:ascii="Palatino Linotype" w:hAnsi="Palatino Linotype"/>
                <w:color w:val="auto"/>
                <w:sz w:val="17"/>
                <w:szCs w:val="17"/>
                <w:lang w:val="en-GB"/>
              </w:rPr>
              <w:t>,</w:t>
            </w:r>
            <w:r w:rsidRPr="006F225A">
              <w:rPr>
                <w:rStyle w:val="None"/>
                <w:rFonts w:ascii="Palatino Linotype" w:hAnsi="Palatino Linotype"/>
                <w:color w:val="auto"/>
                <w:sz w:val="17"/>
                <w:szCs w:val="17"/>
                <w:lang w:val="en-GB"/>
              </w:rPr>
              <w:t>780 (18.5%)</w:t>
            </w:r>
          </w:p>
        </w:tc>
        <w:tc>
          <w:tcPr>
            <w:tcW w:w="1417" w:type="dxa"/>
            <w:shd w:val="clear" w:color="auto" w:fill="FFFFFF"/>
            <w:tcMar>
              <w:top w:w="80" w:type="dxa"/>
              <w:left w:w="80" w:type="dxa"/>
              <w:bottom w:w="80" w:type="dxa"/>
              <w:right w:w="80" w:type="dxa"/>
            </w:tcMar>
            <w:vAlign w:val="center"/>
          </w:tcPr>
          <w:p w14:paraId="18563266" w14:textId="77777777" w:rsidR="00185FDF" w:rsidRPr="006F225A" w:rsidRDefault="00185FDF" w:rsidP="009B5C6E">
            <w:pPr>
              <w:pStyle w:val="Default"/>
              <w:autoSpaceDE w:val="0"/>
              <w:autoSpaceDN w:val="0"/>
              <w:adjustRightInd w:val="0"/>
              <w:snapToGrid w:val="0"/>
              <w:spacing w:before="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w:t>
            </w:r>
          </w:p>
        </w:tc>
        <w:tc>
          <w:tcPr>
            <w:tcW w:w="851" w:type="dxa"/>
            <w:shd w:val="clear" w:color="auto" w:fill="FFFFFF"/>
            <w:tcMar>
              <w:top w:w="80" w:type="dxa"/>
              <w:left w:w="80" w:type="dxa"/>
              <w:bottom w:w="80" w:type="dxa"/>
              <w:right w:w="80" w:type="dxa"/>
            </w:tcMar>
            <w:vAlign w:val="center"/>
          </w:tcPr>
          <w:p w14:paraId="3DD824CF" w14:textId="77777777" w:rsidR="00185FDF" w:rsidRPr="006F225A" w:rsidRDefault="00185FDF" w:rsidP="009B5C6E">
            <w:pPr>
              <w:pStyle w:val="Default"/>
              <w:autoSpaceDE w:val="0"/>
              <w:autoSpaceDN w:val="0"/>
              <w:adjustRightInd w:val="0"/>
              <w:snapToGrid w:val="0"/>
              <w:spacing w:before="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w:t>
            </w:r>
          </w:p>
        </w:tc>
        <w:tc>
          <w:tcPr>
            <w:tcW w:w="992" w:type="dxa"/>
            <w:shd w:val="clear" w:color="auto" w:fill="FFFFFF"/>
            <w:tcMar>
              <w:top w:w="80" w:type="dxa"/>
              <w:left w:w="80" w:type="dxa"/>
              <w:bottom w:w="80" w:type="dxa"/>
              <w:right w:w="80" w:type="dxa"/>
            </w:tcMar>
            <w:vAlign w:val="center"/>
          </w:tcPr>
          <w:p w14:paraId="2808E40E" w14:textId="77777777" w:rsidR="00185FDF" w:rsidRPr="006F225A" w:rsidRDefault="00185FDF" w:rsidP="009B5C6E">
            <w:pPr>
              <w:pStyle w:val="Default"/>
              <w:autoSpaceDE w:val="0"/>
              <w:autoSpaceDN w:val="0"/>
              <w:adjustRightInd w:val="0"/>
              <w:snapToGrid w:val="0"/>
              <w:spacing w:before="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w:t>
            </w:r>
          </w:p>
        </w:tc>
        <w:tc>
          <w:tcPr>
            <w:tcW w:w="2977" w:type="dxa"/>
            <w:shd w:val="clear" w:color="auto" w:fill="FFFFFF"/>
            <w:tcMar>
              <w:top w:w="80" w:type="dxa"/>
              <w:left w:w="80" w:type="dxa"/>
              <w:bottom w:w="80" w:type="dxa"/>
              <w:right w:w="80" w:type="dxa"/>
            </w:tcMar>
            <w:vAlign w:val="center"/>
          </w:tcPr>
          <w:p w14:paraId="7821B22B" w14:textId="77777777" w:rsidR="00185FDF" w:rsidRPr="006F225A" w:rsidRDefault="00185FDF" w:rsidP="009B5C6E">
            <w:pPr>
              <w:pStyle w:val="BodyA"/>
              <w:autoSpaceDE w:val="0"/>
              <w:autoSpaceDN w:val="0"/>
              <w:adjustRightInd w:val="0"/>
              <w:snapToGrid w:val="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Paediatric patients who were diagnosed as having gastroenteritis in an emergency department</w:t>
            </w:r>
          </w:p>
        </w:tc>
      </w:tr>
      <w:tr w:rsidR="00207EA1" w:rsidRPr="006F225A" w14:paraId="542A0586" w14:textId="77777777" w:rsidTr="00716A4E">
        <w:trPr>
          <w:jc w:val="center"/>
        </w:trPr>
        <w:tc>
          <w:tcPr>
            <w:tcW w:w="1701" w:type="dxa"/>
            <w:shd w:val="clear" w:color="auto" w:fill="FFFFFF"/>
            <w:tcMar>
              <w:top w:w="80" w:type="dxa"/>
              <w:left w:w="80" w:type="dxa"/>
              <w:bottom w:w="80" w:type="dxa"/>
              <w:right w:w="80" w:type="dxa"/>
            </w:tcMar>
            <w:vAlign w:val="center"/>
          </w:tcPr>
          <w:p w14:paraId="51D92251" w14:textId="77777777" w:rsidR="00185FDF" w:rsidRPr="006F225A" w:rsidRDefault="00185FDF" w:rsidP="009B5C6E">
            <w:pPr>
              <w:pStyle w:val="Default"/>
              <w:autoSpaceDE w:val="0"/>
              <w:autoSpaceDN w:val="0"/>
              <w:adjustRightInd w:val="0"/>
              <w:snapToGrid w:val="0"/>
              <w:spacing w:before="0"/>
              <w:rPr>
                <w:rFonts w:ascii="Palatino Linotype" w:hAnsi="Palatino Linotype"/>
                <w:color w:val="auto"/>
                <w:sz w:val="17"/>
                <w:szCs w:val="17"/>
                <w:lang w:val="en-GB"/>
              </w:rPr>
            </w:pPr>
            <w:proofErr w:type="spellStart"/>
            <w:r w:rsidRPr="006F225A">
              <w:rPr>
                <w:rStyle w:val="None"/>
                <w:rFonts w:ascii="Palatino Linotype" w:hAnsi="Palatino Linotype"/>
                <w:color w:val="auto"/>
                <w:sz w:val="17"/>
                <w:szCs w:val="17"/>
                <w:lang w:val="en-GB"/>
              </w:rPr>
              <w:lastRenderedPageBreak/>
              <w:t>Moineau</w:t>
            </w:r>
            <w:proofErr w:type="spellEnd"/>
            <w:r w:rsidRPr="006F225A">
              <w:rPr>
                <w:rStyle w:val="None"/>
                <w:rFonts w:ascii="Palatino Linotype" w:hAnsi="Palatino Linotype"/>
                <w:color w:val="auto"/>
                <w:sz w:val="17"/>
                <w:szCs w:val="17"/>
                <w:lang w:val="en-GB"/>
              </w:rPr>
              <w:t xml:space="preserve"> and Newman, 1990</w:t>
            </w:r>
            <w:r w:rsidR="003221F8" w:rsidRPr="006F225A">
              <w:rPr>
                <w:rStyle w:val="None"/>
                <w:rFonts w:ascii="Palatino Linotype" w:hAnsi="Palatino Linotype"/>
                <w:color w:val="auto"/>
                <w:sz w:val="17"/>
                <w:szCs w:val="17"/>
                <w:lang w:val="en-GB"/>
              </w:rPr>
              <w:t xml:space="preserve"> [2</w:t>
            </w:r>
            <w:r w:rsidR="00120E5A" w:rsidRPr="006F225A">
              <w:rPr>
                <w:rStyle w:val="None"/>
                <w:rFonts w:ascii="Palatino Linotype" w:hAnsi="Palatino Linotype"/>
                <w:color w:val="auto"/>
                <w:sz w:val="17"/>
                <w:szCs w:val="17"/>
                <w:lang w:val="en-GB"/>
              </w:rPr>
              <w:t>0</w:t>
            </w:r>
            <w:r w:rsidR="003221F8" w:rsidRPr="006F225A">
              <w:rPr>
                <w:rStyle w:val="None"/>
                <w:rFonts w:ascii="Palatino Linotype" w:hAnsi="Palatino Linotype"/>
                <w:color w:val="auto"/>
                <w:sz w:val="17"/>
                <w:szCs w:val="17"/>
                <w:lang w:val="en-GB"/>
              </w:rPr>
              <w:t>]</w:t>
            </w:r>
          </w:p>
        </w:tc>
        <w:tc>
          <w:tcPr>
            <w:tcW w:w="1134" w:type="dxa"/>
            <w:shd w:val="clear" w:color="auto" w:fill="FFFFFF"/>
            <w:tcMar>
              <w:top w:w="80" w:type="dxa"/>
              <w:left w:w="80" w:type="dxa"/>
              <w:bottom w:w="80" w:type="dxa"/>
              <w:right w:w="80" w:type="dxa"/>
            </w:tcMar>
            <w:vAlign w:val="center"/>
          </w:tcPr>
          <w:p w14:paraId="12065DF0" w14:textId="77777777" w:rsidR="00185FDF" w:rsidRPr="006F225A" w:rsidRDefault="00185FDF" w:rsidP="009B5C6E">
            <w:pPr>
              <w:pStyle w:val="Default"/>
              <w:autoSpaceDE w:val="0"/>
              <w:autoSpaceDN w:val="0"/>
              <w:adjustRightInd w:val="0"/>
              <w:snapToGrid w:val="0"/>
              <w:spacing w:before="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17</w:t>
            </w:r>
          </w:p>
        </w:tc>
        <w:tc>
          <w:tcPr>
            <w:tcW w:w="1418" w:type="dxa"/>
            <w:shd w:val="clear" w:color="auto" w:fill="FFFFFF"/>
            <w:tcMar>
              <w:top w:w="80" w:type="dxa"/>
              <w:left w:w="80" w:type="dxa"/>
              <w:bottom w:w="80" w:type="dxa"/>
              <w:right w:w="80" w:type="dxa"/>
            </w:tcMar>
            <w:vAlign w:val="center"/>
          </w:tcPr>
          <w:p w14:paraId="194E71DE" w14:textId="77777777" w:rsidR="00185FDF" w:rsidRPr="006F225A" w:rsidRDefault="00185FDF" w:rsidP="009B5C6E">
            <w:pPr>
              <w:pStyle w:val="Default"/>
              <w:autoSpaceDE w:val="0"/>
              <w:autoSpaceDN w:val="0"/>
              <w:adjustRightInd w:val="0"/>
              <w:snapToGrid w:val="0"/>
              <w:spacing w:before="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 xml:space="preserve">17 (100%) </w:t>
            </w:r>
          </w:p>
        </w:tc>
        <w:tc>
          <w:tcPr>
            <w:tcW w:w="1417" w:type="dxa"/>
            <w:shd w:val="clear" w:color="auto" w:fill="FFFFFF"/>
            <w:tcMar>
              <w:top w:w="80" w:type="dxa"/>
              <w:left w:w="80" w:type="dxa"/>
              <w:bottom w:w="80" w:type="dxa"/>
              <w:right w:w="80" w:type="dxa"/>
            </w:tcMar>
            <w:vAlign w:val="center"/>
          </w:tcPr>
          <w:p w14:paraId="71731588" w14:textId="77777777" w:rsidR="00185FDF" w:rsidRPr="006F225A" w:rsidRDefault="00185FDF" w:rsidP="009B5C6E">
            <w:pPr>
              <w:pStyle w:val="Default"/>
              <w:autoSpaceDE w:val="0"/>
              <w:autoSpaceDN w:val="0"/>
              <w:adjustRightInd w:val="0"/>
              <w:snapToGrid w:val="0"/>
              <w:spacing w:before="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w:t>
            </w:r>
          </w:p>
        </w:tc>
        <w:tc>
          <w:tcPr>
            <w:tcW w:w="851" w:type="dxa"/>
            <w:shd w:val="clear" w:color="auto" w:fill="FFFFFF"/>
            <w:tcMar>
              <w:top w:w="80" w:type="dxa"/>
              <w:left w:w="80" w:type="dxa"/>
              <w:bottom w:w="80" w:type="dxa"/>
              <w:right w:w="80" w:type="dxa"/>
            </w:tcMar>
            <w:vAlign w:val="center"/>
          </w:tcPr>
          <w:p w14:paraId="670DF1F9" w14:textId="77777777" w:rsidR="00185FDF" w:rsidRPr="006F225A" w:rsidRDefault="00185FDF" w:rsidP="009B5C6E">
            <w:pPr>
              <w:pStyle w:val="Default"/>
              <w:autoSpaceDE w:val="0"/>
              <w:autoSpaceDN w:val="0"/>
              <w:adjustRightInd w:val="0"/>
              <w:snapToGrid w:val="0"/>
              <w:spacing w:before="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w:t>
            </w:r>
          </w:p>
        </w:tc>
        <w:tc>
          <w:tcPr>
            <w:tcW w:w="992" w:type="dxa"/>
            <w:shd w:val="clear" w:color="auto" w:fill="FFFFFF"/>
            <w:tcMar>
              <w:top w:w="80" w:type="dxa"/>
              <w:left w:w="80" w:type="dxa"/>
              <w:bottom w:w="80" w:type="dxa"/>
              <w:right w:w="80" w:type="dxa"/>
            </w:tcMar>
            <w:vAlign w:val="center"/>
          </w:tcPr>
          <w:p w14:paraId="1D08C922" w14:textId="77777777" w:rsidR="00185FDF" w:rsidRPr="006F225A" w:rsidRDefault="00185FDF" w:rsidP="009B5C6E">
            <w:pPr>
              <w:pStyle w:val="Default"/>
              <w:autoSpaceDE w:val="0"/>
              <w:autoSpaceDN w:val="0"/>
              <w:adjustRightInd w:val="0"/>
              <w:snapToGrid w:val="0"/>
              <w:spacing w:before="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w:t>
            </w:r>
          </w:p>
        </w:tc>
        <w:tc>
          <w:tcPr>
            <w:tcW w:w="2977" w:type="dxa"/>
            <w:shd w:val="clear" w:color="auto" w:fill="FFFFFF"/>
            <w:tcMar>
              <w:top w:w="80" w:type="dxa"/>
              <w:left w:w="80" w:type="dxa"/>
              <w:bottom w:w="80" w:type="dxa"/>
              <w:right w:w="80" w:type="dxa"/>
            </w:tcMar>
            <w:vAlign w:val="center"/>
          </w:tcPr>
          <w:p w14:paraId="7518D180" w14:textId="77777777" w:rsidR="00185FDF" w:rsidRPr="006F225A" w:rsidRDefault="00185FDF" w:rsidP="009B5C6E">
            <w:pPr>
              <w:pStyle w:val="BodyA"/>
              <w:autoSpaceDE w:val="0"/>
              <w:autoSpaceDN w:val="0"/>
              <w:adjustRightInd w:val="0"/>
              <w:snapToGrid w:val="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Paediatric patients admitted to the emergency department with mild to moderate dehydration caused by viral gastroenteritis</w:t>
            </w:r>
          </w:p>
        </w:tc>
      </w:tr>
      <w:tr w:rsidR="00207EA1" w:rsidRPr="006F225A" w14:paraId="01EC8F49" w14:textId="77777777" w:rsidTr="00716A4E">
        <w:trPr>
          <w:jc w:val="center"/>
        </w:trPr>
        <w:tc>
          <w:tcPr>
            <w:tcW w:w="1701" w:type="dxa"/>
            <w:shd w:val="clear" w:color="auto" w:fill="FFFFFF"/>
            <w:tcMar>
              <w:top w:w="80" w:type="dxa"/>
              <w:left w:w="80" w:type="dxa"/>
              <w:bottom w:w="80" w:type="dxa"/>
              <w:right w:w="80" w:type="dxa"/>
            </w:tcMar>
            <w:vAlign w:val="center"/>
          </w:tcPr>
          <w:p w14:paraId="6B22C06A" w14:textId="77777777" w:rsidR="00185FDF" w:rsidRPr="006F225A" w:rsidRDefault="00185FDF" w:rsidP="009B5C6E">
            <w:pPr>
              <w:pStyle w:val="BodyD"/>
              <w:autoSpaceDE w:val="0"/>
              <w:autoSpaceDN w:val="0"/>
              <w:adjustRightInd w:val="0"/>
              <w:snapToGrid w:val="0"/>
              <w:rPr>
                <w:rFonts w:ascii="Palatino Linotype" w:hAnsi="Palatino Linotype"/>
                <w:color w:val="auto"/>
                <w:sz w:val="17"/>
                <w:szCs w:val="17"/>
                <w:lang w:val="en-GB"/>
              </w:rPr>
            </w:pPr>
            <w:proofErr w:type="spellStart"/>
            <w:r w:rsidRPr="006F225A">
              <w:rPr>
                <w:rStyle w:val="None"/>
                <w:rFonts w:ascii="Palatino Linotype" w:hAnsi="Palatino Linotype"/>
                <w:color w:val="auto"/>
                <w:sz w:val="17"/>
                <w:szCs w:val="17"/>
                <w:lang w:val="en-GB"/>
              </w:rPr>
              <w:t>Wathen</w:t>
            </w:r>
            <w:proofErr w:type="spellEnd"/>
            <w:r w:rsidRPr="006F225A">
              <w:rPr>
                <w:rStyle w:val="None"/>
                <w:rFonts w:ascii="Palatino Linotype" w:hAnsi="Palatino Linotype"/>
                <w:color w:val="auto"/>
                <w:sz w:val="17"/>
                <w:szCs w:val="17"/>
                <w:lang w:val="en-GB"/>
              </w:rPr>
              <w:t xml:space="preserve">, </w:t>
            </w:r>
            <w:proofErr w:type="spellStart"/>
            <w:r w:rsidRPr="006F225A">
              <w:rPr>
                <w:rStyle w:val="None"/>
                <w:rFonts w:ascii="Palatino Linotype" w:hAnsi="Palatino Linotype"/>
                <w:color w:val="auto"/>
                <w:sz w:val="17"/>
                <w:szCs w:val="17"/>
                <w:lang w:val="en-GB"/>
              </w:rPr>
              <w:t>MacKenzie</w:t>
            </w:r>
            <w:proofErr w:type="spellEnd"/>
            <w:r w:rsidRPr="006F225A">
              <w:rPr>
                <w:rStyle w:val="None"/>
                <w:rFonts w:ascii="Palatino Linotype" w:hAnsi="Palatino Linotype"/>
                <w:color w:val="auto"/>
                <w:sz w:val="17"/>
                <w:szCs w:val="17"/>
                <w:lang w:val="en-GB"/>
              </w:rPr>
              <w:t xml:space="preserve"> and Bothner, 2004 </w:t>
            </w:r>
            <w:r w:rsidR="003221F8" w:rsidRPr="006F225A">
              <w:rPr>
                <w:rStyle w:val="None"/>
                <w:rFonts w:ascii="Palatino Linotype" w:hAnsi="Palatino Linotype"/>
                <w:color w:val="auto"/>
                <w:sz w:val="17"/>
                <w:szCs w:val="17"/>
                <w:lang w:val="en-GB"/>
              </w:rPr>
              <w:t>[2</w:t>
            </w:r>
            <w:r w:rsidR="00120E5A" w:rsidRPr="006F225A">
              <w:rPr>
                <w:rStyle w:val="None"/>
                <w:rFonts w:ascii="Palatino Linotype" w:hAnsi="Palatino Linotype"/>
                <w:color w:val="auto"/>
                <w:sz w:val="17"/>
                <w:szCs w:val="17"/>
                <w:lang w:val="en-GB"/>
              </w:rPr>
              <w:t>7</w:t>
            </w:r>
            <w:r w:rsidR="003221F8" w:rsidRPr="006F225A">
              <w:rPr>
                <w:rStyle w:val="None"/>
                <w:rFonts w:ascii="Palatino Linotype" w:hAnsi="Palatino Linotype"/>
                <w:color w:val="auto"/>
                <w:sz w:val="17"/>
                <w:szCs w:val="17"/>
                <w:lang w:val="en-GB"/>
              </w:rPr>
              <w:t>]</w:t>
            </w:r>
          </w:p>
        </w:tc>
        <w:tc>
          <w:tcPr>
            <w:tcW w:w="1134" w:type="dxa"/>
            <w:shd w:val="clear" w:color="auto" w:fill="FFFFFF"/>
            <w:tcMar>
              <w:top w:w="80" w:type="dxa"/>
              <w:left w:w="80" w:type="dxa"/>
              <w:bottom w:w="80" w:type="dxa"/>
              <w:right w:w="80" w:type="dxa"/>
            </w:tcMar>
            <w:vAlign w:val="center"/>
          </w:tcPr>
          <w:p w14:paraId="2F3CA170" w14:textId="77777777" w:rsidR="00185FDF" w:rsidRPr="006F225A" w:rsidRDefault="00185FDF" w:rsidP="009B5C6E">
            <w:pPr>
              <w:pStyle w:val="BodyD"/>
              <w:autoSpaceDE w:val="0"/>
              <w:autoSpaceDN w:val="0"/>
              <w:adjustRightInd w:val="0"/>
              <w:snapToGrid w:val="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182</w:t>
            </w:r>
          </w:p>
        </w:tc>
        <w:tc>
          <w:tcPr>
            <w:tcW w:w="1418" w:type="dxa"/>
            <w:shd w:val="clear" w:color="auto" w:fill="FFFFFF"/>
            <w:tcMar>
              <w:top w:w="80" w:type="dxa"/>
              <w:left w:w="80" w:type="dxa"/>
              <w:bottom w:w="80" w:type="dxa"/>
              <w:right w:w="80" w:type="dxa"/>
            </w:tcMar>
            <w:vAlign w:val="center"/>
          </w:tcPr>
          <w:p w14:paraId="440A1423" w14:textId="77777777" w:rsidR="00185FDF" w:rsidRPr="006F225A" w:rsidRDefault="00185FDF" w:rsidP="009B5C6E">
            <w:pPr>
              <w:pStyle w:val="BodyD"/>
              <w:autoSpaceDE w:val="0"/>
              <w:autoSpaceDN w:val="0"/>
              <w:adjustRightInd w:val="0"/>
              <w:snapToGrid w:val="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182 (100%)</w:t>
            </w:r>
          </w:p>
        </w:tc>
        <w:tc>
          <w:tcPr>
            <w:tcW w:w="1417" w:type="dxa"/>
            <w:shd w:val="clear" w:color="auto" w:fill="FFFFFF"/>
            <w:tcMar>
              <w:top w:w="80" w:type="dxa"/>
              <w:left w:w="80" w:type="dxa"/>
              <w:bottom w:w="80" w:type="dxa"/>
              <w:right w:w="80" w:type="dxa"/>
            </w:tcMar>
            <w:vAlign w:val="center"/>
          </w:tcPr>
          <w:p w14:paraId="51B3635F" w14:textId="77777777" w:rsidR="00185FDF" w:rsidRPr="006F225A" w:rsidRDefault="00185FDF" w:rsidP="009B5C6E">
            <w:pPr>
              <w:pStyle w:val="BodyD"/>
              <w:autoSpaceDE w:val="0"/>
              <w:autoSpaceDN w:val="0"/>
              <w:adjustRightInd w:val="0"/>
              <w:snapToGrid w:val="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w:t>
            </w:r>
          </w:p>
        </w:tc>
        <w:tc>
          <w:tcPr>
            <w:tcW w:w="851" w:type="dxa"/>
            <w:shd w:val="clear" w:color="auto" w:fill="FFFFFF"/>
            <w:tcMar>
              <w:top w:w="80" w:type="dxa"/>
              <w:left w:w="80" w:type="dxa"/>
              <w:bottom w:w="80" w:type="dxa"/>
              <w:right w:w="80" w:type="dxa"/>
            </w:tcMar>
            <w:vAlign w:val="center"/>
          </w:tcPr>
          <w:p w14:paraId="69F8197D" w14:textId="77777777" w:rsidR="00185FDF" w:rsidRPr="006F225A" w:rsidRDefault="00185FDF" w:rsidP="009B5C6E">
            <w:pPr>
              <w:pStyle w:val="BodyD"/>
              <w:autoSpaceDE w:val="0"/>
              <w:autoSpaceDN w:val="0"/>
              <w:adjustRightInd w:val="0"/>
              <w:snapToGrid w:val="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w:t>
            </w:r>
          </w:p>
        </w:tc>
        <w:tc>
          <w:tcPr>
            <w:tcW w:w="992" w:type="dxa"/>
            <w:shd w:val="clear" w:color="auto" w:fill="FFFFFF"/>
            <w:tcMar>
              <w:top w:w="80" w:type="dxa"/>
              <w:left w:w="80" w:type="dxa"/>
              <w:bottom w:w="80" w:type="dxa"/>
              <w:right w:w="80" w:type="dxa"/>
            </w:tcMar>
            <w:vAlign w:val="center"/>
          </w:tcPr>
          <w:p w14:paraId="6DF6B26A" w14:textId="77777777" w:rsidR="00185FDF" w:rsidRPr="006F225A" w:rsidRDefault="00185FDF" w:rsidP="009B5C6E">
            <w:pPr>
              <w:pStyle w:val="BodyD"/>
              <w:autoSpaceDE w:val="0"/>
              <w:autoSpaceDN w:val="0"/>
              <w:adjustRightInd w:val="0"/>
              <w:snapToGrid w:val="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w:t>
            </w:r>
          </w:p>
        </w:tc>
        <w:tc>
          <w:tcPr>
            <w:tcW w:w="2977" w:type="dxa"/>
            <w:shd w:val="clear" w:color="auto" w:fill="FFFFFF"/>
            <w:tcMar>
              <w:top w:w="80" w:type="dxa"/>
              <w:left w:w="80" w:type="dxa"/>
              <w:bottom w:w="80" w:type="dxa"/>
              <w:right w:w="80" w:type="dxa"/>
            </w:tcMar>
            <w:vAlign w:val="center"/>
          </w:tcPr>
          <w:p w14:paraId="2C277CD4" w14:textId="77777777" w:rsidR="00185FDF" w:rsidRPr="006F225A" w:rsidRDefault="00185FDF" w:rsidP="009B5C6E">
            <w:pPr>
              <w:pStyle w:val="BodyA"/>
              <w:autoSpaceDE w:val="0"/>
              <w:autoSpaceDN w:val="0"/>
              <w:adjustRightInd w:val="0"/>
              <w:snapToGrid w:val="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Paediatric patients presenting at the hospital with gastroenteritis and dehydration</w:t>
            </w:r>
          </w:p>
        </w:tc>
      </w:tr>
      <w:tr w:rsidR="00207EA1" w:rsidRPr="006F225A" w14:paraId="0C45E6E9" w14:textId="77777777" w:rsidTr="00716A4E">
        <w:trPr>
          <w:jc w:val="center"/>
        </w:trPr>
        <w:tc>
          <w:tcPr>
            <w:tcW w:w="1701" w:type="dxa"/>
            <w:shd w:val="clear" w:color="auto" w:fill="FFFFFF"/>
            <w:tcMar>
              <w:top w:w="80" w:type="dxa"/>
              <w:left w:w="80" w:type="dxa"/>
              <w:bottom w:w="80" w:type="dxa"/>
              <w:right w:w="80" w:type="dxa"/>
            </w:tcMar>
            <w:vAlign w:val="center"/>
          </w:tcPr>
          <w:p w14:paraId="6B4194D2" w14:textId="77777777" w:rsidR="00185FDF" w:rsidRPr="006F225A" w:rsidRDefault="00185FDF" w:rsidP="009B5C6E">
            <w:pPr>
              <w:pStyle w:val="Default"/>
              <w:autoSpaceDE w:val="0"/>
              <w:autoSpaceDN w:val="0"/>
              <w:adjustRightInd w:val="0"/>
              <w:snapToGrid w:val="0"/>
              <w:spacing w:before="0"/>
              <w:rPr>
                <w:rFonts w:ascii="Palatino Linotype" w:hAnsi="Palatino Linotype"/>
                <w:color w:val="auto"/>
                <w:sz w:val="17"/>
                <w:szCs w:val="17"/>
                <w:lang w:val="en-GB"/>
              </w:rPr>
            </w:pPr>
            <w:proofErr w:type="spellStart"/>
            <w:r w:rsidRPr="006F225A">
              <w:rPr>
                <w:rStyle w:val="None"/>
                <w:rFonts w:ascii="Palatino Linotype" w:hAnsi="Palatino Linotype"/>
                <w:color w:val="auto"/>
                <w:sz w:val="17"/>
                <w:szCs w:val="17"/>
                <w:lang w:val="en-GB"/>
              </w:rPr>
              <w:t>Waisbourd-Zinman</w:t>
            </w:r>
            <w:proofErr w:type="spellEnd"/>
            <w:r w:rsidRPr="006F225A">
              <w:rPr>
                <w:rStyle w:val="None"/>
                <w:rFonts w:ascii="Palatino Linotype" w:hAnsi="Palatino Linotype"/>
                <w:color w:val="auto"/>
                <w:sz w:val="17"/>
                <w:szCs w:val="17"/>
                <w:lang w:val="en-GB"/>
              </w:rPr>
              <w:t xml:space="preserve"> et al., 2008 </w:t>
            </w:r>
            <w:r w:rsidR="003221F8" w:rsidRPr="006F225A">
              <w:rPr>
                <w:rStyle w:val="None"/>
                <w:rFonts w:ascii="Palatino Linotype" w:hAnsi="Palatino Linotype"/>
                <w:color w:val="auto"/>
                <w:sz w:val="17"/>
                <w:szCs w:val="17"/>
                <w:lang w:val="en-GB"/>
              </w:rPr>
              <w:t>[2</w:t>
            </w:r>
            <w:r w:rsidR="00120E5A" w:rsidRPr="006F225A">
              <w:rPr>
                <w:rStyle w:val="None"/>
                <w:rFonts w:ascii="Palatino Linotype" w:hAnsi="Palatino Linotype"/>
                <w:color w:val="auto"/>
                <w:sz w:val="17"/>
                <w:szCs w:val="17"/>
                <w:lang w:val="en-GB"/>
              </w:rPr>
              <w:t>5</w:t>
            </w:r>
            <w:r w:rsidR="003221F8" w:rsidRPr="006F225A">
              <w:rPr>
                <w:rStyle w:val="None"/>
                <w:rFonts w:ascii="Palatino Linotype" w:hAnsi="Palatino Linotype"/>
                <w:color w:val="auto"/>
                <w:sz w:val="17"/>
                <w:szCs w:val="17"/>
                <w:lang w:val="en-GB"/>
              </w:rPr>
              <w:t>]</w:t>
            </w:r>
          </w:p>
        </w:tc>
        <w:tc>
          <w:tcPr>
            <w:tcW w:w="1134" w:type="dxa"/>
            <w:shd w:val="clear" w:color="auto" w:fill="FFFFFF"/>
            <w:tcMar>
              <w:top w:w="80" w:type="dxa"/>
              <w:left w:w="80" w:type="dxa"/>
              <w:bottom w:w="80" w:type="dxa"/>
              <w:right w:w="80" w:type="dxa"/>
            </w:tcMar>
            <w:vAlign w:val="center"/>
          </w:tcPr>
          <w:p w14:paraId="4DF72A10" w14:textId="77777777" w:rsidR="00185FDF" w:rsidRPr="006F225A" w:rsidRDefault="00185FDF" w:rsidP="009B5C6E">
            <w:pPr>
              <w:pStyle w:val="Default"/>
              <w:autoSpaceDE w:val="0"/>
              <w:autoSpaceDN w:val="0"/>
              <w:adjustRightInd w:val="0"/>
              <w:snapToGrid w:val="0"/>
              <w:spacing w:before="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356</w:t>
            </w:r>
          </w:p>
        </w:tc>
        <w:tc>
          <w:tcPr>
            <w:tcW w:w="1418" w:type="dxa"/>
            <w:shd w:val="clear" w:color="auto" w:fill="FFFFFF"/>
            <w:tcMar>
              <w:top w:w="80" w:type="dxa"/>
              <w:left w:w="80" w:type="dxa"/>
              <w:bottom w:w="80" w:type="dxa"/>
              <w:right w:w="80" w:type="dxa"/>
            </w:tcMar>
            <w:vAlign w:val="center"/>
          </w:tcPr>
          <w:p w14:paraId="1E157644" w14:textId="77777777" w:rsidR="00185FDF" w:rsidRPr="006F225A" w:rsidRDefault="00185FDF" w:rsidP="009B5C6E">
            <w:pPr>
              <w:pStyle w:val="Default"/>
              <w:autoSpaceDE w:val="0"/>
              <w:autoSpaceDN w:val="0"/>
              <w:adjustRightInd w:val="0"/>
              <w:snapToGrid w:val="0"/>
              <w:spacing w:before="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 xml:space="preserve">239 (67%) </w:t>
            </w:r>
          </w:p>
        </w:tc>
        <w:tc>
          <w:tcPr>
            <w:tcW w:w="1417" w:type="dxa"/>
            <w:shd w:val="clear" w:color="auto" w:fill="FFFFFF"/>
            <w:tcMar>
              <w:top w:w="80" w:type="dxa"/>
              <w:left w:w="80" w:type="dxa"/>
              <w:bottom w:w="80" w:type="dxa"/>
              <w:right w:w="80" w:type="dxa"/>
            </w:tcMar>
            <w:vAlign w:val="center"/>
          </w:tcPr>
          <w:p w14:paraId="3866C900" w14:textId="77777777" w:rsidR="00185FDF" w:rsidRPr="006F225A" w:rsidRDefault="00185FDF" w:rsidP="009B5C6E">
            <w:pPr>
              <w:pStyle w:val="Default"/>
              <w:autoSpaceDE w:val="0"/>
              <w:autoSpaceDN w:val="0"/>
              <w:adjustRightInd w:val="0"/>
              <w:snapToGrid w:val="0"/>
              <w:spacing w:before="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w:t>
            </w:r>
          </w:p>
        </w:tc>
        <w:tc>
          <w:tcPr>
            <w:tcW w:w="851" w:type="dxa"/>
            <w:shd w:val="clear" w:color="auto" w:fill="FFFFFF"/>
            <w:tcMar>
              <w:top w:w="80" w:type="dxa"/>
              <w:left w:w="80" w:type="dxa"/>
              <w:bottom w:w="80" w:type="dxa"/>
              <w:right w:w="80" w:type="dxa"/>
            </w:tcMar>
            <w:vAlign w:val="center"/>
          </w:tcPr>
          <w:p w14:paraId="5A39C49D" w14:textId="77777777" w:rsidR="00185FDF" w:rsidRPr="006F225A" w:rsidRDefault="00185FDF" w:rsidP="009B5C6E">
            <w:pPr>
              <w:pStyle w:val="Default"/>
              <w:autoSpaceDE w:val="0"/>
              <w:autoSpaceDN w:val="0"/>
              <w:adjustRightInd w:val="0"/>
              <w:snapToGrid w:val="0"/>
              <w:spacing w:before="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w:t>
            </w:r>
          </w:p>
        </w:tc>
        <w:tc>
          <w:tcPr>
            <w:tcW w:w="992" w:type="dxa"/>
            <w:shd w:val="clear" w:color="auto" w:fill="FFFFFF"/>
            <w:tcMar>
              <w:top w:w="80" w:type="dxa"/>
              <w:left w:w="80" w:type="dxa"/>
              <w:bottom w:w="80" w:type="dxa"/>
              <w:right w:w="80" w:type="dxa"/>
            </w:tcMar>
            <w:vAlign w:val="center"/>
          </w:tcPr>
          <w:p w14:paraId="75389D0A" w14:textId="77777777" w:rsidR="00185FDF" w:rsidRPr="006F225A" w:rsidRDefault="00185FDF" w:rsidP="009B5C6E">
            <w:pPr>
              <w:pStyle w:val="Default"/>
              <w:autoSpaceDE w:val="0"/>
              <w:autoSpaceDN w:val="0"/>
              <w:adjustRightInd w:val="0"/>
              <w:snapToGrid w:val="0"/>
              <w:spacing w:before="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w:t>
            </w:r>
          </w:p>
        </w:tc>
        <w:tc>
          <w:tcPr>
            <w:tcW w:w="2977" w:type="dxa"/>
            <w:shd w:val="clear" w:color="auto" w:fill="FFFFFF"/>
            <w:tcMar>
              <w:top w:w="80" w:type="dxa"/>
              <w:left w:w="80" w:type="dxa"/>
              <w:bottom w:w="80" w:type="dxa"/>
              <w:right w:w="80" w:type="dxa"/>
            </w:tcMar>
            <w:vAlign w:val="center"/>
          </w:tcPr>
          <w:p w14:paraId="17ED78F4" w14:textId="77777777" w:rsidR="00185FDF" w:rsidRPr="006F225A" w:rsidRDefault="00185FDF" w:rsidP="009B5C6E">
            <w:pPr>
              <w:pStyle w:val="BodyA"/>
              <w:autoSpaceDE w:val="0"/>
              <w:autoSpaceDN w:val="0"/>
              <w:adjustRightInd w:val="0"/>
              <w:snapToGrid w:val="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Paediatric patients hospitalised with nosocomial rotavirus gastroenteritis</w:t>
            </w:r>
          </w:p>
        </w:tc>
      </w:tr>
      <w:tr w:rsidR="00207EA1" w:rsidRPr="006F225A" w14:paraId="30FCCAF3" w14:textId="77777777" w:rsidTr="00716A4E">
        <w:trPr>
          <w:jc w:val="center"/>
        </w:trPr>
        <w:tc>
          <w:tcPr>
            <w:tcW w:w="1701" w:type="dxa"/>
            <w:shd w:val="clear" w:color="auto" w:fill="FFFFFF"/>
            <w:tcMar>
              <w:top w:w="80" w:type="dxa"/>
              <w:left w:w="80" w:type="dxa"/>
              <w:bottom w:w="80" w:type="dxa"/>
              <w:right w:w="80" w:type="dxa"/>
            </w:tcMar>
            <w:vAlign w:val="center"/>
          </w:tcPr>
          <w:p w14:paraId="70B829F2" w14:textId="77777777" w:rsidR="00185FDF" w:rsidRPr="006F225A" w:rsidRDefault="00185FDF" w:rsidP="009B5C6E">
            <w:pPr>
              <w:pStyle w:val="Default"/>
              <w:autoSpaceDE w:val="0"/>
              <w:autoSpaceDN w:val="0"/>
              <w:adjustRightInd w:val="0"/>
              <w:snapToGrid w:val="0"/>
              <w:spacing w:before="0"/>
              <w:rPr>
                <w:rFonts w:ascii="Palatino Linotype" w:hAnsi="Palatino Linotype"/>
                <w:color w:val="auto"/>
                <w:sz w:val="17"/>
                <w:szCs w:val="17"/>
                <w:lang w:val="en-GB"/>
              </w:rPr>
            </w:pPr>
            <w:r w:rsidRPr="006F225A">
              <w:rPr>
                <w:rStyle w:val="None"/>
                <w:rFonts w:ascii="Palatino Linotype" w:hAnsi="Palatino Linotype"/>
                <w:color w:val="auto"/>
                <w:sz w:val="17"/>
                <w:szCs w:val="17"/>
                <w:shd w:val="clear" w:color="auto" w:fill="FFFFFF"/>
                <w:lang w:val="en-GB"/>
              </w:rPr>
              <w:t>Perl et al., 2011</w:t>
            </w:r>
            <w:r w:rsidR="003221F8" w:rsidRPr="006F225A">
              <w:rPr>
                <w:rStyle w:val="None"/>
                <w:rFonts w:ascii="Palatino Linotype" w:hAnsi="Palatino Linotype"/>
                <w:color w:val="auto"/>
                <w:sz w:val="17"/>
                <w:szCs w:val="17"/>
                <w:shd w:val="clear" w:color="auto" w:fill="FFFFFF"/>
                <w:lang w:val="en-GB"/>
              </w:rPr>
              <w:t xml:space="preserve"> [2</w:t>
            </w:r>
            <w:r w:rsidR="00120E5A" w:rsidRPr="006F225A">
              <w:rPr>
                <w:rStyle w:val="None"/>
                <w:rFonts w:ascii="Palatino Linotype" w:hAnsi="Palatino Linotype"/>
                <w:color w:val="auto"/>
                <w:sz w:val="17"/>
                <w:szCs w:val="17"/>
                <w:shd w:val="clear" w:color="auto" w:fill="FFFFFF"/>
                <w:lang w:val="en-GB"/>
              </w:rPr>
              <w:t>3</w:t>
            </w:r>
            <w:r w:rsidR="003221F8" w:rsidRPr="006F225A">
              <w:rPr>
                <w:rStyle w:val="None"/>
                <w:rFonts w:ascii="Palatino Linotype" w:hAnsi="Palatino Linotype"/>
                <w:color w:val="auto"/>
                <w:sz w:val="17"/>
                <w:szCs w:val="17"/>
                <w:shd w:val="clear" w:color="auto" w:fill="FFFFFF"/>
                <w:lang w:val="en-GB"/>
              </w:rPr>
              <w:t>]</w:t>
            </w:r>
          </w:p>
        </w:tc>
        <w:tc>
          <w:tcPr>
            <w:tcW w:w="1134" w:type="dxa"/>
            <w:shd w:val="clear" w:color="auto" w:fill="FFFFFF"/>
            <w:tcMar>
              <w:top w:w="80" w:type="dxa"/>
              <w:left w:w="80" w:type="dxa"/>
              <w:bottom w:w="80" w:type="dxa"/>
              <w:right w:w="80" w:type="dxa"/>
            </w:tcMar>
            <w:vAlign w:val="center"/>
          </w:tcPr>
          <w:p w14:paraId="642E16AF" w14:textId="77777777" w:rsidR="00185FDF" w:rsidRPr="006F225A" w:rsidRDefault="00185FDF" w:rsidP="009B5C6E">
            <w:pPr>
              <w:pStyle w:val="Default"/>
              <w:autoSpaceDE w:val="0"/>
              <w:autoSpaceDN w:val="0"/>
              <w:adjustRightInd w:val="0"/>
              <w:snapToGrid w:val="0"/>
              <w:spacing w:before="0"/>
              <w:rPr>
                <w:rFonts w:ascii="Palatino Linotype" w:hAnsi="Palatino Linotype"/>
                <w:color w:val="auto"/>
                <w:sz w:val="17"/>
                <w:szCs w:val="17"/>
                <w:lang w:val="en-GB"/>
              </w:rPr>
            </w:pPr>
            <w:r w:rsidRPr="006F225A">
              <w:rPr>
                <w:rStyle w:val="None"/>
                <w:rFonts w:ascii="Palatino Linotype" w:hAnsi="Palatino Linotype"/>
                <w:color w:val="auto"/>
                <w:sz w:val="17"/>
                <w:szCs w:val="17"/>
                <w:shd w:val="clear" w:color="auto" w:fill="FFFFFF"/>
                <w:lang w:val="en-GB"/>
              </w:rPr>
              <w:t>533</w:t>
            </w:r>
          </w:p>
        </w:tc>
        <w:tc>
          <w:tcPr>
            <w:tcW w:w="1418" w:type="dxa"/>
            <w:shd w:val="clear" w:color="auto" w:fill="FFFFFF"/>
            <w:tcMar>
              <w:top w:w="80" w:type="dxa"/>
              <w:left w:w="80" w:type="dxa"/>
              <w:bottom w:w="80" w:type="dxa"/>
              <w:right w:w="80" w:type="dxa"/>
            </w:tcMar>
            <w:vAlign w:val="center"/>
          </w:tcPr>
          <w:p w14:paraId="57291575" w14:textId="77777777" w:rsidR="00185FDF" w:rsidRPr="006F225A" w:rsidRDefault="00185FDF" w:rsidP="009B5C6E">
            <w:pPr>
              <w:pStyle w:val="Default"/>
              <w:autoSpaceDE w:val="0"/>
              <w:autoSpaceDN w:val="0"/>
              <w:adjustRightInd w:val="0"/>
              <w:snapToGrid w:val="0"/>
              <w:spacing w:before="0"/>
              <w:rPr>
                <w:rStyle w:val="None"/>
                <w:rFonts w:ascii="Palatino Linotype" w:eastAsia="Arial" w:hAnsi="Palatino Linotype" w:cs="Arial"/>
                <w:color w:val="auto"/>
                <w:sz w:val="17"/>
                <w:szCs w:val="17"/>
                <w:shd w:val="clear" w:color="auto" w:fill="FFFFFF"/>
                <w:lang w:val="en-GB"/>
              </w:rPr>
            </w:pPr>
            <w:r w:rsidRPr="006F225A">
              <w:rPr>
                <w:rStyle w:val="None"/>
                <w:rFonts w:ascii="Palatino Linotype" w:hAnsi="Palatino Linotype"/>
                <w:color w:val="auto"/>
                <w:sz w:val="17"/>
                <w:szCs w:val="17"/>
                <w:shd w:val="clear" w:color="auto" w:fill="FFFFFF"/>
                <w:lang w:val="en-GB"/>
              </w:rPr>
              <w:t>Rotavirus positive (n = 202)</w:t>
            </w:r>
          </w:p>
          <w:p w14:paraId="5E291A32" w14:textId="77777777" w:rsidR="00185FDF" w:rsidRPr="006F225A" w:rsidRDefault="00185FDF" w:rsidP="009B5C6E">
            <w:pPr>
              <w:pStyle w:val="Default"/>
              <w:autoSpaceDE w:val="0"/>
              <w:autoSpaceDN w:val="0"/>
              <w:adjustRightInd w:val="0"/>
              <w:snapToGrid w:val="0"/>
              <w:spacing w:before="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187 (92%)</w:t>
            </w:r>
          </w:p>
        </w:tc>
        <w:tc>
          <w:tcPr>
            <w:tcW w:w="1417" w:type="dxa"/>
            <w:shd w:val="clear" w:color="auto" w:fill="FFFFFF"/>
            <w:tcMar>
              <w:top w:w="80" w:type="dxa"/>
              <w:left w:w="80" w:type="dxa"/>
              <w:bottom w:w="80" w:type="dxa"/>
              <w:right w:w="80" w:type="dxa"/>
            </w:tcMar>
            <w:vAlign w:val="center"/>
          </w:tcPr>
          <w:p w14:paraId="69DED132" w14:textId="77777777" w:rsidR="00EA43DA" w:rsidRPr="006F225A" w:rsidRDefault="00185FDF" w:rsidP="009B5C6E">
            <w:pPr>
              <w:pStyle w:val="Default"/>
              <w:autoSpaceDE w:val="0"/>
              <w:autoSpaceDN w:val="0"/>
              <w:adjustRightInd w:val="0"/>
              <w:snapToGrid w:val="0"/>
              <w:spacing w:before="0"/>
              <w:rPr>
                <w:rStyle w:val="None"/>
                <w:rFonts w:ascii="Palatino Linotype" w:eastAsia="Arial" w:hAnsi="Palatino Linotype" w:cs="Arial"/>
                <w:color w:val="auto"/>
                <w:sz w:val="17"/>
                <w:szCs w:val="17"/>
                <w:shd w:val="clear" w:color="auto" w:fill="FFFFFF"/>
                <w:lang w:val="en-GB"/>
              </w:rPr>
            </w:pPr>
            <w:r w:rsidRPr="006F225A">
              <w:rPr>
                <w:rStyle w:val="None"/>
                <w:rFonts w:ascii="Palatino Linotype" w:hAnsi="Palatino Linotype"/>
                <w:color w:val="auto"/>
                <w:sz w:val="17"/>
                <w:szCs w:val="17"/>
                <w:shd w:val="clear" w:color="auto" w:fill="FFFFFF"/>
                <w:lang w:val="en-GB"/>
              </w:rPr>
              <w:t>Rotavirus negative (n = 331)</w:t>
            </w:r>
          </w:p>
          <w:p w14:paraId="240C4D9F" w14:textId="77777777" w:rsidR="00185FDF" w:rsidRPr="006F225A" w:rsidRDefault="00185FDF" w:rsidP="009B5C6E">
            <w:pPr>
              <w:pStyle w:val="Default"/>
              <w:autoSpaceDE w:val="0"/>
              <w:autoSpaceDN w:val="0"/>
              <w:adjustRightInd w:val="0"/>
              <w:snapToGrid w:val="0"/>
              <w:spacing w:before="0"/>
              <w:rPr>
                <w:rFonts w:ascii="Palatino Linotype" w:eastAsia="Arial" w:hAnsi="Palatino Linotype" w:cs="Arial"/>
                <w:color w:val="auto"/>
                <w:sz w:val="17"/>
                <w:szCs w:val="17"/>
                <w:shd w:val="clear" w:color="auto" w:fill="FFFFFF"/>
                <w:lang w:val="en-GB"/>
              </w:rPr>
            </w:pPr>
            <w:r w:rsidRPr="006F225A">
              <w:rPr>
                <w:rStyle w:val="None"/>
                <w:rFonts w:ascii="Palatino Linotype" w:hAnsi="Palatino Linotype"/>
                <w:color w:val="auto"/>
                <w:sz w:val="17"/>
                <w:szCs w:val="17"/>
                <w:shd w:val="clear" w:color="auto" w:fill="FEFFFE"/>
                <w:lang w:val="en-GB"/>
              </w:rPr>
              <w:t xml:space="preserve">249 (75%) </w:t>
            </w:r>
          </w:p>
        </w:tc>
        <w:tc>
          <w:tcPr>
            <w:tcW w:w="851" w:type="dxa"/>
            <w:shd w:val="clear" w:color="auto" w:fill="FFFFFF"/>
            <w:tcMar>
              <w:top w:w="80" w:type="dxa"/>
              <w:left w:w="80" w:type="dxa"/>
              <w:bottom w:w="80" w:type="dxa"/>
              <w:right w:w="80" w:type="dxa"/>
            </w:tcMar>
            <w:vAlign w:val="center"/>
          </w:tcPr>
          <w:p w14:paraId="070A9A2B" w14:textId="77777777" w:rsidR="00185FDF" w:rsidRPr="006F225A" w:rsidRDefault="00185FDF" w:rsidP="009B5C6E">
            <w:pPr>
              <w:pStyle w:val="Default"/>
              <w:autoSpaceDE w:val="0"/>
              <w:autoSpaceDN w:val="0"/>
              <w:adjustRightInd w:val="0"/>
              <w:snapToGrid w:val="0"/>
              <w:spacing w:before="0"/>
              <w:rPr>
                <w:rFonts w:ascii="Palatino Linotype" w:hAnsi="Palatino Linotype"/>
                <w:color w:val="auto"/>
                <w:sz w:val="17"/>
                <w:szCs w:val="17"/>
                <w:lang w:val="en-GB"/>
              </w:rPr>
            </w:pPr>
            <w:r w:rsidRPr="006F225A">
              <w:rPr>
                <w:rStyle w:val="None"/>
                <w:rFonts w:ascii="Palatino Linotype" w:hAnsi="Palatino Linotype"/>
                <w:color w:val="auto"/>
                <w:sz w:val="17"/>
                <w:szCs w:val="17"/>
                <w:shd w:val="clear" w:color="auto" w:fill="FFFFFF"/>
                <w:lang w:val="en-GB"/>
              </w:rPr>
              <w:t>436 (82%)</w:t>
            </w:r>
          </w:p>
        </w:tc>
        <w:tc>
          <w:tcPr>
            <w:tcW w:w="992" w:type="dxa"/>
            <w:shd w:val="clear" w:color="auto" w:fill="FFFFFF"/>
            <w:tcMar>
              <w:top w:w="80" w:type="dxa"/>
              <w:left w:w="80" w:type="dxa"/>
              <w:bottom w:w="80" w:type="dxa"/>
              <w:right w:w="80" w:type="dxa"/>
            </w:tcMar>
            <w:vAlign w:val="center"/>
          </w:tcPr>
          <w:p w14:paraId="3CC90916" w14:textId="407173D1" w:rsidR="00185FDF" w:rsidRPr="006F225A" w:rsidRDefault="00185FDF" w:rsidP="009B5C6E">
            <w:pPr>
              <w:pStyle w:val="BodyA"/>
              <w:autoSpaceDE w:val="0"/>
              <w:autoSpaceDN w:val="0"/>
              <w:adjustRightInd w:val="0"/>
              <w:snapToGrid w:val="0"/>
              <w:rPr>
                <w:rFonts w:ascii="Palatino Linotype" w:hAnsi="Palatino Linotype"/>
                <w:color w:val="auto"/>
                <w:sz w:val="17"/>
                <w:szCs w:val="17"/>
                <w:lang w:val="en-GB"/>
              </w:rPr>
            </w:pPr>
            <w:r w:rsidRPr="006F225A">
              <w:rPr>
                <w:rStyle w:val="None"/>
                <w:rFonts w:ascii="Palatino Linotype" w:hAnsi="Palatino Linotype"/>
                <w:color w:val="auto"/>
                <w:sz w:val="17"/>
                <w:szCs w:val="17"/>
                <w:shd w:val="clear" w:color="auto" w:fill="FFFFFF"/>
                <w:lang w:val="en-GB"/>
              </w:rPr>
              <w:t>4.06 (2.28</w:t>
            </w:r>
            <w:r w:rsidR="00733890" w:rsidRPr="006F225A">
              <w:rPr>
                <w:rStyle w:val="None"/>
                <w:rFonts w:ascii="Palatino Linotype" w:hAnsi="Palatino Linotype"/>
                <w:color w:val="auto"/>
                <w:sz w:val="17"/>
                <w:szCs w:val="17"/>
                <w:shd w:val="clear" w:color="auto" w:fill="FFFFFF"/>
                <w:lang w:val="en-GB"/>
              </w:rPr>
              <w:t>–</w:t>
            </w:r>
            <w:r w:rsidRPr="006F225A">
              <w:rPr>
                <w:rStyle w:val="None"/>
                <w:rFonts w:ascii="Palatino Linotype" w:hAnsi="Palatino Linotype"/>
                <w:color w:val="auto"/>
                <w:sz w:val="17"/>
                <w:szCs w:val="17"/>
                <w:shd w:val="clear" w:color="auto" w:fill="FFFFFF"/>
                <w:lang w:val="en-GB"/>
              </w:rPr>
              <w:t>7.21)</w:t>
            </w:r>
          </w:p>
        </w:tc>
        <w:tc>
          <w:tcPr>
            <w:tcW w:w="2977" w:type="dxa"/>
            <w:shd w:val="clear" w:color="auto" w:fill="FFFFFF"/>
            <w:tcMar>
              <w:top w:w="80" w:type="dxa"/>
              <w:left w:w="80" w:type="dxa"/>
              <w:bottom w:w="80" w:type="dxa"/>
              <w:right w:w="80" w:type="dxa"/>
            </w:tcMar>
            <w:vAlign w:val="center"/>
          </w:tcPr>
          <w:p w14:paraId="076E63F1" w14:textId="77777777" w:rsidR="00185FDF" w:rsidRPr="006F225A" w:rsidRDefault="00185FDF" w:rsidP="009B5C6E">
            <w:pPr>
              <w:pStyle w:val="BodyA"/>
              <w:autoSpaceDE w:val="0"/>
              <w:autoSpaceDN w:val="0"/>
              <w:adjustRightInd w:val="0"/>
              <w:snapToGrid w:val="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Paediatric patients</w:t>
            </w:r>
            <w:r w:rsidRPr="006F225A">
              <w:rPr>
                <w:rStyle w:val="None"/>
                <w:rFonts w:ascii="Palatino Linotype" w:hAnsi="Palatino Linotype"/>
                <w:color w:val="auto"/>
                <w:sz w:val="17"/>
                <w:szCs w:val="17"/>
                <w:shd w:val="clear" w:color="auto" w:fill="FFFFFF"/>
                <w:lang w:val="en-GB"/>
              </w:rPr>
              <w:t xml:space="preserve"> hospitalised with acute gastroenteritis, rotavirus gastroenteritis, and diarrhoea, and vomiting</w:t>
            </w:r>
          </w:p>
        </w:tc>
      </w:tr>
      <w:tr w:rsidR="00207EA1" w:rsidRPr="006F225A" w14:paraId="297B3E03" w14:textId="77777777" w:rsidTr="00716A4E">
        <w:trPr>
          <w:jc w:val="center"/>
        </w:trPr>
        <w:tc>
          <w:tcPr>
            <w:tcW w:w="1701" w:type="dxa"/>
            <w:shd w:val="clear" w:color="auto" w:fill="FFFFFF"/>
            <w:tcMar>
              <w:top w:w="80" w:type="dxa"/>
              <w:left w:w="80" w:type="dxa"/>
              <w:bottom w:w="80" w:type="dxa"/>
              <w:right w:w="80" w:type="dxa"/>
            </w:tcMar>
            <w:vAlign w:val="center"/>
          </w:tcPr>
          <w:p w14:paraId="6D02A12B" w14:textId="77777777" w:rsidR="00185FDF" w:rsidRPr="006F225A" w:rsidRDefault="00185FDF" w:rsidP="009B5C6E">
            <w:pPr>
              <w:pStyle w:val="Default"/>
              <w:autoSpaceDE w:val="0"/>
              <w:autoSpaceDN w:val="0"/>
              <w:adjustRightInd w:val="0"/>
              <w:snapToGrid w:val="0"/>
              <w:spacing w:before="0"/>
              <w:rPr>
                <w:rFonts w:ascii="Palatino Linotype" w:hAnsi="Palatino Linotype"/>
                <w:color w:val="auto"/>
                <w:sz w:val="17"/>
                <w:szCs w:val="17"/>
                <w:lang w:val="en-GB"/>
              </w:rPr>
            </w:pPr>
            <w:proofErr w:type="spellStart"/>
            <w:r w:rsidRPr="006F225A">
              <w:rPr>
                <w:rStyle w:val="None"/>
                <w:rFonts w:ascii="Palatino Linotype" w:hAnsi="Palatino Linotype"/>
                <w:color w:val="auto"/>
                <w:sz w:val="17"/>
                <w:szCs w:val="17"/>
                <w:lang w:val="en-GB"/>
              </w:rPr>
              <w:t>Dbaibo</w:t>
            </w:r>
            <w:proofErr w:type="spellEnd"/>
            <w:r w:rsidRPr="006F225A">
              <w:rPr>
                <w:rStyle w:val="None"/>
                <w:rFonts w:ascii="Palatino Linotype" w:hAnsi="Palatino Linotype"/>
                <w:color w:val="auto"/>
                <w:sz w:val="17"/>
                <w:szCs w:val="17"/>
                <w:lang w:val="en-GB"/>
              </w:rPr>
              <w:t xml:space="preserve"> et al., 2013</w:t>
            </w:r>
            <w:r w:rsidR="003221F8" w:rsidRPr="006F225A">
              <w:rPr>
                <w:rStyle w:val="None"/>
                <w:rFonts w:ascii="Palatino Linotype" w:hAnsi="Palatino Linotype"/>
                <w:color w:val="auto"/>
                <w:sz w:val="17"/>
                <w:szCs w:val="17"/>
                <w:lang w:val="en-GB"/>
              </w:rPr>
              <w:t xml:space="preserve"> [1</w:t>
            </w:r>
            <w:r w:rsidR="00120E5A" w:rsidRPr="006F225A">
              <w:rPr>
                <w:rStyle w:val="None"/>
                <w:rFonts w:ascii="Palatino Linotype" w:hAnsi="Palatino Linotype"/>
                <w:color w:val="auto"/>
                <w:sz w:val="17"/>
                <w:szCs w:val="17"/>
                <w:lang w:val="en-GB"/>
              </w:rPr>
              <w:t>8</w:t>
            </w:r>
            <w:r w:rsidR="003221F8" w:rsidRPr="006F225A">
              <w:rPr>
                <w:rStyle w:val="None"/>
                <w:rFonts w:ascii="Palatino Linotype" w:hAnsi="Palatino Linotype"/>
                <w:color w:val="auto"/>
                <w:sz w:val="17"/>
                <w:szCs w:val="17"/>
                <w:lang w:val="en-GB"/>
              </w:rPr>
              <w:t>]</w:t>
            </w:r>
          </w:p>
        </w:tc>
        <w:tc>
          <w:tcPr>
            <w:tcW w:w="1134" w:type="dxa"/>
            <w:shd w:val="clear" w:color="auto" w:fill="FFFFFF"/>
            <w:tcMar>
              <w:top w:w="80" w:type="dxa"/>
              <w:left w:w="80" w:type="dxa"/>
              <w:bottom w:w="80" w:type="dxa"/>
              <w:right w:w="80" w:type="dxa"/>
            </w:tcMar>
            <w:vAlign w:val="center"/>
          </w:tcPr>
          <w:p w14:paraId="18EDE71C" w14:textId="77777777" w:rsidR="00185FDF" w:rsidRPr="006F225A" w:rsidRDefault="00185FDF" w:rsidP="009B5C6E">
            <w:pPr>
              <w:pStyle w:val="Default"/>
              <w:autoSpaceDE w:val="0"/>
              <w:autoSpaceDN w:val="0"/>
              <w:adjustRightInd w:val="0"/>
              <w:snapToGrid w:val="0"/>
              <w:spacing w:before="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491</w:t>
            </w:r>
          </w:p>
        </w:tc>
        <w:tc>
          <w:tcPr>
            <w:tcW w:w="1418" w:type="dxa"/>
            <w:shd w:val="clear" w:color="auto" w:fill="FFFFFF"/>
            <w:tcMar>
              <w:top w:w="80" w:type="dxa"/>
              <w:left w:w="80" w:type="dxa"/>
              <w:bottom w:w="80" w:type="dxa"/>
              <w:right w:w="80" w:type="dxa"/>
            </w:tcMar>
            <w:vAlign w:val="center"/>
          </w:tcPr>
          <w:p w14:paraId="79C7D3A4" w14:textId="77777777" w:rsidR="00185FDF" w:rsidRPr="006F225A" w:rsidRDefault="00185FDF" w:rsidP="009B5C6E">
            <w:pPr>
              <w:pStyle w:val="Default"/>
              <w:autoSpaceDE w:val="0"/>
              <w:autoSpaceDN w:val="0"/>
              <w:adjustRightInd w:val="0"/>
              <w:snapToGrid w:val="0"/>
              <w:spacing w:before="0"/>
              <w:rPr>
                <w:rStyle w:val="None"/>
                <w:rFonts w:ascii="Palatino Linotype" w:eastAsia="Arial" w:hAnsi="Palatino Linotype" w:cs="Arial"/>
                <w:color w:val="auto"/>
                <w:sz w:val="17"/>
                <w:szCs w:val="17"/>
                <w:lang w:val="en-GB"/>
              </w:rPr>
            </w:pPr>
            <w:r w:rsidRPr="006F225A">
              <w:rPr>
                <w:rStyle w:val="None"/>
                <w:rFonts w:ascii="Palatino Linotype" w:hAnsi="Palatino Linotype"/>
                <w:color w:val="auto"/>
                <w:sz w:val="17"/>
                <w:szCs w:val="17"/>
                <w:lang w:val="en-GB"/>
              </w:rPr>
              <w:t>Rotavirus positive (n = 136)</w:t>
            </w:r>
          </w:p>
          <w:p w14:paraId="020F3CCF" w14:textId="77777777" w:rsidR="00185FDF" w:rsidRPr="006F225A" w:rsidRDefault="00185FDF" w:rsidP="009B5C6E">
            <w:pPr>
              <w:pStyle w:val="Default"/>
              <w:autoSpaceDE w:val="0"/>
              <w:autoSpaceDN w:val="0"/>
              <w:adjustRightInd w:val="0"/>
              <w:snapToGrid w:val="0"/>
              <w:spacing w:before="0"/>
              <w:rPr>
                <w:rFonts w:ascii="Palatino Linotype" w:hAnsi="Palatino Linotype"/>
                <w:color w:val="auto"/>
                <w:sz w:val="17"/>
                <w:szCs w:val="17"/>
                <w:lang w:val="en-GB"/>
              </w:rPr>
            </w:pPr>
            <w:r w:rsidRPr="006F225A">
              <w:rPr>
                <w:rStyle w:val="None"/>
                <w:rFonts w:ascii="Palatino Linotype" w:hAnsi="Palatino Linotype"/>
                <w:color w:val="auto"/>
                <w:sz w:val="17"/>
                <w:szCs w:val="17"/>
                <w:shd w:val="clear" w:color="auto" w:fill="FEFFFE"/>
                <w:lang w:val="en-GB"/>
              </w:rPr>
              <w:t>136 (100%)</w:t>
            </w:r>
          </w:p>
        </w:tc>
        <w:tc>
          <w:tcPr>
            <w:tcW w:w="1417" w:type="dxa"/>
            <w:shd w:val="clear" w:color="auto" w:fill="FFFFFF"/>
            <w:tcMar>
              <w:top w:w="80" w:type="dxa"/>
              <w:left w:w="80" w:type="dxa"/>
              <w:bottom w:w="80" w:type="dxa"/>
              <w:right w:w="80" w:type="dxa"/>
            </w:tcMar>
            <w:vAlign w:val="center"/>
          </w:tcPr>
          <w:p w14:paraId="1D9C78FD" w14:textId="77777777" w:rsidR="00185FDF" w:rsidRPr="006F225A" w:rsidRDefault="00185FDF" w:rsidP="009B5C6E">
            <w:pPr>
              <w:pStyle w:val="Default"/>
              <w:autoSpaceDE w:val="0"/>
              <w:autoSpaceDN w:val="0"/>
              <w:adjustRightInd w:val="0"/>
              <w:snapToGrid w:val="0"/>
              <w:spacing w:before="0"/>
              <w:rPr>
                <w:rStyle w:val="None"/>
                <w:rFonts w:ascii="Palatino Linotype" w:eastAsia="Arial" w:hAnsi="Palatino Linotype" w:cs="Arial"/>
                <w:color w:val="auto"/>
                <w:sz w:val="17"/>
                <w:szCs w:val="17"/>
                <w:lang w:val="en-GB"/>
              </w:rPr>
            </w:pPr>
            <w:r w:rsidRPr="006F225A">
              <w:rPr>
                <w:rStyle w:val="None"/>
                <w:rFonts w:ascii="Palatino Linotype" w:hAnsi="Palatino Linotype"/>
                <w:color w:val="auto"/>
                <w:sz w:val="17"/>
                <w:szCs w:val="17"/>
                <w:lang w:val="en-GB"/>
              </w:rPr>
              <w:t>Rotavirus negative (n = 351)</w:t>
            </w:r>
          </w:p>
          <w:p w14:paraId="16DA46B3" w14:textId="77777777" w:rsidR="00185FDF" w:rsidRPr="006F225A" w:rsidRDefault="00185FDF" w:rsidP="009B5C6E">
            <w:pPr>
              <w:pStyle w:val="Default"/>
              <w:autoSpaceDE w:val="0"/>
              <w:autoSpaceDN w:val="0"/>
              <w:adjustRightInd w:val="0"/>
              <w:snapToGrid w:val="0"/>
              <w:spacing w:before="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351 (96.3</w:t>
            </w:r>
            <w:r w:rsidR="00605026" w:rsidRPr="006F225A">
              <w:rPr>
                <w:rStyle w:val="None"/>
                <w:rFonts w:ascii="Palatino Linotype" w:hAnsi="Palatino Linotype"/>
                <w:color w:val="auto"/>
                <w:sz w:val="17"/>
                <w:szCs w:val="17"/>
                <w:lang w:val="en-GB"/>
              </w:rPr>
              <w:t>%</w:t>
            </w:r>
            <w:r w:rsidRPr="006F225A">
              <w:rPr>
                <w:rStyle w:val="None"/>
                <w:rFonts w:ascii="Palatino Linotype" w:hAnsi="Palatino Linotype"/>
                <w:color w:val="auto"/>
                <w:sz w:val="17"/>
                <w:szCs w:val="17"/>
                <w:lang w:val="en-GB"/>
              </w:rPr>
              <w:t>)</w:t>
            </w:r>
          </w:p>
        </w:tc>
        <w:tc>
          <w:tcPr>
            <w:tcW w:w="851" w:type="dxa"/>
            <w:shd w:val="clear" w:color="auto" w:fill="FFFFFF"/>
            <w:tcMar>
              <w:top w:w="80" w:type="dxa"/>
              <w:left w:w="80" w:type="dxa"/>
              <w:bottom w:w="80" w:type="dxa"/>
              <w:right w:w="80" w:type="dxa"/>
            </w:tcMar>
            <w:vAlign w:val="center"/>
          </w:tcPr>
          <w:p w14:paraId="4ED701C4" w14:textId="77777777" w:rsidR="00185FDF" w:rsidRPr="006F225A" w:rsidRDefault="00185FDF" w:rsidP="009B5C6E">
            <w:pPr>
              <w:pStyle w:val="BodyA"/>
              <w:autoSpaceDE w:val="0"/>
              <w:autoSpaceDN w:val="0"/>
              <w:adjustRightInd w:val="0"/>
              <w:snapToGrid w:val="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491 (97.4%)</w:t>
            </w:r>
          </w:p>
        </w:tc>
        <w:tc>
          <w:tcPr>
            <w:tcW w:w="992" w:type="dxa"/>
            <w:shd w:val="clear" w:color="auto" w:fill="FFFFFF"/>
            <w:tcMar>
              <w:top w:w="80" w:type="dxa"/>
              <w:left w:w="80" w:type="dxa"/>
              <w:bottom w:w="80" w:type="dxa"/>
              <w:right w:w="80" w:type="dxa"/>
            </w:tcMar>
            <w:vAlign w:val="center"/>
          </w:tcPr>
          <w:p w14:paraId="296B93A5" w14:textId="77777777" w:rsidR="00185FDF" w:rsidRPr="006F225A" w:rsidRDefault="00185FDF" w:rsidP="009B5C6E">
            <w:pPr>
              <w:pStyle w:val="BodyA"/>
              <w:autoSpaceDE w:val="0"/>
              <w:autoSpaceDN w:val="0"/>
              <w:adjustRightInd w:val="0"/>
              <w:snapToGrid w:val="0"/>
              <w:rPr>
                <w:rFonts w:ascii="Palatino Linotype" w:hAnsi="Palatino Linotype"/>
                <w:color w:val="auto"/>
                <w:sz w:val="17"/>
                <w:szCs w:val="17"/>
                <w:lang w:val="en-GB"/>
              </w:rPr>
            </w:pPr>
            <w:r w:rsidRPr="006F225A">
              <w:rPr>
                <w:rStyle w:val="None"/>
                <w:rFonts w:ascii="Palatino Linotype" w:hAnsi="Palatino Linotype"/>
                <w:i/>
                <w:iCs/>
                <w:color w:val="auto"/>
                <w:sz w:val="17"/>
                <w:szCs w:val="17"/>
                <w:lang w:val="en-GB"/>
              </w:rPr>
              <w:t xml:space="preserve">p </w:t>
            </w:r>
            <w:r w:rsidRPr="006F225A">
              <w:rPr>
                <w:rStyle w:val="None"/>
                <w:rFonts w:ascii="Palatino Linotype" w:hAnsi="Palatino Linotype"/>
                <w:color w:val="auto"/>
                <w:sz w:val="17"/>
                <w:szCs w:val="17"/>
                <w:lang w:val="en-GB"/>
              </w:rPr>
              <w:t>= 0.0234</w:t>
            </w:r>
          </w:p>
        </w:tc>
        <w:tc>
          <w:tcPr>
            <w:tcW w:w="2977" w:type="dxa"/>
            <w:shd w:val="clear" w:color="auto" w:fill="FFFFFF"/>
            <w:tcMar>
              <w:top w:w="80" w:type="dxa"/>
              <w:left w:w="80" w:type="dxa"/>
              <w:bottom w:w="80" w:type="dxa"/>
              <w:right w:w="80" w:type="dxa"/>
            </w:tcMar>
            <w:vAlign w:val="center"/>
          </w:tcPr>
          <w:p w14:paraId="1F0BF9CF" w14:textId="77777777" w:rsidR="00185FDF" w:rsidRPr="006F225A" w:rsidRDefault="00185FDF" w:rsidP="009B5C6E">
            <w:pPr>
              <w:pStyle w:val="BodyA"/>
              <w:autoSpaceDE w:val="0"/>
              <w:autoSpaceDN w:val="0"/>
              <w:adjustRightInd w:val="0"/>
              <w:snapToGrid w:val="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 xml:space="preserve">Paediatric patients hospitalised with a diagnosis of acute gastroenteritis </w:t>
            </w:r>
          </w:p>
        </w:tc>
      </w:tr>
      <w:tr w:rsidR="00207EA1" w:rsidRPr="006F225A" w14:paraId="5A73133C" w14:textId="77777777" w:rsidTr="00716A4E">
        <w:trPr>
          <w:jc w:val="center"/>
        </w:trPr>
        <w:tc>
          <w:tcPr>
            <w:tcW w:w="1701" w:type="dxa"/>
            <w:shd w:val="clear" w:color="auto" w:fill="FFFFFF"/>
            <w:tcMar>
              <w:top w:w="80" w:type="dxa"/>
              <w:left w:w="80" w:type="dxa"/>
              <w:bottom w:w="80" w:type="dxa"/>
              <w:right w:w="80" w:type="dxa"/>
            </w:tcMar>
            <w:vAlign w:val="center"/>
          </w:tcPr>
          <w:p w14:paraId="7806BB53" w14:textId="77777777" w:rsidR="00185FDF" w:rsidRPr="006F225A" w:rsidRDefault="00185FDF" w:rsidP="009B5C6E">
            <w:pPr>
              <w:pStyle w:val="Default"/>
              <w:autoSpaceDE w:val="0"/>
              <w:autoSpaceDN w:val="0"/>
              <w:adjustRightInd w:val="0"/>
              <w:snapToGrid w:val="0"/>
              <w:spacing w:before="0"/>
              <w:rPr>
                <w:rFonts w:ascii="Palatino Linotype" w:hAnsi="Palatino Linotype"/>
                <w:color w:val="auto"/>
                <w:sz w:val="17"/>
                <w:szCs w:val="17"/>
                <w:lang w:val="en-GB"/>
              </w:rPr>
            </w:pPr>
            <w:proofErr w:type="spellStart"/>
            <w:r w:rsidRPr="006F225A">
              <w:rPr>
                <w:rStyle w:val="None"/>
                <w:rFonts w:ascii="Palatino Linotype" w:hAnsi="Palatino Linotype"/>
                <w:color w:val="auto"/>
                <w:sz w:val="17"/>
                <w:szCs w:val="17"/>
                <w:lang w:val="en-GB"/>
              </w:rPr>
              <w:t>Nazurdinov</w:t>
            </w:r>
            <w:proofErr w:type="spellEnd"/>
            <w:r w:rsidRPr="006F225A">
              <w:rPr>
                <w:rStyle w:val="None"/>
                <w:rFonts w:ascii="Palatino Linotype" w:hAnsi="Palatino Linotype"/>
                <w:color w:val="auto"/>
                <w:sz w:val="17"/>
                <w:szCs w:val="17"/>
                <w:lang w:val="en-GB"/>
              </w:rPr>
              <w:t xml:space="preserve"> et al., 2018</w:t>
            </w:r>
            <w:r w:rsidR="003221F8" w:rsidRPr="006F225A">
              <w:rPr>
                <w:rStyle w:val="None"/>
                <w:rFonts w:ascii="Palatino Linotype" w:hAnsi="Palatino Linotype"/>
                <w:color w:val="auto"/>
                <w:sz w:val="17"/>
                <w:szCs w:val="17"/>
                <w:lang w:val="en-GB"/>
              </w:rPr>
              <w:t xml:space="preserve"> [2</w:t>
            </w:r>
            <w:r w:rsidR="00120E5A" w:rsidRPr="006F225A">
              <w:rPr>
                <w:rStyle w:val="None"/>
                <w:rFonts w:ascii="Palatino Linotype" w:hAnsi="Palatino Linotype"/>
                <w:color w:val="auto"/>
                <w:sz w:val="17"/>
                <w:szCs w:val="17"/>
                <w:lang w:val="en-GB"/>
              </w:rPr>
              <w:t>2</w:t>
            </w:r>
            <w:r w:rsidR="003221F8" w:rsidRPr="006F225A">
              <w:rPr>
                <w:rStyle w:val="None"/>
                <w:rFonts w:ascii="Palatino Linotype" w:hAnsi="Palatino Linotype"/>
                <w:color w:val="auto"/>
                <w:sz w:val="17"/>
                <w:szCs w:val="17"/>
                <w:lang w:val="en-GB"/>
              </w:rPr>
              <w:t>]</w:t>
            </w:r>
          </w:p>
        </w:tc>
        <w:tc>
          <w:tcPr>
            <w:tcW w:w="1134" w:type="dxa"/>
            <w:shd w:val="clear" w:color="auto" w:fill="FFFFFF"/>
            <w:tcMar>
              <w:top w:w="80" w:type="dxa"/>
              <w:left w:w="80" w:type="dxa"/>
              <w:bottom w:w="80" w:type="dxa"/>
              <w:right w:w="80" w:type="dxa"/>
            </w:tcMar>
            <w:vAlign w:val="center"/>
          </w:tcPr>
          <w:p w14:paraId="354D4EDF" w14:textId="77777777" w:rsidR="00185FDF" w:rsidRPr="006F225A" w:rsidRDefault="00185FDF" w:rsidP="009B5C6E">
            <w:pPr>
              <w:pStyle w:val="Default"/>
              <w:autoSpaceDE w:val="0"/>
              <w:autoSpaceDN w:val="0"/>
              <w:adjustRightInd w:val="0"/>
              <w:snapToGrid w:val="0"/>
              <w:spacing w:before="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2863</w:t>
            </w:r>
          </w:p>
        </w:tc>
        <w:tc>
          <w:tcPr>
            <w:tcW w:w="1418" w:type="dxa"/>
            <w:shd w:val="clear" w:color="auto" w:fill="FFFFFF"/>
            <w:tcMar>
              <w:top w:w="80" w:type="dxa"/>
              <w:left w:w="80" w:type="dxa"/>
              <w:bottom w:w="80" w:type="dxa"/>
              <w:right w:w="80" w:type="dxa"/>
            </w:tcMar>
            <w:vAlign w:val="center"/>
          </w:tcPr>
          <w:p w14:paraId="71D79441" w14:textId="77777777" w:rsidR="00185FDF" w:rsidRPr="006F225A" w:rsidRDefault="00185FDF" w:rsidP="009B5C6E">
            <w:pPr>
              <w:pStyle w:val="Default"/>
              <w:autoSpaceDE w:val="0"/>
              <w:autoSpaceDN w:val="0"/>
              <w:adjustRightInd w:val="0"/>
              <w:snapToGrid w:val="0"/>
              <w:spacing w:before="0"/>
              <w:rPr>
                <w:rStyle w:val="None"/>
                <w:rFonts w:ascii="Palatino Linotype" w:eastAsia="Arial" w:hAnsi="Palatino Linotype" w:cs="Arial"/>
                <w:color w:val="auto"/>
                <w:sz w:val="17"/>
                <w:szCs w:val="17"/>
                <w:lang w:val="en-GB"/>
              </w:rPr>
            </w:pPr>
            <w:r w:rsidRPr="006F225A">
              <w:rPr>
                <w:rStyle w:val="None"/>
                <w:rFonts w:ascii="Palatino Linotype" w:hAnsi="Palatino Linotype"/>
                <w:color w:val="auto"/>
                <w:sz w:val="17"/>
                <w:szCs w:val="17"/>
                <w:lang w:val="en-GB"/>
              </w:rPr>
              <w:t xml:space="preserve">Rotavirus positive (n = 1207) </w:t>
            </w:r>
          </w:p>
          <w:p w14:paraId="765F7A3F" w14:textId="77777777" w:rsidR="00185FDF" w:rsidRPr="006F225A" w:rsidRDefault="00185FDF" w:rsidP="009B5C6E">
            <w:pPr>
              <w:pStyle w:val="Default"/>
              <w:autoSpaceDE w:val="0"/>
              <w:autoSpaceDN w:val="0"/>
              <w:adjustRightInd w:val="0"/>
              <w:snapToGrid w:val="0"/>
              <w:spacing w:before="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 xml:space="preserve">1097 (91%) </w:t>
            </w:r>
          </w:p>
        </w:tc>
        <w:tc>
          <w:tcPr>
            <w:tcW w:w="1417" w:type="dxa"/>
            <w:shd w:val="clear" w:color="auto" w:fill="FFFFFF"/>
            <w:tcMar>
              <w:top w:w="80" w:type="dxa"/>
              <w:left w:w="80" w:type="dxa"/>
              <w:bottom w:w="80" w:type="dxa"/>
              <w:right w:w="80" w:type="dxa"/>
            </w:tcMar>
            <w:vAlign w:val="center"/>
          </w:tcPr>
          <w:p w14:paraId="47E1ADCF" w14:textId="77777777" w:rsidR="00185FDF" w:rsidRPr="006F225A" w:rsidRDefault="00185FDF" w:rsidP="009B5C6E">
            <w:pPr>
              <w:pStyle w:val="Default"/>
              <w:autoSpaceDE w:val="0"/>
              <w:autoSpaceDN w:val="0"/>
              <w:adjustRightInd w:val="0"/>
              <w:snapToGrid w:val="0"/>
              <w:spacing w:before="0"/>
              <w:rPr>
                <w:rStyle w:val="None"/>
                <w:rFonts w:ascii="Palatino Linotype" w:eastAsia="Arial" w:hAnsi="Palatino Linotype" w:cs="Arial"/>
                <w:color w:val="auto"/>
                <w:sz w:val="17"/>
                <w:szCs w:val="17"/>
                <w:lang w:val="en-GB"/>
              </w:rPr>
            </w:pPr>
            <w:r w:rsidRPr="006F225A">
              <w:rPr>
                <w:rStyle w:val="None"/>
                <w:rFonts w:ascii="Palatino Linotype" w:hAnsi="Palatino Linotype"/>
                <w:color w:val="auto"/>
                <w:sz w:val="17"/>
                <w:szCs w:val="17"/>
                <w:lang w:val="en-GB"/>
              </w:rPr>
              <w:t>Rotavirus negative (n = 1656)</w:t>
            </w:r>
          </w:p>
          <w:p w14:paraId="37D5BFD5" w14:textId="77777777" w:rsidR="00185FDF" w:rsidRPr="006F225A" w:rsidRDefault="00185FDF" w:rsidP="009B5C6E">
            <w:pPr>
              <w:pStyle w:val="Default"/>
              <w:autoSpaceDE w:val="0"/>
              <w:autoSpaceDN w:val="0"/>
              <w:adjustRightInd w:val="0"/>
              <w:snapToGrid w:val="0"/>
              <w:spacing w:before="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 xml:space="preserve">1433 (87%) </w:t>
            </w:r>
          </w:p>
        </w:tc>
        <w:tc>
          <w:tcPr>
            <w:tcW w:w="851" w:type="dxa"/>
            <w:shd w:val="clear" w:color="auto" w:fill="FFFFFF"/>
            <w:tcMar>
              <w:top w:w="80" w:type="dxa"/>
              <w:left w:w="80" w:type="dxa"/>
              <w:bottom w:w="80" w:type="dxa"/>
              <w:right w:w="80" w:type="dxa"/>
            </w:tcMar>
            <w:vAlign w:val="center"/>
          </w:tcPr>
          <w:p w14:paraId="1E2D1BDB" w14:textId="77777777" w:rsidR="00185FDF" w:rsidRPr="006F225A" w:rsidRDefault="00185FDF" w:rsidP="009B5C6E">
            <w:pPr>
              <w:pStyle w:val="Default"/>
              <w:autoSpaceDE w:val="0"/>
              <w:autoSpaceDN w:val="0"/>
              <w:adjustRightInd w:val="0"/>
              <w:snapToGrid w:val="0"/>
              <w:spacing w:before="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2530 (88.5%)</w:t>
            </w:r>
          </w:p>
        </w:tc>
        <w:tc>
          <w:tcPr>
            <w:tcW w:w="992" w:type="dxa"/>
            <w:shd w:val="clear" w:color="auto" w:fill="FFFFFF"/>
            <w:tcMar>
              <w:top w:w="80" w:type="dxa"/>
              <w:left w:w="80" w:type="dxa"/>
              <w:bottom w:w="80" w:type="dxa"/>
              <w:right w:w="80" w:type="dxa"/>
            </w:tcMar>
            <w:vAlign w:val="center"/>
          </w:tcPr>
          <w:p w14:paraId="4392735B" w14:textId="77777777" w:rsidR="00185FDF" w:rsidRPr="006F225A" w:rsidRDefault="00185FDF" w:rsidP="009B5C6E">
            <w:pPr>
              <w:pStyle w:val="BodyA"/>
              <w:autoSpaceDE w:val="0"/>
              <w:autoSpaceDN w:val="0"/>
              <w:adjustRightInd w:val="0"/>
              <w:snapToGrid w:val="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NR</w:t>
            </w:r>
          </w:p>
        </w:tc>
        <w:tc>
          <w:tcPr>
            <w:tcW w:w="2977" w:type="dxa"/>
            <w:shd w:val="clear" w:color="auto" w:fill="FFFFFF"/>
            <w:tcMar>
              <w:top w:w="80" w:type="dxa"/>
              <w:left w:w="80" w:type="dxa"/>
              <w:bottom w:w="80" w:type="dxa"/>
              <w:right w:w="80" w:type="dxa"/>
            </w:tcMar>
            <w:vAlign w:val="center"/>
          </w:tcPr>
          <w:p w14:paraId="646038E2" w14:textId="77777777" w:rsidR="00185FDF" w:rsidRPr="006F225A" w:rsidRDefault="00185FDF" w:rsidP="009B5C6E">
            <w:pPr>
              <w:pStyle w:val="BodyA"/>
              <w:autoSpaceDE w:val="0"/>
              <w:autoSpaceDN w:val="0"/>
              <w:adjustRightInd w:val="0"/>
              <w:snapToGrid w:val="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Paediatric patients hospitalised with acute gastroenteritis and rotavirus.</w:t>
            </w:r>
          </w:p>
        </w:tc>
      </w:tr>
      <w:tr w:rsidR="00207EA1" w:rsidRPr="006F225A" w14:paraId="5475D203" w14:textId="77777777" w:rsidTr="00716A4E">
        <w:trPr>
          <w:jc w:val="center"/>
        </w:trPr>
        <w:tc>
          <w:tcPr>
            <w:tcW w:w="1701" w:type="dxa"/>
            <w:shd w:val="clear" w:color="auto" w:fill="FFFFFF"/>
            <w:tcMar>
              <w:top w:w="80" w:type="dxa"/>
              <w:left w:w="80" w:type="dxa"/>
              <w:bottom w:w="80" w:type="dxa"/>
              <w:right w:w="80" w:type="dxa"/>
            </w:tcMar>
            <w:vAlign w:val="center"/>
          </w:tcPr>
          <w:p w14:paraId="0BB5DC89" w14:textId="77777777" w:rsidR="00185FDF" w:rsidRPr="006F225A" w:rsidRDefault="00185FDF" w:rsidP="009B5C6E">
            <w:pPr>
              <w:pStyle w:val="Default"/>
              <w:autoSpaceDE w:val="0"/>
              <w:autoSpaceDN w:val="0"/>
              <w:adjustRightInd w:val="0"/>
              <w:snapToGrid w:val="0"/>
              <w:spacing w:before="0"/>
              <w:rPr>
                <w:rFonts w:ascii="Palatino Linotype" w:hAnsi="Palatino Linotype"/>
                <w:color w:val="auto"/>
                <w:sz w:val="17"/>
                <w:szCs w:val="17"/>
                <w:lang w:val="en-GB"/>
              </w:rPr>
            </w:pPr>
            <w:proofErr w:type="spellStart"/>
            <w:r w:rsidRPr="006F225A">
              <w:rPr>
                <w:rStyle w:val="None"/>
                <w:rFonts w:ascii="Palatino Linotype" w:hAnsi="Palatino Linotype"/>
                <w:color w:val="auto"/>
                <w:sz w:val="17"/>
                <w:szCs w:val="17"/>
                <w:shd w:val="clear" w:color="auto" w:fill="FEFFFE"/>
                <w:lang w:val="en-GB"/>
              </w:rPr>
              <w:t>Myat</w:t>
            </w:r>
            <w:proofErr w:type="spellEnd"/>
            <w:r w:rsidRPr="006F225A">
              <w:rPr>
                <w:rStyle w:val="None"/>
                <w:rFonts w:ascii="Palatino Linotype" w:hAnsi="Palatino Linotype"/>
                <w:color w:val="auto"/>
                <w:sz w:val="17"/>
                <w:szCs w:val="17"/>
                <w:shd w:val="clear" w:color="auto" w:fill="FEFFFE"/>
                <w:lang w:val="en-GB"/>
              </w:rPr>
              <w:t xml:space="preserve"> et al., 2021</w:t>
            </w:r>
            <w:r w:rsidR="003221F8" w:rsidRPr="006F225A">
              <w:rPr>
                <w:rStyle w:val="None"/>
                <w:rFonts w:ascii="Palatino Linotype" w:hAnsi="Palatino Linotype"/>
                <w:color w:val="auto"/>
                <w:sz w:val="17"/>
                <w:szCs w:val="17"/>
                <w:shd w:val="clear" w:color="auto" w:fill="FEFFFE"/>
                <w:lang w:val="en-GB"/>
              </w:rPr>
              <w:t>[2</w:t>
            </w:r>
            <w:r w:rsidR="00120E5A" w:rsidRPr="006F225A">
              <w:rPr>
                <w:rStyle w:val="None"/>
                <w:rFonts w:ascii="Palatino Linotype" w:hAnsi="Palatino Linotype"/>
                <w:color w:val="auto"/>
                <w:sz w:val="17"/>
                <w:szCs w:val="17"/>
                <w:shd w:val="clear" w:color="auto" w:fill="FEFFFE"/>
                <w:lang w:val="en-GB"/>
              </w:rPr>
              <w:t>1</w:t>
            </w:r>
            <w:r w:rsidR="003221F8" w:rsidRPr="006F225A">
              <w:rPr>
                <w:rStyle w:val="None"/>
                <w:rFonts w:ascii="Palatino Linotype" w:hAnsi="Palatino Linotype"/>
                <w:color w:val="auto"/>
                <w:sz w:val="17"/>
                <w:szCs w:val="17"/>
                <w:shd w:val="clear" w:color="auto" w:fill="FEFFFE"/>
                <w:lang w:val="en-GB"/>
              </w:rPr>
              <w:t>]</w:t>
            </w:r>
          </w:p>
        </w:tc>
        <w:tc>
          <w:tcPr>
            <w:tcW w:w="1134" w:type="dxa"/>
            <w:shd w:val="clear" w:color="auto" w:fill="FFFFFF"/>
            <w:tcMar>
              <w:top w:w="80" w:type="dxa"/>
              <w:left w:w="80" w:type="dxa"/>
              <w:bottom w:w="80" w:type="dxa"/>
              <w:right w:w="80" w:type="dxa"/>
            </w:tcMar>
            <w:vAlign w:val="center"/>
          </w:tcPr>
          <w:p w14:paraId="5ADA3149" w14:textId="77777777" w:rsidR="00185FDF" w:rsidRPr="006F225A" w:rsidRDefault="00185FDF" w:rsidP="009B5C6E">
            <w:pPr>
              <w:pStyle w:val="Default"/>
              <w:autoSpaceDE w:val="0"/>
              <w:autoSpaceDN w:val="0"/>
              <w:adjustRightInd w:val="0"/>
              <w:snapToGrid w:val="0"/>
              <w:spacing w:before="0"/>
              <w:rPr>
                <w:rFonts w:ascii="Palatino Linotype" w:hAnsi="Palatino Linotype"/>
                <w:color w:val="auto"/>
                <w:sz w:val="17"/>
                <w:szCs w:val="17"/>
                <w:lang w:val="en-GB"/>
              </w:rPr>
            </w:pPr>
            <w:r w:rsidRPr="006F225A">
              <w:rPr>
                <w:rStyle w:val="None"/>
                <w:rFonts w:ascii="Palatino Linotype" w:hAnsi="Palatino Linotype"/>
                <w:color w:val="auto"/>
                <w:sz w:val="17"/>
                <w:szCs w:val="17"/>
                <w:shd w:val="clear" w:color="auto" w:fill="FFFFFF"/>
                <w:lang w:val="en-GB"/>
              </w:rPr>
              <w:t>2977</w:t>
            </w:r>
          </w:p>
        </w:tc>
        <w:tc>
          <w:tcPr>
            <w:tcW w:w="1418" w:type="dxa"/>
            <w:shd w:val="clear" w:color="auto" w:fill="FFFFFF"/>
            <w:tcMar>
              <w:top w:w="80" w:type="dxa"/>
              <w:left w:w="80" w:type="dxa"/>
              <w:bottom w:w="80" w:type="dxa"/>
              <w:right w:w="80" w:type="dxa"/>
            </w:tcMar>
            <w:vAlign w:val="center"/>
          </w:tcPr>
          <w:p w14:paraId="7FA19C3A" w14:textId="77777777" w:rsidR="00185FDF" w:rsidRPr="006F225A" w:rsidRDefault="00185FDF" w:rsidP="009B5C6E">
            <w:pPr>
              <w:pStyle w:val="Default"/>
              <w:autoSpaceDE w:val="0"/>
              <w:autoSpaceDN w:val="0"/>
              <w:adjustRightInd w:val="0"/>
              <w:snapToGrid w:val="0"/>
              <w:spacing w:before="0"/>
              <w:rPr>
                <w:rStyle w:val="None"/>
                <w:rFonts w:ascii="Palatino Linotype" w:eastAsia="Arial" w:hAnsi="Palatino Linotype" w:cs="Arial"/>
                <w:color w:val="auto"/>
                <w:sz w:val="17"/>
                <w:szCs w:val="17"/>
                <w:shd w:val="clear" w:color="auto" w:fill="FEFFFE"/>
                <w:lang w:val="en-GB"/>
              </w:rPr>
            </w:pPr>
            <w:r w:rsidRPr="006F225A">
              <w:rPr>
                <w:rStyle w:val="None"/>
                <w:rFonts w:ascii="Palatino Linotype" w:hAnsi="Palatino Linotype"/>
                <w:color w:val="auto"/>
                <w:sz w:val="17"/>
                <w:szCs w:val="17"/>
                <w:shd w:val="clear" w:color="auto" w:fill="FEFFFE"/>
                <w:lang w:val="en-GB"/>
              </w:rPr>
              <w:t>Rotavirus positive (n = 1320)</w:t>
            </w:r>
          </w:p>
          <w:p w14:paraId="75F34DAF" w14:textId="77777777" w:rsidR="00185FDF" w:rsidRPr="006F225A" w:rsidRDefault="00185FDF" w:rsidP="009B5C6E">
            <w:pPr>
              <w:pStyle w:val="Default"/>
              <w:autoSpaceDE w:val="0"/>
              <w:autoSpaceDN w:val="0"/>
              <w:adjustRightInd w:val="0"/>
              <w:snapToGrid w:val="0"/>
              <w:spacing w:before="0"/>
              <w:rPr>
                <w:rFonts w:ascii="Palatino Linotype" w:hAnsi="Palatino Linotype"/>
                <w:color w:val="auto"/>
                <w:sz w:val="17"/>
                <w:szCs w:val="17"/>
                <w:lang w:val="en-GB"/>
              </w:rPr>
            </w:pPr>
            <w:r w:rsidRPr="006F225A">
              <w:rPr>
                <w:rStyle w:val="None"/>
                <w:rFonts w:ascii="Palatino Linotype" w:hAnsi="Palatino Linotype"/>
                <w:color w:val="auto"/>
                <w:sz w:val="17"/>
                <w:szCs w:val="17"/>
                <w:shd w:val="clear" w:color="auto" w:fill="FEFFFE"/>
                <w:lang w:val="en-GB"/>
              </w:rPr>
              <w:t xml:space="preserve">770 (58.3%) </w:t>
            </w:r>
          </w:p>
        </w:tc>
        <w:tc>
          <w:tcPr>
            <w:tcW w:w="1417" w:type="dxa"/>
            <w:shd w:val="clear" w:color="auto" w:fill="FFFFFF"/>
            <w:tcMar>
              <w:top w:w="80" w:type="dxa"/>
              <w:left w:w="80" w:type="dxa"/>
              <w:bottom w:w="80" w:type="dxa"/>
              <w:right w:w="80" w:type="dxa"/>
            </w:tcMar>
            <w:vAlign w:val="center"/>
          </w:tcPr>
          <w:p w14:paraId="11F83314" w14:textId="77777777" w:rsidR="00185FDF" w:rsidRPr="006F225A" w:rsidRDefault="00185FDF" w:rsidP="009B5C6E">
            <w:pPr>
              <w:pStyle w:val="Default"/>
              <w:autoSpaceDE w:val="0"/>
              <w:autoSpaceDN w:val="0"/>
              <w:adjustRightInd w:val="0"/>
              <w:snapToGrid w:val="0"/>
              <w:spacing w:before="0"/>
              <w:rPr>
                <w:rStyle w:val="None"/>
                <w:rFonts w:ascii="Palatino Linotype" w:eastAsia="Arial" w:hAnsi="Palatino Linotype" w:cs="Arial"/>
                <w:color w:val="auto"/>
                <w:sz w:val="17"/>
                <w:szCs w:val="17"/>
                <w:shd w:val="clear" w:color="auto" w:fill="FEFFFE"/>
                <w:lang w:val="en-GB"/>
              </w:rPr>
            </w:pPr>
            <w:r w:rsidRPr="006F225A">
              <w:rPr>
                <w:rStyle w:val="None"/>
                <w:rFonts w:ascii="Palatino Linotype" w:hAnsi="Palatino Linotype"/>
                <w:color w:val="auto"/>
                <w:sz w:val="17"/>
                <w:szCs w:val="17"/>
                <w:shd w:val="clear" w:color="auto" w:fill="FEFFFE"/>
                <w:lang w:val="en-GB"/>
              </w:rPr>
              <w:t>Rotavirus negative (n = 1657)</w:t>
            </w:r>
          </w:p>
          <w:p w14:paraId="79CC4D85" w14:textId="77777777" w:rsidR="00185FDF" w:rsidRPr="006F225A" w:rsidRDefault="00185FDF" w:rsidP="009B5C6E">
            <w:pPr>
              <w:pStyle w:val="Default"/>
              <w:autoSpaceDE w:val="0"/>
              <w:autoSpaceDN w:val="0"/>
              <w:adjustRightInd w:val="0"/>
              <w:snapToGrid w:val="0"/>
              <w:spacing w:before="0"/>
              <w:rPr>
                <w:rFonts w:ascii="Palatino Linotype" w:hAnsi="Palatino Linotype"/>
                <w:color w:val="auto"/>
                <w:sz w:val="17"/>
                <w:szCs w:val="17"/>
                <w:lang w:val="en-GB"/>
              </w:rPr>
            </w:pPr>
            <w:r w:rsidRPr="006F225A">
              <w:rPr>
                <w:rStyle w:val="None"/>
                <w:rFonts w:ascii="Palatino Linotype" w:hAnsi="Palatino Linotype"/>
                <w:color w:val="auto"/>
                <w:sz w:val="17"/>
                <w:szCs w:val="17"/>
                <w:shd w:val="clear" w:color="auto" w:fill="FEFFFE"/>
                <w:lang w:val="en-GB"/>
              </w:rPr>
              <w:t xml:space="preserve">880 (53.1%) </w:t>
            </w:r>
          </w:p>
        </w:tc>
        <w:tc>
          <w:tcPr>
            <w:tcW w:w="851" w:type="dxa"/>
            <w:shd w:val="clear" w:color="auto" w:fill="FFFFFF"/>
            <w:tcMar>
              <w:top w:w="80" w:type="dxa"/>
              <w:left w:w="80" w:type="dxa"/>
              <w:bottom w:w="80" w:type="dxa"/>
              <w:right w:w="80" w:type="dxa"/>
            </w:tcMar>
            <w:vAlign w:val="center"/>
          </w:tcPr>
          <w:p w14:paraId="2DC6DD8E" w14:textId="77777777" w:rsidR="00185FDF" w:rsidRPr="006F225A" w:rsidRDefault="00185FDF" w:rsidP="009B5C6E">
            <w:pPr>
              <w:pStyle w:val="Default"/>
              <w:autoSpaceDE w:val="0"/>
              <w:autoSpaceDN w:val="0"/>
              <w:adjustRightInd w:val="0"/>
              <w:snapToGrid w:val="0"/>
              <w:spacing w:before="0"/>
              <w:rPr>
                <w:rFonts w:ascii="Palatino Linotype" w:hAnsi="Palatino Linotype"/>
                <w:color w:val="auto"/>
                <w:sz w:val="17"/>
                <w:szCs w:val="17"/>
                <w:lang w:val="en-GB"/>
              </w:rPr>
            </w:pPr>
            <w:r w:rsidRPr="006F225A">
              <w:rPr>
                <w:rStyle w:val="None"/>
                <w:rFonts w:ascii="Palatino Linotype" w:hAnsi="Palatino Linotype"/>
                <w:color w:val="auto"/>
                <w:sz w:val="17"/>
                <w:szCs w:val="17"/>
                <w:shd w:val="clear" w:color="auto" w:fill="FFFFFF"/>
                <w:lang w:val="en-GB"/>
              </w:rPr>
              <w:t>1650 (55.5%)</w:t>
            </w:r>
          </w:p>
        </w:tc>
        <w:tc>
          <w:tcPr>
            <w:tcW w:w="992" w:type="dxa"/>
            <w:shd w:val="clear" w:color="auto" w:fill="FFFFFF"/>
            <w:tcMar>
              <w:top w:w="80" w:type="dxa"/>
              <w:left w:w="80" w:type="dxa"/>
              <w:bottom w:w="80" w:type="dxa"/>
              <w:right w:w="80" w:type="dxa"/>
            </w:tcMar>
            <w:vAlign w:val="center"/>
          </w:tcPr>
          <w:p w14:paraId="412E5C57" w14:textId="77777777" w:rsidR="00185FDF" w:rsidRPr="006F225A" w:rsidRDefault="00185FDF" w:rsidP="009B5C6E">
            <w:pPr>
              <w:pStyle w:val="BodyA"/>
              <w:autoSpaceDE w:val="0"/>
              <w:autoSpaceDN w:val="0"/>
              <w:adjustRightInd w:val="0"/>
              <w:snapToGrid w:val="0"/>
              <w:rPr>
                <w:rFonts w:ascii="Palatino Linotype" w:hAnsi="Palatino Linotype"/>
                <w:color w:val="auto"/>
                <w:sz w:val="17"/>
                <w:szCs w:val="17"/>
                <w:lang w:val="en-GB"/>
              </w:rPr>
            </w:pPr>
            <w:r w:rsidRPr="006F225A">
              <w:rPr>
                <w:rStyle w:val="None"/>
                <w:rFonts w:ascii="Palatino Linotype" w:hAnsi="Palatino Linotype"/>
                <w:color w:val="auto"/>
                <w:sz w:val="17"/>
                <w:szCs w:val="17"/>
                <w:shd w:val="clear" w:color="auto" w:fill="FEFFFE"/>
                <w:lang w:val="en-GB"/>
              </w:rPr>
              <w:t>&lt; 0.01</w:t>
            </w:r>
          </w:p>
        </w:tc>
        <w:tc>
          <w:tcPr>
            <w:tcW w:w="2977" w:type="dxa"/>
            <w:shd w:val="clear" w:color="auto" w:fill="FFFFFF"/>
            <w:tcMar>
              <w:top w:w="80" w:type="dxa"/>
              <w:left w:w="80" w:type="dxa"/>
              <w:bottom w:w="80" w:type="dxa"/>
              <w:right w:w="80" w:type="dxa"/>
            </w:tcMar>
            <w:vAlign w:val="center"/>
          </w:tcPr>
          <w:p w14:paraId="2A994196" w14:textId="77777777" w:rsidR="00185FDF" w:rsidRPr="006F225A" w:rsidRDefault="00185FDF" w:rsidP="009B5C6E">
            <w:pPr>
              <w:pStyle w:val="BodyA"/>
              <w:autoSpaceDE w:val="0"/>
              <w:autoSpaceDN w:val="0"/>
              <w:adjustRightInd w:val="0"/>
              <w:snapToGrid w:val="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Paediatric patients hospitalised for acute gastroenteritis</w:t>
            </w:r>
          </w:p>
        </w:tc>
      </w:tr>
      <w:tr w:rsidR="00207EA1" w:rsidRPr="006F225A" w14:paraId="753BCF74" w14:textId="77777777" w:rsidTr="00716A4E">
        <w:trPr>
          <w:jc w:val="center"/>
        </w:trPr>
        <w:tc>
          <w:tcPr>
            <w:tcW w:w="1701" w:type="dxa"/>
            <w:shd w:val="clear" w:color="auto" w:fill="FFFFFF"/>
            <w:tcMar>
              <w:top w:w="80" w:type="dxa"/>
              <w:left w:w="80" w:type="dxa"/>
              <w:bottom w:w="80" w:type="dxa"/>
              <w:right w:w="80" w:type="dxa"/>
            </w:tcMar>
            <w:vAlign w:val="center"/>
          </w:tcPr>
          <w:p w14:paraId="4706919C" w14:textId="77777777" w:rsidR="00185FDF" w:rsidRPr="006F225A" w:rsidRDefault="00185FDF" w:rsidP="009B5C6E">
            <w:pPr>
              <w:pStyle w:val="Default"/>
              <w:autoSpaceDE w:val="0"/>
              <w:autoSpaceDN w:val="0"/>
              <w:adjustRightInd w:val="0"/>
              <w:snapToGrid w:val="0"/>
              <w:spacing w:before="0"/>
              <w:rPr>
                <w:rFonts w:ascii="Palatino Linotype" w:hAnsi="Palatino Linotype"/>
                <w:color w:val="auto"/>
                <w:sz w:val="17"/>
                <w:szCs w:val="17"/>
                <w:lang w:val="en-GB"/>
              </w:rPr>
            </w:pPr>
            <w:r w:rsidRPr="006F225A">
              <w:rPr>
                <w:rStyle w:val="None"/>
                <w:rFonts w:ascii="Palatino Linotype" w:hAnsi="Palatino Linotype"/>
                <w:color w:val="auto"/>
                <w:sz w:val="17"/>
                <w:szCs w:val="17"/>
                <w:shd w:val="clear" w:color="auto" w:fill="FFFFFF"/>
                <w:lang w:val="en-GB"/>
              </w:rPr>
              <w:t>Redondo-Gonzalez et al., 2016</w:t>
            </w:r>
            <w:r w:rsidR="003221F8" w:rsidRPr="006F225A">
              <w:rPr>
                <w:rStyle w:val="None"/>
                <w:rFonts w:ascii="Palatino Linotype" w:hAnsi="Palatino Linotype"/>
                <w:color w:val="auto"/>
                <w:sz w:val="17"/>
                <w:szCs w:val="17"/>
                <w:shd w:val="clear" w:color="auto" w:fill="FFFFFF"/>
                <w:lang w:val="en-GB"/>
              </w:rPr>
              <w:t xml:space="preserve"> [2</w:t>
            </w:r>
            <w:r w:rsidR="00120E5A" w:rsidRPr="006F225A">
              <w:rPr>
                <w:rStyle w:val="None"/>
                <w:rFonts w:ascii="Palatino Linotype" w:hAnsi="Palatino Linotype"/>
                <w:color w:val="auto"/>
                <w:sz w:val="17"/>
                <w:szCs w:val="17"/>
                <w:shd w:val="clear" w:color="auto" w:fill="FFFFFF"/>
                <w:lang w:val="en-GB"/>
              </w:rPr>
              <w:t>4</w:t>
            </w:r>
            <w:r w:rsidR="003221F8" w:rsidRPr="006F225A">
              <w:rPr>
                <w:rStyle w:val="None"/>
                <w:rFonts w:ascii="Palatino Linotype" w:hAnsi="Palatino Linotype"/>
                <w:color w:val="auto"/>
                <w:sz w:val="17"/>
                <w:szCs w:val="17"/>
                <w:shd w:val="clear" w:color="auto" w:fill="FFFFFF"/>
                <w:lang w:val="en-GB"/>
              </w:rPr>
              <w:t>]</w:t>
            </w:r>
          </w:p>
        </w:tc>
        <w:tc>
          <w:tcPr>
            <w:tcW w:w="1134" w:type="dxa"/>
            <w:shd w:val="clear" w:color="auto" w:fill="FFFFFF"/>
            <w:tcMar>
              <w:top w:w="80" w:type="dxa"/>
              <w:left w:w="80" w:type="dxa"/>
              <w:bottom w:w="80" w:type="dxa"/>
              <w:right w:w="80" w:type="dxa"/>
            </w:tcMar>
            <w:vAlign w:val="center"/>
          </w:tcPr>
          <w:p w14:paraId="620CE350" w14:textId="77777777" w:rsidR="00185FDF" w:rsidRPr="006F225A" w:rsidRDefault="00185FDF" w:rsidP="009B5C6E">
            <w:pPr>
              <w:pStyle w:val="Default"/>
              <w:autoSpaceDE w:val="0"/>
              <w:autoSpaceDN w:val="0"/>
              <w:adjustRightInd w:val="0"/>
              <w:snapToGrid w:val="0"/>
              <w:spacing w:before="0"/>
              <w:rPr>
                <w:rFonts w:ascii="Palatino Linotype" w:hAnsi="Palatino Linotype"/>
                <w:color w:val="auto"/>
                <w:sz w:val="17"/>
                <w:szCs w:val="17"/>
                <w:lang w:val="en-GB"/>
              </w:rPr>
            </w:pPr>
            <w:r w:rsidRPr="006F225A">
              <w:rPr>
                <w:rStyle w:val="None"/>
                <w:rFonts w:ascii="Palatino Linotype" w:hAnsi="Palatino Linotype"/>
                <w:color w:val="auto"/>
                <w:sz w:val="17"/>
                <w:szCs w:val="17"/>
                <w:shd w:val="clear" w:color="auto" w:fill="FFFFFF"/>
                <w:lang w:val="en-GB"/>
              </w:rPr>
              <w:t>17,415</w:t>
            </w:r>
          </w:p>
        </w:tc>
        <w:tc>
          <w:tcPr>
            <w:tcW w:w="1418" w:type="dxa"/>
            <w:shd w:val="clear" w:color="auto" w:fill="FFFFFF"/>
            <w:tcMar>
              <w:top w:w="80" w:type="dxa"/>
              <w:left w:w="80" w:type="dxa"/>
              <w:bottom w:w="80" w:type="dxa"/>
              <w:right w:w="80" w:type="dxa"/>
            </w:tcMar>
            <w:vAlign w:val="center"/>
          </w:tcPr>
          <w:p w14:paraId="23796582" w14:textId="77777777" w:rsidR="00185FDF" w:rsidRPr="006F225A" w:rsidRDefault="00185FDF" w:rsidP="009B5C6E">
            <w:pPr>
              <w:pStyle w:val="Default"/>
              <w:autoSpaceDE w:val="0"/>
              <w:autoSpaceDN w:val="0"/>
              <w:adjustRightInd w:val="0"/>
              <w:snapToGrid w:val="0"/>
              <w:spacing w:before="0"/>
              <w:rPr>
                <w:rStyle w:val="None"/>
                <w:rFonts w:ascii="Palatino Linotype" w:eastAsia="Arial" w:hAnsi="Palatino Linotype" w:cs="Arial"/>
                <w:color w:val="auto"/>
                <w:sz w:val="17"/>
                <w:szCs w:val="17"/>
                <w:lang w:val="en-GB"/>
              </w:rPr>
            </w:pPr>
            <w:r w:rsidRPr="006F225A">
              <w:rPr>
                <w:rStyle w:val="None"/>
                <w:rFonts w:ascii="Palatino Linotype" w:hAnsi="Palatino Linotype"/>
                <w:color w:val="auto"/>
                <w:sz w:val="17"/>
                <w:szCs w:val="17"/>
                <w:lang w:val="en-GB"/>
              </w:rPr>
              <w:t xml:space="preserve">Rotavirus positive (n = 1657) </w:t>
            </w:r>
          </w:p>
          <w:p w14:paraId="0337DFDB" w14:textId="77777777" w:rsidR="00185FDF" w:rsidRPr="006F225A" w:rsidRDefault="00185FDF" w:rsidP="009B5C6E">
            <w:pPr>
              <w:pStyle w:val="Default"/>
              <w:autoSpaceDE w:val="0"/>
              <w:autoSpaceDN w:val="0"/>
              <w:adjustRightInd w:val="0"/>
              <w:snapToGrid w:val="0"/>
              <w:spacing w:before="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 xml:space="preserve">75 (4.5%) </w:t>
            </w:r>
          </w:p>
        </w:tc>
        <w:tc>
          <w:tcPr>
            <w:tcW w:w="1417" w:type="dxa"/>
            <w:shd w:val="clear" w:color="auto" w:fill="FFFFFF"/>
            <w:tcMar>
              <w:top w:w="80" w:type="dxa"/>
              <w:left w:w="80" w:type="dxa"/>
              <w:bottom w:w="80" w:type="dxa"/>
              <w:right w:w="80" w:type="dxa"/>
            </w:tcMar>
            <w:vAlign w:val="center"/>
          </w:tcPr>
          <w:p w14:paraId="11938DCF" w14:textId="77777777" w:rsidR="00185FDF" w:rsidRPr="006F225A" w:rsidRDefault="00185FDF" w:rsidP="009B5C6E">
            <w:pPr>
              <w:pStyle w:val="Default"/>
              <w:autoSpaceDE w:val="0"/>
              <w:autoSpaceDN w:val="0"/>
              <w:adjustRightInd w:val="0"/>
              <w:snapToGrid w:val="0"/>
              <w:spacing w:before="0"/>
              <w:rPr>
                <w:rStyle w:val="None"/>
                <w:rFonts w:ascii="Palatino Linotype" w:eastAsia="Arial" w:hAnsi="Palatino Linotype" w:cs="Arial"/>
                <w:color w:val="auto"/>
                <w:sz w:val="17"/>
                <w:szCs w:val="17"/>
                <w:lang w:val="en-GB"/>
              </w:rPr>
            </w:pPr>
            <w:r w:rsidRPr="006F225A">
              <w:rPr>
                <w:rStyle w:val="None"/>
                <w:rFonts w:ascii="Palatino Linotype" w:hAnsi="Palatino Linotype"/>
                <w:color w:val="auto"/>
                <w:sz w:val="17"/>
                <w:szCs w:val="17"/>
                <w:lang w:val="en-GB"/>
              </w:rPr>
              <w:t>Rotavirus negative (n = 15 758)</w:t>
            </w:r>
          </w:p>
          <w:p w14:paraId="64B3E8FC" w14:textId="77777777" w:rsidR="00185FDF" w:rsidRPr="006F225A" w:rsidRDefault="00185FDF" w:rsidP="009B5C6E">
            <w:pPr>
              <w:pStyle w:val="Default"/>
              <w:autoSpaceDE w:val="0"/>
              <w:autoSpaceDN w:val="0"/>
              <w:adjustRightInd w:val="0"/>
              <w:snapToGrid w:val="0"/>
              <w:spacing w:before="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 xml:space="preserve">230 (1.6%) </w:t>
            </w:r>
          </w:p>
        </w:tc>
        <w:tc>
          <w:tcPr>
            <w:tcW w:w="851" w:type="dxa"/>
            <w:shd w:val="clear" w:color="auto" w:fill="FFFFFF"/>
            <w:tcMar>
              <w:top w:w="80" w:type="dxa"/>
              <w:left w:w="80" w:type="dxa"/>
              <w:bottom w:w="80" w:type="dxa"/>
              <w:right w:w="80" w:type="dxa"/>
            </w:tcMar>
            <w:vAlign w:val="center"/>
          </w:tcPr>
          <w:p w14:paraId="64FDF186" w14:textId="77777777" w:rsidR="00185FDF" w:rsidRPr="006F225A" w:rsidRDefault="00185FDF" w:rsidP="009B5C6E">
            <w:pPr>
              <w:pStyle w:val="BodyC"/>
              <w:autoSpaceDE w:val="0"/>
              <w:autoSpaceDN w:val="0"/>
              <w:adjustRightInd w:val="0"/>
              <w:snapToGrid w:val="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NR</w:t>
            </w:r>
          </w:p>
        </w:tc>
        <w:tc>
          <w:tcPr>
            <w:tcW w:w="992" w:type="dxa"/>
            <w:shd w:val="clear" w:color="auto" w:fill="FFFFFF"/>
            <w:tcMar>
              <w:top w:w="80" w:type="dxa"/>
              <w:left w:w="80" w:type="dxa"/>
              <w:bottom w:w="80" w:type="dxa"/>
              <w:right w:w="80" w:type="dxa"/>
            </w:tcMar>
            <w:vAlign w:val="center"/>
          </w:tcPr>
          <w:p w14:paraId="7D2783AF" w14:textId="5B74E5F4" w:rsidR="00185FDF" w:rsidRPr="006F225A" w:rsidRDefault="00185FDF" w:rsidP="009B5C6E">
            <w:pPr>
              <w:pStyle w:val="BodyA"/>
              <w:autoSpaceDE w:val="0"/>
              <w:autoSpaceDN w:val="0"/>
              <w:adjustRightInd w:val="0"/>
              <w:snapToGrid w:val="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3.2 (2.46</w:t>
            </w:r>
            <w:r w:rsidR="00733890" w:rsidRPr="006F225A">
              <w:rPr>
                <w:rStyle w:val="None"/>
                <w:rFonts w:ascii="Palatino Linotype" w:hAnsi="Palatino Linotype"/>
                <w:color w:val="auto"/>
                <w:sz w:val="17"/>
                <w:szCs w:val="17"/>
                <w:lang w:val="en-GB"/>
              </w:rPr>
              <w:t>–</w:t>
            </w:r>
            <w:r w:rsidRPr="006F225A">
              <w:rPr>
                <w:rStyle w:val="None"/>
                <w:rFonts w:ascii="Palatino Linotype" w:hAnsi="Palatino Linotype"/>
                <w:color w:val="auto"/>
                <w:sz w:val="17"/>
                <w:szCs w:val="17"/>
                <w:lang w:val="en-GB"/>
              </w:rPr>
              <w:t>4.18)</w:t>
            </w:r>
          </w:p>
        </w:tc>
        <w:tc>
          <w:tcPr>
            <w:tcW w:w="2977" w:type="dxa"/>
            <w:shd w:val="clear" w:color="auto" w:fill="FFFFFF"/>
            <w:tcMar>
              <w:top w:w="80" w:type="dxa"/>
              <w:left w:w="80" w:type="dxa"/>
              <w:bottom w:w="80" w:type="dxa"/>
              <w:right w:w="80" w:type="dxa"/>
            </w:tcMar>
            <w:vAlign w:val="center"/>
          </w:tcPr>
          <w:p w14:paraId="6FF3C0E4" w14:textId="77777777" w:rsidR="00185FDF" w:rsidRPr="006F225A" w:rsidRDefault="00185FDF" w:rsidP="009B5C6E">
            <w:pPr>
              <w:pStyle w:val="BodyCA"/>
              <w:autoSpaceDE w:val="0"/>
              <w:autoSpaceDN w:val="0"/>
              <w:adjustRightInd w:val="0"/>
              <w:snapToGrid w:val="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 xml:space="preserve">Paediatric patients hospitalised with acute gastroenteritis </w:t>
            </w:r>
          </w:p>
        </w:tc>
      </w:tr>
      <w:tr w:rsidR="00207EA1" w:rsidRPr="006F225A" w14:paraId="2723A815" w14:textId="77777777" w:rsidTr="00716A4E">
        <w:trPr>
          <w:jc w:val="center"/>
        </w:trPr>
        <w:tc>
          <w:tcPr>
            <w:tcW w:w="1701" w:type="dxa"/>
            <w:shd w:val="clear" w:color="auto" w:fill="FFFFFF"/>
            <w:tcMar>
              <w:top w:w="80" w:type="dxa"/>
              <w:left w:w="80" w:type="dxa"/>
              <w:bottom w:w="80" w:type="dxa"/>
              <w:right w:w="80" w:type="dxa"/>
            </w:tcMar>
            <w:vAlign w:val="center"/>
          </w:tcPr>
          <w:p w14:paraId="1292933F" w14:textId="77777777" w:rsidR="00185FDF" w:rsidRPr="006F225A" w:rsidRDefault="00185FDF" w:rsidP="009B5C6E">
            <w:pPr>
              <w:pStyle w:val="BodyCA"/>
              <w:autoSpaceDE w:val="0"/>
              <w:autoSpaceDN w:val="0"/>
              <w:adjustRightInd w:val="0"/>
              <w:snapToGrid w:val="0"/>
              <w:rPr>
                <w:rFonts w:ascii="Palatino Linotype" w:hAnsi="Palatino Linotype"/>
                <w:color w:val="auto"/>
                <w:sz w:val="17"/>
                <w:szCs w:val="17"/>
                <w:lang w:val="en-GB"/>
              </w:rPr>
            </w:pPr>
            <w:proofErr w:type="spellStart"/>
            <w:r w:rsidRPr="006F225A">
              <w:rPr>
                <w:rStyle w:val="None"/>
                <w:rFonts w:ascii="Palatino Linotype" w:hAnsi="Palatino Linotype"/>
                <w:color w:val="auto"/>
                <w:sz w:val="17"/>
                <w:szCs w:val="17"/>
                <w:lang w:val="en-GB"/>
              </w:rPr>
              <w:t>Wildi</w:t>
            </w:r>
            <w:proofErr w:type="spellEnd"/>
            <w:r w:rsidRPr="006F225A">
              <w:rPr>
                <w:rStyle w:val="None"/>
                <w:rFonts w:ascii="Palatino Linotype" w:hAnsi="Palatino Linotype"/>
                <w:color w:val="auto"/>
                <w:sz w:val="17"/>
                <w:szCs w:val="17"/>
                <w:lang w:val="en-GB"/>
              </w:rPr>
              <w:t>-Runge, 2009</w:t>
            </w:r>
            <w:r w:rsidR="003221F8" w:rsidRPr="006F225A">
              <w:rPr>
                <w:rStyle w:val="None"/>
                <w:rFonts w:ascii="Palatino Linotype" w:hAnsi="Palatino Linotype"/>
                <w:color w:val="auto"/>
                <w:sz w:val="17"/>
                <w:szCs w:val="17"/>
                <w:lang w:val="en-GB"/>
              </w:rPr>
              <w:t xml:space="preserve"> [2</w:t>
            </w:r>
            <w:r w:rsidR="00120E5A" w:rsidRPr="006F225A">
              <w:rPr>
                <w:rStyle w:val="None"/>
                <w:rFonts w:ascii="Palatino Linotype" w:hAnsi="Palatino Linotype"/>
                <w:color w:val="auto"/>
                <w:sz w:val="17"/>
                <w:szCs w:val="17"/>
                <w:lang w:val="en-GB"/>
              </w:rPr>
              <w:t>6</w:t>
            </w:r>
            <w:r w:rsidR="003221F8" w:rsidRPr="006F225A">
              <w:rPr>
                <w:rStyle w:val="None"/>
                <w:rFonts w:ascii="Palatino Linotype" w:hAnsi="Palatino Linotype"/>
                <w:color w:val="auto"/>
                <w:sz w:val="17"/>
                <w:szCs w:val="17"/>
                <w:lang w:val="en-GB"/>
              </w:rPr>
              <w:t>]</w:t>
            </w:r>
          </w:p>
        </w:tc>
        <w:tc>
          <w:tcPr>
            <w:tcW w:w="1134" w:type="dxa"/>
            <w:shd w:val="clear" w:color="auto" w:fill="FFFFFF"/>
            <w:tcMar>
              <w:top w:w="80" w:type="dxa"/>
              <w:left w:w="80" w:type="dxa"/>
              <w:bottom w:w="80" w:type="dxa"/>
              <w:right w:w="80" w:type="dxa"/>
            </w:tcMar>
            <w:vAlign w:val="center"/>
          </w:tcPr>
          <w:p w14:paraId="1C27A657" w14:textId="77777777" w:rsidR="00185FDF" w:rsidRPr="006F225A" w:rsidRDefault="00185FDF" w:rsidP="009B5C6E">
            <w:pPr>
              <w:pStyle w:val="BodyCA"/>
              <w:autoSpaceDE w:val="0"/>
              <w:autoSpaceDN w:val="0"/>
              <w:adjustRightInd w:val="0"/>
              <w:snapToGrid w:val="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539</w:t>
            </w:r>
          </w:p>
        </w:tc>
        <w:tc>
          <w:tcPr>
            <w:tcW w:w="1418" w:type="dxa"/>
            <w:shd w:val="clear" w:color="auto" w:fill="FFFFFF"/>
            <w:tcMar>
              <w:top w:w="80" w:type="dxa"/>
              <w:left w:w="80" w:type="dxa"/>
              <w:bottom w:w="80" w:type="dxa"/>
              <w:right w:w="80" w:type="dxa"/>
            </w:tcMar>
            <w:vAlign w:val="center"/>
          </w:tcPr>
          <w:p w14:paraId="382511E7" w14:textId="77777777" w:rsidR="00185FDF" w:rsidRPr="006F225A" w:rsidRDefault="00185FDF" w:rsidP="009B5C6E">
            <w:pPr>
              <w:pStyle w:val="BodyCA"/>
              <w:autoSpaceDE w:val="0"/>
              <w:autoSpaceDN w:val="0"/>
              <w:adjustRightInd w:val="0"/>
              <w:snapToGrid w:val="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378 (70.1%)</w:t>
            </w:r>
          </w:p>
        </w:tc>
        <w:tc>
          <w:tcPr>
            <w:tcW w:w="1417" w:type="dxa"/>
            <w:shd w:val="clear" w:color="auto" w:fill="FFFFFF"/>
            <w:tcMar>
              <w:top w:w="80" w:type="dxa"/>
              <w:left w:w="80" w:type="dxa"/>
              <w:bottom w:w="80" w:type="dxa"/>
              <w:right w:w="80" w:type="dxa"/>
            </w:tcMar>
            <w:vAlign w:val="center"/>
          </w:tcPr>
          <w:p w14:paraId="012C8A89" w14:textId="77777777" w:rsidR="00185FDF" w:rsidRPr="006F225A" w:rsidRDefault="00185FDF" w:rsidP="009B5C6E">
            <w:pPr>
              <w:pStyle w:val="BodyC"/>
              <w:autoSpaceDE w:val="0"/>
              <w:autoSpaceDN w:val="0"/>
              <w:adjustRightInd w:val="0"/>
              <w:snapToGrid w:val="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w:t>
            </w:r>
          </w:p>
        </w:tc>
        <w:tc>
          <w:tcPr>
            <w:tcW w:w="851" w:type="dxa"/>
            <w:shd w:val="clear" w:color="auto" w:fill="FFFFFF"/>
            <w:tcMar>
              <w:top w:w="80" w:type="dxa"/>
              <w:left w:w="80" w:type="dxa"/>
              <w:bottom w:w="80" w:type="dxa"/>
              <w:right w:w="80" w:type="dxa"/>
            </w:tcMar>
            <w:vAlign w:val="center"/>
          </w:tcPr>
          <w:p w14:paraId="24CB656A" w14:textId="77777777" w:rsidR="00185FDF" w:rsidRPr="006F225A" w:rsidRDefault="00185FDF" w:rsidP="009B5C6E">
            <w:pPr>
              <w:pStyle w:val="BodyC"/>
              <w:autoSpaceDE w:val="0"/>
              <w:autoSpaceDN w:val="0"/>
              <w:adjustRightInd w:val="0"/>
              <w:snapToGrid w:val="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w:t>
            </w:r>
          </w:p>
        </w:tc>
        <w:tc>
          <w:tcPr>
            <w:tcW w:w="992" w:type="dxa"/>
            <w:shd w:val="clear" w:color="auto" w:fill="FFFFFF"/>
            <w:tcMar>
              <w:top w:w="80" w:type="dxa"/>
              <w:left w:w="80" w:type="dxa"/>
              <w:bottom w:w="80" w:type="dxa"/>
              <w:right w:w="80" w:type="dxa"/>
            </w:tcMar>
            <w:vAlign w:val="center"/>
          </w:tcPr>
          <w:p w14:paraId="29FE5D77" w14:textId="77777777" w:rsidR="00185FDF" w:rsidRPr="006F225A" w:rsidRDefault="00185FDF" w:rsidP="009B5C6E">
            <w:pPr>
              <w:pStyle w:val="BodyC"/>
              <w:autoSpaceDE w:val="0"/>
              <w:autoSpaceDN w:val="0"/>
              <w:adjustRightInd w:val="0"/>
              <w:snapToGrid w:val="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w:t>
            </w:r>
          </w:p>
        </w:tc>
        <w:tc>
          <w:tcPr>
            <w:tcW w:w="2977" w:type="dxa"/>
            <w:shd w:val="clear" w:color="auto" w:fill="FFFFFF"/>
            <w:tcMar>
              <w:top w:w="80" w:type="dxa"/>
              <w:left w:w="80" w:type="dxa"/>
              <w:bottom w:w="80" w:type="dxa"/>
              <w:right w:w="80" w:type="dxa"/>
            </w:tcMar>
            <w:vAlign w:val="center"/>
          </w:tcPr>
          <w:p w14:paraId="1E5467ED" w14:textId="77777777" w:rsidR="00185FDF" w:rsidRPr="006F225A" w:rsidRDefault="00185FDF" w:rsidP="009B5C6E">
            <w:pPr>
              <w:pStyle w:val="BodyCA"/>
              <w:autoSpaceDE w:val="0"/>
              <w:autoSpaceDN w:val="0"/>
              <w:adjustRightInd w:val="0"/>
              <w:snapToGrid w:val="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 xml:space="preserve">Paediatric patients hospitalised with rotavirus gastroenteritis </w:t>
            </w:r>
          </w:p>
        </w:tc>
      </w:tr>
      <w:tr w:rsidR="00207EA1" w:rsidRPr="006F225A" w14:paraId="3643D012" w14:textId="77777777" w:rsidTr="00716A4E">
        <w:trPr>
          <w:jc w:val="center"/>
        </w:trPr>
        <w:tc>
          <w:tcPr>
            <w:tcW w:w="1701" w:type="dxa"/>
            <w:shd w:val="clear" w:color="auto" w:fill="FFFFFF"/>
            <w:tcMar>
              <w:top w:w="80" w:type="dxa"/>
              <w:left w:w="80" w:type="dxa"/>
              <w:bottom w:w="80" w:type="dxa"/>
              <w:right w:w="80" w:type="dxa"/>
            </w:tcMar>
            <w:vAlign w:val="center"/>
          </w:tcPr>
          <w:p w14:paraId="1DF3F992" w14:textId="77777777" w:rsidR="00185FDF" w:rsidRPr="006F225A" w:rsidRDefault="00185FDF" w:rsidP="009B5C6E">
            <w:pPr>
              <w:pStyle w:val="Default"/>
              <w:autoSpaceDE w:val="0"/>
              <w:autoSpaceDN w:val="0"/>
              <w:adjustRightInd w:val="0"/>
              <w:snapToGrid w:val="0"/>
              <w:spacing w:before="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Ben- Shalom et al., 2016</w:t>
            </w:r>
            <w:r w:rsidR="003221F8" w:rsidRPr="006F225A">
              <w:rPr>
                <w:rStyle w:val="None"/>
                <w:rFonts w:ascii="Palatino Linotype" w:hAnsi="Palatino Linotype"/>
                <w:color w:val="auto"/>
                <w:sz w:val="17"/>
                <w:szCs w:val="17"/>
                <w:lang w:val="en-GB"/>
              </w:rPr>
              <w:t xml:space="preserve"> [2</w:t>
            </w:r>
            <w:r w:rsidR="00120E5A" w:rsidRPr="006F225A">
              <w:rPr>
                <w:rStyle w:val="None"/>
                <w:rFonts w:ascii="Palatino Linotype" w:hAnsi="Palatino Linotype"/>
                <w:color w:val="auto"/>
                <w:sz w:val="17"/>
                <w:szCs w:val="17"/>
                <w:lang w:val="en-GB"/>
              </w:rPr>
              <w:t>8</w:t>
            </w:r>
            <w:r w:rsidR="003221F8" w:rsidRPr="006F225A">
              <w:rPr>
                <w:rStyle w:val="None"/>
                <w:rFonts w:ascii="Palatino Linotype" w:hAnsi="Palatino Linotype"/>
                <w:color w:val="auto"/>
                <w:sz w:val="17"/>
                <w:szCs w:val="17"/>
                <w:lang w:val="en-GB"/>
              </w:rPr>
              <w:t>]</w:t>
            </w:r>
          </w:p>
        </w:tc>
        <w:tc>
          <w:tcPr>
            <w:tcW w:w="1134" w:type="dxa"/>
            <w:shd w:val="clear" w:color="auto" w:fill="FFFFFF"/>
            <w:tcMar>
              <w:top w:w="80" w:type="dxa"/>
              <w:left w:w="80" w:type="dxa"/>
              <w:bottom w:w="80" w:type="dxa"/>
              <w:right w:w="80" w:type="dxa"/>
            </w:tcMar>
            <w:vAlign w:val="center"/>
          </w:tcPr>
          <w:p w14:paraId="33BA2042" w14:textId="77777777" w:rsidR="00185FDF" w:rsidRPr="006F225A" w:rsidRDefault="00185FDF" w:rsidP="009B5C6E">
            <w:pPr>
              <w:pStyle w:val="Default"/>
              <w:autoSpaceDE w:val="0"/>
              <w:autoSpaceDN w:val="0"/>
              <w:adjustRightInd w:val="0"/>
              <w:snapToGrid w:val="0"/>
              <w:spacing w:before="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58</w:t>
            </w:r>
          </w:p>
        </w:tc>
        <w:tc>
          <w:tcPr>
            <w:tcW w:w="1418" w:type="dxa"/>
            <w:shd w:val="clear" w:color="auto" w:fill="FFFFFF"/>
            <w:tcMar>
              <w:top w:w="80" w:type="dxa"/>
              <w:left w:w="80" w:type="dxa"/>
              <w:bottom w:w="80" w:type="dxa"/>
              <w:right w:w="80" w:type="dxa"/>
            </w:tcMar>
            <w:vAlign w:val="center"/>
          </w:tcPr>
          <w:p w14:paraId="06744761" w14:textId="77777777" w:rsidR="00185FDF" w:rsidRPr="006F225A" w:rsidRDefault="00185FDF" w:rsidP="009B5C6E">
            <w:pPr>
              <w:pStyle w:val="Default"/>
              <w:autoSpaceDE w:val="0"/>
              <w:autoSpaceDN w:val="0"/>
              <w:adjustRightInd w:val="0"/>
              <w:snapToGrid w:val="0"/>
              <w:spacing w:before="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 xml:space="preserve">58 (100%) </w:t>
            </w:r>
          </w:p>
        </w:tc>
        <w:tc>
          <w:tcPr>
            <w:tcW w:w="1417" w:type="dxa"/>
            <w:shd w:val="clear" w:color="auto" w:fill="FFFFFF"/>
            <w:tcMar>
              <w:top w:w="80" w:type="dxa"/>
              <w:left w:w="80" w:type="dxa"/>
              <w:bottom w:w="80" w:type="dxa"/>
              <w:right w:w="80" w:type="dxa"/>
            </w:tcMar>
            <w:vAlign w:val="center"/>
          </w:tcPr>
          <w:p w14:paraId="35E30355" w14:textId="77777777" w:rsidR="00185FDF" w:rsidRPr="006F225A" w:rsidRDefault="00185FDF" w:rsidP="009B5C6E">
            <w:pPr>
              <w:pStyle w:val="Default"/>
              <w:autoSpaceDE w:val="0"/>
              <w:autoSpaceDN w:val="0"/>
              <w:adjustRightInd w:val="0"/>
              <w:snapToGrid w:val="0"/>
              <w:spacing w:before="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w:t>
            </w:r>
          </w:p>
        </w:tc>
        <w:tc>
          <w:tcPr>
            <w:tcW w:w="851" w:type="dxa"/>
            <w:shd w:val="clear" w:color="auto" w:fill="FFFFFF"/>
            <w:tcMar>
              <w:top w:w="80" w:type="dxa"/>
              <w:left w:w="80" w:type="dxa"/>
              <w:bottom w:w="80" w:type="dxa"/>
              <w:right w:w="80" w:type="dxa"/>
            </w:tcMar>
            <w:vAlign w:val="center"/>
          </w:tcPr>
          <w:p w14:paraId="6103A0B7" w14:textId="77777777" w:rsidR="00185FDF" w:rsidRPr="006F225A" w:rsidRDefault="00185FDF" w:rsidP="009B5C6E">
            <w:pPr>
              <w:pStyle w:val="Default"/>
              <w:autoSpaceDE w:val="0"/>
              <w:autoSpaceDN w:val="0"/>
              <w:adjustRightInd w:val="0"/>
              <w:snapToGrid w:val="0"/>
              <w:spacing w:before="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w:t>
            </w:r>
          </w:p>
        </w:tc>
        <w:tc>
          <w:tcPr>
            <w:tcW w:w="992" w:type="dxa"/>
            <w:shd w:val="clear" w:color="auto" w:fill="FFFFFF"/>
            <w:tcMar>
              <w:top w:w="80" w:type="dxa"/>
              <w:left w:w="80" w:type="dxa"/>
              <w:bottom w:w="80" w:type="dxa"/>
              <w:right w:w="80" w:type="dxa"/>
            </w:tcMar>
            <w:vAlign w:val="center"/>
          </w:tcPr>
          <w:p w14:paraId="633983EA" w14:textId="77777777" w:rsidR="00185FDF" w:rsidRPr="006F225A" w:rsidRDefault="00185FDF" w:rsidP="009B5C6E">
            <w:pPr>
              <w:pStyle w:val="Default"/>
              <w:autoSpaceDE w:val="0"/>
              <w:autoSpaceDN w:val="0"/>
              <w:adjustRightInd w:val="0"/>
              <w:snapToGrid w:val="0"/>
              <w:spacing w:before="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w:t>
            </w:r>
          </w:p>
        </w:tc>
        <w:tc>
          <w:tcPr>
            <w:tcW w:w="2977" w:type="dxa"/>
            <w:shd w:val="clear" w:color="auto" w:fill="FFFFFF"/>
            <w:tcMar>
              <w:top w:w="80" w:type="dxa"/>
              <w:left w:w="80" w:type="dxa"/>
              <w:bottom w:w="80" w:type="dxa"/>
              <w:right w:w="80" w:type="dxa"/>
            </w:tcMar>
            <w:vAlign w:val="center"/>
          </w:tcPr>
          <w:p w14:paraId="30869661" w14:textId="77777777" w:rsidR="00185FDF" w:rsidRPr="006F225A" w:rsidRDefault="00185FDF" w:rsidP="009B5C6E">
            <w:pPr>
              <w:pStyle w:val="BodyA"/>
              <w:autoSpaceDE w:val="0"/>
              <w:autoSpaceDN w:val="0"/>
              <w:adjustRightInd w:val="0"/>
              <w:snapToGrid w:val="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 xml:space="preserve">Paediatric patients hospitalised with </w:t>
            </w:r>
            <w:proofErr w:type="spellStart"/>
            <w:r w:rsidRPr="006F225A">
              <w:rPr>
                <w:rStyle w:val="None"/>
                <w:rFonts w:ascii="Palatino Linotype" w:hAnsi="Palatino Linotype"/>
                <w:color w:val="auto"/>
                <w:sz w:val="17"/>
                <w:szCs w:val="17"/>
                <w:lang w:val="en-GB"/>
              </w:rPr>
              <w:t>hypernatremic</w:t>
            </w:r>
            <w:proofErr w:type="spellEnd"/>
            <w:r w:rsidRPr="006F225A">
              <w:rPr>
                <w:rStyle w:val="None"/>
                <w:rFonts w:ascii="Palatino Linotype" w:hAnsi="Palatino Linotype"/>
                <w:color w:val="auto"/>
                <w:sz w:val="17"/>
                <w:szCs w:val="17"/>
                <w:lang w:val="en-GB"/>
              </w:rPr>
              <w:t xml:space="preserve"> dehydration </w:t>
            </w:r>
          </w:p>
        </w:tc>
      </w:tr>
      <w:tr w:rsidR="00207EA1" w:rsidRPr="006F225A" w14:paraId="66386DE5" w14:textId="77777777" w:rsidTr="00716A4E">
        <w:trPr>
          <w:jc w:val="center"/>
        </w:trPr>
        <w:tc>
          <w:tcPr>
            <w:tcW w:w="1701" w:type="dxa"/>
            <w:shd w:val="clear" w:color="auto" w:fill="FFFFFF"/>
            <w:tcMar>
              <w:top w:w="80" w:type="dxa"/>
              <w:left w:w="80" w:type="dxa"/>
              <w:bottom w:w="80" w:type="dxa"/>
              <w:right w:w="80" w:type="dxa"/>
            </w:tcMar>
            <w:vAlign w:val="center"/>
          </w:tcPr>
          <w:p w14:paraId="62920B4B" w14:textId="77777777" w:rsidR="00185FDF" w:rsidRPr="006F225A" w:rsidRDefault="00185FDF" w:rsidP="009B5C6E">
            <w:pPr>
              <w:pStyle w:val="Default"/>
              <w:autoSpaceDE w:val="0"/>
              <w:autoSpaceDN w:val="0"/>
              <w:adjustRightInd w:val="0"/>
              <w:snapToGrid w:val="0"/>
              <w:spacing w:before="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Janet e</w:t>
            </w:r>
            <w:r w:rsidR="00726E45" w:rsidRPr="006F225A">
              <w:rPr>
                <w:rStyle w:val="None"/>
                <w:rFonts w:ascii="Palatino Linotype" w:hAnsi="Palatino Linotype"/>
                <w:color w:val="auto"/>
                <w:sz w:val="17"/>
                <w:szCs w:val="17"/>
                <w:lang w:val="en-GB"/>
              </w:rPr>
              <w:t>t</w:t>
            </w:r>
            <w:r w:rsidRPr="006F225A">
              <w:rPr>
                <w:rStyle w:val="None"/>
                <w:rFonts w:ascii="Palatino Linotype" w:hAnsi="Palatino Linotype"/>
                <w:color w:val="auto"/>
                <w:sz w:val="17"/>
                <w:szCs w:val="17"/>
                <w:lang w:val="en-GB"/>
              </w:rPr>
              <w:t xml:space="preserve"> al., 2015</w:t>
            </w:r>
            <w:r w:rsidR="003221F8" w:rsidRPr="006F225A">
              <w:rPr>
                <w:rStyle w:val="None"/>
                <w:rFonts w:ascii="Palatino Linotype" w:hAnsi="Palatino Linotype"/>
                <w:color w:val="auto"/>
                <w:sz w:val="17"/>
                <w:szCs w:val="17"/>
                <w:lang w:val="en-GB"/>
              </w:rPr>
              <w:t xml:space="preserve"> [</w:t>
            </w:r>
            <w:r w:rsidR="00120E5A" w:rsidRPr="006F225A">
              <w:rPr>
                <w:rStyle w:val="None"/>
                <w:rFonts w:ascii="Palatino Linotype" w:hAnsi="Palatino Linotype"/>
                <w:color w:val="auto"/>
                <w:sz w:val="17"/>
                <w:szCs w:val="17"/>
                <w:lang w:val="en-GB"/>
              </w:rPr>
              <w:t>29</w:t>
            </w:r>
            <w:r w:rsidR="003221F8" w:rsidRPr="006F225A">
              <w:rPr>
                <w:rStyle w:val="None"/>
                <w:rFonts w:ascii="Palatino Linotype" w:hAnsi="Palatino Linotype"/>
                <w:color w:val="auto"/>
                <w:sz w:val="17"/>
                <w:szCs w:val="17"/>
                <w:lang w:val="en-GB"/>
              </w:rPr>
              <w:t>]</w:t>
            </w:r>
          </w:p>
        </w:tc>
        <w:tc>
          <w:tcPr>
            <w:tcW w:w="1134" w:type="dxa"/>
            <w:shd w:val="clear" w:color="auto" w:fill="FFFFFF"/>
            <w:tcMar>
              <w:top w:w="80" w:type="dxa"/>
              <w:left w:w="80" w:type="dxa"/>
              <w:bottom w:w="80" w:type="dxa"/>
              <w:right w:w="80" w:type="dxa"/>
            </w:tcMar>
            <w:vAlign w:val="center"/>
          </w:tcPr>
          <w:p w14:paraId="17C82466" w14:textId="77777777" w:rsidR="00185FDF" w:rsidRPr="006F225A" w:rsidRDefault="00185FDF" w:rsidP="009B5C6E">
            <w:pPr>
              <w:pStyle w:val="Default"/>
              <w:autoSpaceDE w:val="0"/>
              <w:autoSpaceDN w:val="0"/>
              <w:adjustRightInd w:val="0"/>
              <w:snapToGrid w:val="0"/>
              <w:spacing w:before="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83</w:t>
            </w:r>
          </w:p>
        </w:tc>
        <w:tc>
          <w:tcPr>
            <w:tcW w:w="1418" w:type="dxa"/>
            <w:shd w:val="clear" w:color="auto" w:fill="FFFFFF"/>
            <w:tcMar>
              <w:top w:w="80" w:type="dxa"/>
              <w:left w:w="80" w:type="dxa"/>
              <w:bottom w:w="80" w:type="dxa"/>
              <w:right w:w="80" w:type="dxa"/>
            </w:tcMar>
            <w:vAlign w:val="center"/>
          </w:tcPr>
          <w:p w14:paraId="742922F6" w14:textId="77777777" w:rsidR="00185FDF" w:rsidRPr="006F225A" w:rsidRDefault="00185FDF" w:rsidP="009B5C6E">
            <w:pPr>
              <w:pStyle w:val="Default"/>
              <w:autoSpaceDE w:val="0"/>
              <w:autoSpaceDN w:val="0"/>
              <w:adjustRightInd w:val="0"/>
              <w:snapToGrid w:val="0"/>
              <w:spacing w:before="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83 (100%)</w:t>
            </w:r>
          </w:p>
        </w:tc>
        <w:tc>
          <w:tcPr>
            <w:tcW w:w="1417" w:type="dxa"/>
            <w:shd w:val="clear" w:color="auto" w:fill="FFFFFF"/>
            <w:tcMar>
              <w:top w:w="80" w:type="dxa"/>
              <w:left w:w="80" w:type="dxa"/>
              <w:bottom w:w="80" w:type="dxa"/>
              <w:right w:w="80" w:type="dxa"/>
            </w:tcMar>
            <w:vAlign w:val="center"/>
          </w:tcPr>
          <w:p w14:paraId="692F2343" w14:textId="77777777" w:rsidR="00185FDF" w:rsidRPr="006F225A" w:rsidRDefault="00185FDF" w:rsidP="009B5C6E">
            <w:pPr>
              <w:pStyle w:val="Default"/>
              <w:autoSpaceDE w:val="0"/>
              <w:autoSpaceDN w:val="0"/>
              <w:adjustRightInd w:val="0"/>
              <w:snapToGrid w:val="0"/>
              <w:spacing w:before="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w:t>
            </w:r>
          </w:p>
        </w:tc>
        <w:tc>
          <w:tcPr>
            <w:tcW w:w="851" w:type="dxa"/>
            <w:shd w:val="clear" w:color="auto" w:fill="FFFFFF"/>
            <w:tcMar>
              <w:top w:w="80" w:type="dxa"/>
              <w:left w:w="80" w:type="dxa"/>
              <w:bottom w:w="80" w:type="dxa"/>
              <w:right w:w="80" w:type="dxa"/>
            </w:tcMar>
            <w:vAlign w:val="center"/>
          </w:tcPr>
          <w:p w14:paraId="5068B0C2" w14:textId="77777777" w:rsidR="00185FDF" w:rsidRPr="006F225A" w:rsidRDefault="00185FDF" w:rsidP="009B5C6E">
            <w:pPr>
              <w:pStyle w:val="Default"/>
              <w:autoSpaceDE w:val="0"/>
              <w:autoSpaceDN w:val="0"/>
              <w:adjustRightInd w:val="0"/>
              <w:snapToGrid w:val="0"/>
              <w:spacing w:before="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w:t>
            </w:r>
          </w:p>
        </w:tc>
        <w:tc>
          <w:tcPr>
            <w:tcW w:w="992" w:type="dxa"/>
            <w:shd w:val="clear" w:color="auto" w:fill="FFFFFF"/>
            <w:tcMar>
              <w:top w:w="80" w:type="dxa"/>
              <w:left w:w="80" w:type="dxa"/>
              <w:bottom w:w="80" w:type="dxa"/>
              <w:right w:w="80" w:type="dxa"/>
            </w:tcMar>
            <w:vAlign w:val="center"/>
          </w:tcPr>
          <w:p w14:paraId="5B51E023" w14:textId="77777777" w:rsidR="00185FDF" w:rsidRPr="006F225A" w:rsidRDefault="00185FDF" w:rsidP="009B5C6E">
            <w:pPr>
              <w:pStyle w:val="Default"/>
              <w:autoSpaceDE w:val="0"/>
              <w:autoSpaceDN w:val="0"/>
              <w:adjustRightInd w:val="0"/>
              <w:snapToGrid w:val="0"/>
              <w:spacing w:before="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w:t>
            </w:r>
          </w:p>
        </w:tc>
        <w:tc>
          <w:tcPr>
            <w:tcW w:w="2977" w:type="dxa"/>
            <w:shd w:val="clear" w:color="auto" w:fill="FFFFFF"/>
            <w:tcMar>
              <w:top w:w="80" w:type="dxa"/>
              <w:left w:w="80" w:type="dxa"/>
              <w:bottom w:w="80" w:type="dxa"/>
              <w:right w:w="80" w:type="dxa"/>
            </w:tcMar>
            <w:vAlign w:val="center"/>
          </w:tcPr>
          <w:p w14:paraId="6F107A80" w14:textId="77777777" w:rsidR="00185FDF" w:rsidRPr="006F225A" w:rsidRDefault="00185FDF" w:rsidP="009B5C6E">
            <w:pPr>
              <w:pStyle w:val="Default"/>
              <w:autoSpaceDE w:val="0"/>
              <w:autoSpaceDN w:val="0"/>
              <w:adjustRightInd w:val="0"/>
              <w:snapToGrid w:val="0"/>
              <w:spacing w:before="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 xml:space="preserve">Paediatric patients with mild-to moderate </w:t>
            </w:r>
            <w:proofErr w:type="spellStart"/>
            <w:r w:rsidRPr="006F225A">
              <w:rPr>
                <w:rStyle w:val="None"/>
                <w:rFonts w:ascii="Palatino Linotype" w:hAnsi="Palatino Linotype"/>
                <w:color w:val="auto"/>
                <w:sz w:val="17"/>
                <w:szCs w:val="17"/>
                <w:lang w:val="en-GB"/>
              </w:rPr>
              <w:t>isonatremic</w:t>
            </w:r>
            <w:proofErr w:type="spellEnd"/>
            <w:r w:rsidRPr="006F225A">
              <w:rPr>
                <w:rStyle w:val="None"/>
                <w:rFonts w:ascii="Palatino Linotype" w:hAnsi="Palatino Linotype"/>
                <w:color w:val="auto"/>
                <w:sz w:val="17"/>
                <w:szCs w:val="17"/>
                <w:lang w:val="en-GB"/>
              </w:rPr>
              <w:t xml:space="preserve"> dehydration </w:t>
            </w:r>
          </w:p>
        </w:tc>
      </w:tr>
      <w:tr w:rsidR="00207EA1" w:rsidRPr="006F225A" w14:paraId="0BAA4660" w14:textId="77777777" w:rsidTr="00716A4E">
        <w:trPr>
          <w:jc w:val="center"/>
        </w:trPr>
        <w:tc>
          <w:tcPr>
            <w:tcW w:w="1701" w:type="dxa"/>
            <w:shd w:val="clear" w:color="auto" w:fill="FFFFFF"/>
            <w:tcMar>
              <w:top w:w="80" w:type="dxa"/>
              <w:left w:w="80" w:type="dxa"/>
              <w:bottom w:w="80" w:type="dxa"/>
              <w:right w:w="80" w:type="dxa"/>
            </w:tcMar>
            <w:vAlign w:val="center"/>
          </w:tcPr>
          <w:p w14:paraId="1DDCCB87" w14:textId="77777777" w:rsidR="00185FDF" w:rsidRPr="006F225A" w:rsidRDefault="00185FDF" w:rsidP="009B5C6E">
            <w:pPr>
              <w:pStyle w:val="Default"/>
              <w:autoSpaceDE w:val="0"/>
              <w:autoSpaceDN w:val="0"/>
              <w:adjustRightInd w:val="0"/>
              <w:snapToGrid w:val="0"/>
              <w:spacing w:before="0"/>
              <w:rPr>
                <w:rFonts w:ascii="Palatino Linotype" w:hAnsi="Palatino Linotype"/>
                <w:color w:val="auto"/>
                <w:sz w:val="17"/>
                <w:szCs w:val="17"/>
                <w:lang w:val="en-GB"/>
              </w:rPr>
            </w:pPr>
            <w:proofErr w:type="gramStart"/>
            <w:r w:rsidRPr="006F225A">
              <w:rPr>
                <w:rStyle w:val="None"/>
                <w:rFonts w:ascii="Palatino Linotype" w:hAnsi="Palatino Linotype"/>
                <w:color w:val="auto"/>
                <w:sz w:val="17"/>
                <w:szCs w:val="17"/>
                <w:shd w:val="clear" w:color="auto" w:fill="FFFFFF"/>
                <w:lang w:val="en-GB"/>
              </w:rPr>
              <w:t>Lopez-Medina</w:t>
            </w:r>
            <w:proofErr w:type="gramEnd"/>
            <w:r w:rsidRPr="006F225A">
              <w:rPr>
                <w:rStyle w:val="None"/>
                <w:rFonts w:ascii="Palatino Linotype" w:hAnsi="Palatino Linotype"/>
                <w:color w:val="auto"/>
                <w:sz w:val="17"/>
                <w:szCs w:val="17"/>
                <w:shd w:val="clear" w:color="auto" w:fill="FFFFFF"/>
                <w:lang w:val="en-GB"/>
              </w:rPr>
              <w:t xml:space="preserve"> et al., 2012</w:t>
            </w:r>
            <w:r w:rsidR="003221F8" w:rsidRPr="006F225A">
              <w:rPr>
                <w:rStyle w:val="None"/>
                <w:rFonts w:ascii="Palatino Linotype" w:hAnsi="Palatino Linotype"/>
                <w:color w:val="auto"/>
                <w:sz w:val="17"/>
                <w:szCs w:val="17"/>
                <w:shd w:val="clear" w:color="auto" w:fill="FFFFFF"/>
                <w:lang w:val="en-GB"/>
              </w:rPr>
              <w:t xml:space="preserve"> [3</w:t>
            </w:r>
            <w:r w:rsidR="00120E5A" w:rsidRPr="006F225A">
              <w:rPr>
                <w:rStyle w:val="None"/>
                <w:rFonts w:ascii="Palatino Linotype" w:hAnsi="Palatino Linotype"/>
                <w:color w:val="auto"/>
                <w:sz w:val="17"/>
                <w:szCs w:val="17"/>
                <w:shd w:val="clear" w:color="auto" w:fill="FFFFFF"/>
                <w:lang w:val="en-GB"/>
              </w:rPr>
              <w:t>2</w:t>
            </w:r>
            <w:r w:rsidR="003221F8" w:rsidRPr="006F225A">
              <w:rPr>
                <w:rStyle w:val="None"/>
                <w:rFonts w:ascii="Palatino Linotype" w:hAnsi="Palatino Linotype"/>
                <w:color w:val="auto"/>
                <w:sz w:val="17"/>
                <w:szCs w:val="17"/>
                <w:shd w:val="clear" w:color="auto" w:fill="FFFFFF"/>
                <w:lang w:val="en-GB"/>
              </w:rPr>
              <w:t>]</w:t>
            </w:r>
          </w:p>
        </w:tc>
        <w:tc>
          <w:tcPr>
            <w:tcW w:w="1134" w:type="dxa"/>
            <w:shd w:val="clear" w:color="auto" w:fill="FFFFFF"/>
            <w:tcMar>
              <w:top w:w="80" w:type="dxa"/>
              <w:left w:w="80" w:type="dxa"/>
              <w:bottom w:w="80" w:type="dxa"/>
              <w:right w:w="80" w:type="dxa"/>
            </w:tcMar>
            <w:vAlign w:val="center"/>
          </w:tcPr>
          <w:p w14:paraId="3A78ABA5" w14:textId="77777777" w:rsidR="00185FDF" w:rsidRPr="006F225A" w:rsidRDefault="00185FDF" w:rsidP="009B5C6E">
            <w:pPr>
              <w:pStyle w:val="Default"/>
              <w:autoSpaceDE w:val="0"/>
              <w:autoSpaceDN w:val="0"/>
              <w:adjustRightInd w:val="0"/>
              <w:snapToGrid w:val="0"/>
              <w:spacing w:before="0"/>
              <w:rPr>
                <w:rFonts w:ascii="Palatino Linotype" w:hAnsi="Palatino Linotype"/>
                <w:color w:val="auto"/>
                <w:sz w:val="17"/>
                <w:szCs w:val="17"/>
                <w:lang w:val="en-GB"/>
              </w:rPr>
            </w:pPr>
            <w:r w:rsidRPr="006F225A">
              <w:rPr>
                <w:rStyle w:val="None"/>
                <w:rFonts w:ascii="Palatino Linotype" w:hAnsi="Palatino Linotype"/>
                <w:color w:val="auto"/>
                <w:sz w:val="17"/>
                <w:szCs w:val="17"/>
                <w:shd w:val="clear" w:color="auto" w:fill="FFFFFF"/>
                <w:lang w:val="en-GB"/>
              </w:rPr>
              <w:t>73</w:t>
            </w:r>
          </w:p>
        </w:tc>
        <w:tc>
          <w:tcPr>
            <w:tcW w:w="1418" w:type="dxa"/>
            <w:shd w:val="clear" w:color="auto" w:fill="FFFFFF"/>
            <w:tcMar>
              <w:top w:w="80" w:type="dxa"/>
              <w:left w:w="80" w:type="dxa"/>
              <w:bottom w:w="80" w:type="dxa"/>
              <w:right w:w="80" w:type="dxa"/>
            </w:tcMar>
            <w:vAlign w:val="center"/>
          </w:tcPr>
          <w:p w14:paraId="425DBC39" w14:textId="77777777" w:rsidR="00185FDF" w:rsidRPr="006F225A" w:rsidRDefault="00185FDF" w:rsidP="009B5C6E">
            <w:pPr>
              <w:pStyle w:val="Default"/>
              <w:autoSpaceDE w:val="0"/>
              <w:autoSpaceDN w:val="0"/>
              <w:adjustRightInd w:val="0"/>
              <w:snapToGrid w:val="0"/>
              <w:spacing w:before="0"/>
              <w:rPr>
                <w:rFonts w:ascii="Palatino Linotype" w:hAnsi="Palatino Linotype"/>
                <w:color w:val="auto"/>
                <w:sz w:val="17"/>
                <w:szCs w:val="17"/>
                <w:lang w:val="en-GB"/>
              </w:rPr>
            </w:pPr>
            <w:r w:rsidRPr="006F225A">
              <w:rPr>
                <w:rStyle w:val="None"/>
                <w:rFonts w:ascii="Palatino Linotype" w:hAnsi="Palatino Linotype"/>
                <w:color w:val="auto"/>
                <w:sz w:val="17"/>
                <w:szCs w:val="17"/>
                <w:shd w:val="clear" w:color="auto" w:fill="FFFFFF"/>
                <w:lang w:val="en-GB"/>
              </w:rPr>
              <w:t xml:space="preserve">39 (53%) </w:t>
            </w:r>
          </w:p>
        </w:tc>
        <w:tc>
          <w:tcPr>
            <w:tcW w:w="1417" w:type="dxa"/>
            <w:shd w:val="clear" w:color="auto" w:fill="FFFFFF"/>
            <w:tcMar>
              <w:top w:w="80" w:type="dxa"/>
              <w:left w:w="80" w:type="dxa"/>
              <w:bottom w:w="80" w:type="dxa"/>
              <w:right w:w="80" w:type="dxa"/>
            </w:tcMar>
            <w:vAlign w:val="center"/>
          </w:tcPr>
          <w:p w14:paraId="210AA409" w14:textId="77777777" w:rsidR="00185FDF" w:rsidRPr="006F225A" w:rsidRDefault="00185FDF" w:rsidP="009B5C6E">
            <w:pPr>
              <w:pStyle w:val="Default"/>
              <w:autoSpaceDE w:val="0"/>
              <w:autoSpaceDN w:val="0"/>
              <w:adjustRightInd w:val="0"/>
              <w:snapToGrid w:val="0"/>
              <w:spacing w:before="0"/>
              <w:rPr>
                <w:rFonts w:ascii="Palatino Linotype" w:hAnsi="Palatino Linotype"/>
                <w:color w:val="auto"/>
                <w:sz w:val="17"/>
                <w:szCs w:val="17"/>
                <w:lang w:val="en-GB"/>
              </w:rPr>
            </w:pPr>
            <w:r w:rsidRPr="006F225A">
              <w:rPr>
                <w:rStyle w:val="None"/>
                <w:rFonts w:ascii="Palatino Linotype" w:hAnsi="Palatino Linotype"/>
                <w:color w:val="auto"/>
                <w:sz w:val="17"/>
                <w:szCs w:val="17"/>
                <w:shd w:val="clear" w:color="auto" w:fill="FFFFFF"/>
                <w:lang w:val="en-GB"/>
              </w:rPr>
              <w:t>-</w:t>
            </w:r>
          </w:p>
        </w:tc>
        <w:tc>
          <w:tcPr>
            <w:tcW w:w="851" w:type="dxa"/>
            <w:shd w:val="clear" w:color="auto" w:fill="FFFFFF"/>
            <w:tcMar>
              <w:top w:w="80" w:type="dxa"/>
              <w:left w:w="80" w:type="dxa"/>
              <w:bottom w:w="80" w:type="dxa"/>
              <w:right w:w="80" w:type="dxa"/>
            </w:tcMar>
            <w:vAlign w:val="center"/>
          </w:tcPr>
          <w:p w14:paraId="3043B221" w14:textId="77777777" w:rsidR="00185FDF" w:rsidRPr="006F225A" w:rsidRDefault="00185FDF" w:rsidP="009B5C6E">
            <w:pPr>
              <w:pStyle w:val="Default"/>
              <w:autoSpaceDE w:val="0"/>
              <w:autoSpaceDN w:val="0"/>
              <w:adjustRightInd w:val="0"/>
              <w:snapToGrid w:val="0"/>
              <w:spacing w:before="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w:t>
            </w:r>
          </w:p>
        </w:tc>
        <w:tc>
          <w:tcPr>
            <w:tcW w:w="992" w:type="dxa"/>
            <w:shd w:val="clear" w:color="auto" w:fill="FFFFFF"/>
            <w:tcMar>
              <w:top w:w="80" w:type="dxa"/>
              <w:left w:w="80" w:type="dxa"/>
              <w:bottom w:w="80" w:type="dxa"/>
              <w:right w:w="80" w:type="dxa"/>
            </w:tcMar>
            <w:vAlign w:val="center"/>
          </w:tcPr>
          <w:p w14:paraId="3015730E" w14:textId="77777777" w:rsidR="00185FDF" w:rsidRPr="006F225A" w:rsidRDefault="00185FDF" w:rsidP="009B5C6E">
            <w:pPr>
              <w:pStyle w:val="Default"/>
              <w:autoSpaceDE w:val="0"/>
              <w:autoSpaceDN w:val="0"/>
              <w:adjustRightInd w:val="0"/>
              <w:snapToGrid w:val="0"/>
              <w:spacing w:before="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w:t>
            </w:r>
          </w:p>
        </w:tc>
        <w:tc>
          <w:tcPr>
            <w:tcW w:w="2977" w:type="dxa"/>
            <w:shd w:val="clear" w:color="auto" w:fill="FFFFFF"/>
            <w:tcMar>
              <w:top w:w="80" w:type="dxa"/>
              <w:left w:w="80" w:type="dxa"/>
              <w:bottom w:w="80" w:type="dxa"/>
              <w:right w:w="80" w:type="dxa"/>
            </w:tcMar>
            <w:vAlign w:val="center"/>
          </w:tcPr>
          <w:p w14:paraId="41EBBC79" w14:textId="77777777" w:rsidR="00185FDF" w:rsidRPr="006F225A" w:rsidRDefault="00185FDF" w:rsidP="009B5C6E">
            <w:pPr>
              <w:pStyle w:val="BodyA"/>
              <w:autoSpaceDE w:val="0"/>
              <w:autoSpaceDN w:val="0"/>
              <w:adjustRightInd w:val="0"/>
              <w:snapToGrid w:val="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Paediatric patients</w:t>
            </w:r>
            <w:r w:rsidRPr="006F225A">
              <w:rPr>
                <w:rStyle w:val="None"/>
                <w:rFonts w:ascii="Palatino Linotype" w:hAnsi="Palatino Linotype"/>
                <w:color w:val="auto"/>
                <w:sz w:val="17"/>
                <w:szCs w:val="17"/>
                <w:shd w:val="clear" w:color="auto" w:fill="FFFFFF"/>
                <w:lang w:val="en-GB"/>
              </w:rPr>
              <w:t xml:space="preserve"> hospitalised with laboratory-confirmed influenza</w:t>
            </w:r>
          </w:p>
        </w:tc>
      </w:tr>
      <w:tr w:rsidR="00207EA1" w:rsidRPr="006F225A" w14:paraId="4BC2BD4E" w14:textId="77777777" w:rsidTr="00716A4E">
        <w:trPr>
          <w:jc w:val="center"/>
        </w:trPr>
        <w:tc>
          <w:tcPr>
            <w:tcW w:w="1701" w:type="dxa"/>
            <w:shd w:val="clear" w:color="auto" w:fill="FFFFFF"/>
            <w:tcMar>
              <w:top w:w="80" w:type="dxa"/>
              <w:left w:w="80" w:type="dxa"/>
              <w:bottom w:w="80" w:type="dxa"/>
              <w:right w:w="80" w:type="dxa"/>
            </w:tcMar>
            <w:vAlign w:val="center"/>
          </w:tcPr>
          <w:p w14:paraId="1E5A913E" w14:textId="77777777" w:rsidR="00185FDF" w:rsidRPr="006F225A" w:rsidRDefault="00185FDF" w:rsidP="009B5C6E">
            <w:pPr>
              <w:pStyle w:val="Default"/>
              <w:autoSpaceDE w:val="0"/>
              <w:autoSpaceDN w:val="0"/>
              <w:adjustRightInd w:val="0"/>
              <w:snapToGrid w:val="0"/>
              <w:spacing w:before="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Kao et al., 2019</w:t>
            </w:r>
            <w:r w:rsidR="003221F8" w:rsidRPr="006F225A">
              <w:rPr>
                <w:rStyle w:val="None"/>
                <w:rFonts w:ascii="Palatino Linotype" w:hAnsi="Palatino Linotype"/>
                <w:color w:val="auto"/>
                <w:sz w:val="17"/>
                <w:szCs w:val="17"/>
                <w:lang w:val="en-GB"/>
              </w:rPr>
              <w:t xml:space="preserve"> [3</w:t>
            </w:r>
            <w:r w:rsidR="00120E5A" w:rsidRPr="006F225A">
              <w:rPr>
                <w:rStyle w:val="None"/>
                <w:rFonts w:ascii="Palatino Linotype" w:hAnsi="Palatino Linotype"/>
                <w:color w:val="auto"/>
                <w:sz w:val="17"/>
                <w:szCs w:val="17"/>
                <w:lang w:val="en-GB"/>
              </w:rPr>
              <w:t>0</w:t>
            </w:r>
            <w:r w:rsidR="003221F8" w:rsidRPr="006F225A">
              <w:rPr>
                <w:rStyle w:val="None"/>
                <w:rFonts w:ascii="Palatino Linotype" w:hAnsi="Palatino Linotype"/>
                <w:color w:val="auto"/>
                <w:sz w:val="17"/>
                <w:szCs w:val="17"/>
                <w:lang w:val="en-GB"/>
              </w:rPr>
              <w:t>]</w:t>
            </w:r>
          </w:p>
        </w:tc>
        <w:tc>
          <w:tcPr>
            <w:tcW w:w="1134" w:type="dxa"/>
            <w:shd w:val="clear" w:color="auto" w:fill="FFFFFF"/>
            <w:tcMar>
              <w:top w:w="80" w:type="dxa"/>
              <w:left w:w="80" w:type="dxa"/>
              <w:bottom w:w="80" w:type="dxa"/>
              <w:right w:w="80" w:type="dxa"/>
            </w:tcMar>
            <w:vAlign w:val="center"/>
          </w:tcPr>
          <w:p w14:paraId="1382AC20" w14:textId="77777777" w:rsidR="00185FDF" w:rsidRPr="006F225A" w:rsidRDefault="00185FDF" w:rsidP="009B5C6E">
            <w:pPr>
              <w:pStyle w:val="Default"/>
              <w:autoSpaceDE w:val="0"/>
              <w:autoSpaceDN w:val="0"/>
              <w:adjustRightInd w:val="0"/>
              <w:snapToGrid w:val="0"/>
              <w:spacing w:before="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44</w:t>
            </w:r>
          </w:p>
        </w:tc>
        <w:tc>
          <w:tcPr>
            <w:tcW w:w="1418" w:type="dxa"/>
            <w:shd w:val="clear" w:color="auto" w:fill="FFFFFF"/>
            <w:tcMar>
              <w:top w:w="80" w:type="dxa"/>
              <w:left w:w="80" w:type="dxa"/>
              <w:bottom w:w="80" w:type="dxa"/>
              <w:right w:w="80" w:type="dxa"/>
            </w:tcMar>
            <w:vAlign w:val="center"/>
          </w:tcPr>
          <w:p w14:paraId="17120EBC" w14:textId="77777777" w:rsidR="00185FDF" w:rsidRPr="006F225A" w:rsidRDefault="00185FDF" w:rsidP="009B5C6E">
            <w:pPr>
              <w:pStyle w:val="Default"/>
              <w:autoSpaceDE w:val="0"/>
              <w:autoSpaceDN w:val="0"/>
              <w:adjustRightInd w:val="0"/>
              <w:snapToGrid w:val="0"/>
              <w:spacing w:before="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69 (34%)</w:t>
            </w:r>
          </w:p>
        </w:tc>
        <w:tc>
          <w:tcPr>
            <w:tcW w:w="1417" w:type="dxa"/>
            <w:shd w:val="clear" w:color="auto" w:fill="FFFFFF"/>
            <w:tcMar>
              <w:top w:w="80" w:type="dxa"/>
              <w:left w:w="80" w:type="dxa"/>
              <w:bottom w:w="80" w:type="dxa"/>
              <w:right w:w="80" w:type="dxa"/>
            </w:tcMar>
            <w:vAlign w:val="center"/>
          </w:tcPr>
          <w:p w14:paraId="2ACC043C" w14:textId="77777777" w:rsidR="00185FDF" w:rsidRPr="006F225A" w:rsidRDefault="00185FDF" w:rsidP="009B5C6E">
            <w:pPr>
              <w:pStyle w:val="Default"/>
              <w:autoSpaceDE w:val="0"/>
              <w:autoSpaceDN w:val="0"/>
              <w:adjustRightInd w:val="0"/>
              <w:snapToGrid w:val="0"/>
              <w:spacing w:before="0"/>
              <w:rPr>
                <w:rFonts w:ascii="Palatino Linotype" w:hAnsi="Palatino Linotype"/>
                <w:color w:val="auto"/>
                <w:sz w:val="17"/>
                <w:szCs w:val="17"/>
                <w:lang w:val="en-GB"/>
              </w:rPr>
            </w:pPr>
            <w:r w:rsidRPr="006F225A">
              <w:rPr>
                <w:rStyle w:val="None"/>
                <w:rFonts w:ascii="Palatino Linotype" w:hAnsi="Palatino Linotype"/>
                <w:b/>
                <w:bCs/>
                <w:color w:val="auto"/>
                <w:sz w:val="17"/>
                <w:szCs w:val="17"/>
                <w:lang w:val="en-GB"/>
              </w:rPr>
              <w:t>-</w:t>
            </w:r>
          </w:p>
        </w:tc>
        <w:tc>
          <w:tcPr>
            <w:tcW w:w="851" w:type="dxa"/>
            <w:shd w:val="clear" w:color="auto" w:fill="FFFFFF"/>
            <w:tcMar>
              <w:top w:w="80" w:type="dxa"/>
              <w:left w:w="80" w:type="dxa"/>
              <w:bottom w:w="80" w:type="dxa"/>
              <w:right w:w="80" w:type="dxa"/>
            </w:tcMar>
            <w:vAlign w:val="center"/>
          </w:tcPr>
          <w:p w14:paraId="6FCB45A4" w14:textId="77777777" w:rsidR="00185FDF" w:rsidRPr="006F225A" w:rsidRDefault="00185FDF" w:rsidP="009B5C6E">
            <w:pPr>
              <w:pStyle w:val="Default"/>
              <w:autoSpaceDE w:val="0"/>
              <w:autoSpaceDN w:val="0"/>
              <w:adjustRightInd w:val="0"/>
              <w:snapToGrid w:val="0"/>
              <w:spacing w:before="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w:t>
            </w:r>
          </w:p>
        </w:tc>
        <w:tc>
          <w:tcPr>
            <w:tcW w:w="992" w:type="dxa"/>
            <w:shd w:val="clear" w:color="auto" w:fill="FFFFFF"/>
            <w:tcMar>
              <w:top w:w="80" w:type="dxa"/>
              <w:left w:w="80" w:type="dxa"/>
              <w:bottom w:w="80" w:type="dxa"/>
              <w:right w:w="80" w:type="dxa"/>
            </w:tcMar>
            <w:vAlign w:val="center"/>
          </w:tcPr>
          <w:p w14:paraId="643B883B" w14:textId="77777777" w:rsidR="00185FDF" w:rsidRPr="006F225A" w:rsidRDefault="00185FDF" w:rsidP="009B5C6E">
            <w:pPr>
              <w:pStyle w:val="Default"/>
              <w:autoSpaceDE w:val="0"/>
              <w:autoSpaceDN w:val="0"/>
              <w:adjustRightInd w:val="0"/>
              <w:snapToGrid w:val="0"/>
              <w:spacing w:before="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w:t>
            </w:r>
          </w:p>
        </w:tc>
        <w:tc>
          <w:tcPr>
            <w:tcW w:w="2977" w:type="dxa"/>
            <w:shd w:val="clear" w:color="auto" w:fill="FFFFFF"/>
            <w:tcMar>
              <w:top w:w="80" w:type="dxa"/>
              <w:left w:w="80" w:type="dxa"/>
              <w:bottom w:w="80" w:type="dxa"/>
              <w:right w:w="80" w:type="dxa"/>
            </w:tcMar>
            <w:vAlign w:val="center"/>
          </w:tcPr>
          <w:p w14:paraId="5AE62FC0" w14:textId="50BA5781" w:rsidR="00185FDF" w:rsidRPr="006F225A" w:rsidRDefault="00185FDF" w:rsidP="009B5C6E">
            <w:pPr>
              <w:pStyle w:val="BodyA"/>
              <w:autoSpaceDE w:val="0"/>
              <w:autoSpaceDN w:val="0"/>
              <w:adjustRightInd w:val="0"/>
              <w:snapToGrid w:val="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 xml:space="preserve">Paediatric patients with chronic neuromuscular disorder who visited </w:t>
            </w:r>
            <w:r w:rsidR="00CD4210" w:rsidRPr="006F225A">
              <w:rPr>
                <w:rStyle w:val="None"/>
                <w:rFonts w:ascii="Palatino Linotype" w:hAnsi="Palatino Linotype"/>
                <w:color w:val="auto"/>
                <w:sz w:val="17"/>
                <w:szCs w:val="17"/>
                <w:lang w:val="en-GB"/>
              </w:rPr>
              <w:t xml:space="preserve">the </w:t>
            </w:r>
            <w:r w:rsidRPr="006F225A">
              <w:rPr>
                <w:rStyle w:val="None"/>
                <w:rFonts w:ascii="Palatino Linotype" w:hAnsi="Palatino Linotype"/>
                <w:color w:val="auto"/>
                <w:sz w:val="17"/>
                <w:szCs w:val="17"/>
                <w:lang w:val="en-GB"/>
              </w:rPr>
              <w:t xml:space="preserve">emergency room </w:t>
            </w:r>
          </w:p>
        </w:tc>
      </w:tr>
      <w:tr w:rsidR="00207EA1" w:rsidRPr="006F225A" w14:paraId="558FDA7A" w14:textId="77777777" w:rsidTr="00716A4E">
        <w:trPr>
          <w:jc w:val="center"/>
        </w:trPr>
        <w:tc>
          <w:tcPr>
            <w:tcW w:w="1701" w:type="dxa"/>
            <w:shd w:val="clear" w:color="auto" w:fill="FFFFFF"/>
            <w:tcMar>
              <w:top w:w="80" w:type="dxa"/>
              <w:left w:w="80" w:type="dxa"/>
              <w:bottom w:w="80" w:type="dxa"/>
              <w:right w:w="80" w:type="dxa"/>
            </w:tcMar>
            <w:vAlign w:val="center"/>
          </w:tcPr>
          <w:p w14:paraId="08E52A0A" w14:textId="77777777" w:rsidR="00185FDF" w:rsidRPr="006F225A" w:rsidRDefault="00185FDF" w:rsidP="009B5C6E">
            <w:pPr>
              <w:pStyle w:val="BodyA"/>
              <w:autoSpaceDE w:val="0"/>
              <w:autoSpaceDN w:val="0"/>
              <w:adjustRightInd w:val="0"/>
              <w:snapToGrid w:val="0"/>
              <w:rPr>
                <w:rFonts w:ascii="Palatino Linotype" w:hAnsi="Palatino Linotype"/>
                <w:color w:val="auto"/>
                <w:sz w:val="17"/>
                <w:szCs w:val="17"/>
                <w:lang w:val="en-GB"/>
              </w:rPr>
            </w:pPr>
            <w:proofErr w:type="spellStart"/>
            <w:r w:rsidRPr="006F225A">
              <w:rPr>
                <w:rStyle w:val="None"/>
                <w:rFonts w:ascii="Palatino Linotype" w:hAnsi="Palatino Linotype"/>
                <w:color w:val="auto"/>
                <w:sz w:val="17"/>
                <w:szCs w:val="17"/>
                <w:lang w:val="en-GB"/>
              </w:rPr>
              <w:t>Fikrie</w:t>
            </w:r>
            <w:proofErr w:type="spellEnd"/>
            <w:r w:rsidRPr="006F225A">
              <w:rPr>
                <w:rStyle w:val="None"/>
                <w:rFonts w:ascii="Palatino Linotype" w:hAnsi="Palatino Linotype"/>
                <w:color w:val="auto"/>
                <w:sz w:val="17"/>
                <w:szCs w:val="17"/>
                <w:lang w:val="en-GB"/>
              </w:rPr>
              <w:t>, Alemayehu and Gebremedhin, 2019</w:t>
            </w:r>
            <w:r w:rsidR="003221F8" w:rsidRPr="006F225A">
              <w:rPr>
                <w:rStyle w:val="None"/>
                <w:rFonts w:ascii="Palatino Linotype" w:hAnsi="Palatino Linotype"/>
                <w:color w:val="auto"/>
                <w:sz w:val="17"/>
                <w:szCs w:val="17"/>
                <w:lang w:val="en-GB"/>
              </w:rPr>
              <w:t xml:space="preserve"> [3</w:t>
            </w:r>
            <w:r w:rsidR="00120E5A" w:rsidRPr="006F225A">
              <w:rPr>
                <w:rStyle w:val="None"/>
                <w:rFonts w:ascii="Palatino Linotype" w:hAnsi="Palatino Linotype"/>
                <w:color w:val="auto"/>
                <w:sz w:val="17"/>
                <w:szCs w:val="17"/>
                <w:lang w:val="en-GB"/>
              </w:rPr>
              <w:t>1</w:t>
            </w:r>
            <w:r w:rsidR="003221F8" w:rsidRPr="006F225A">
              <w:rPr>
                <w:rStyle w:val="None"/>
                <w:rFonts w:ascii="Palatino Linotype" w:hAnsi="Palatino Linotype"/>
                <w:color w:val="auto"/>
                <w:sz w:val="17"/>
                <w:szCs w:val="17"/>
                <w:lang w:val="en-GB"/>
              </w:rPr>
              <w:t>]</w:t>
            </w:r>
          </w:p>
        </w:tc>
        <w:tc>
          <w:tcPr>
            <w:tcW w:w="1134" w:type="dxa"/>
            <w:shd w:val="clear" w:color="auto" w:fill="FFFFFF"/>
            <w:tcMar>
              <w:top w:w="80" w:type="dxa"/>
              <w:left w:w="80" w:type="dxa"/>
              <w:bottom w:w="80" w:type="dxa"/>
              <w:right w:w="80" w:type="dxa"/>
            </w:tcMar>
            <w:vAlign w:val="center"/>
          </w:tcPr>
          <w:p w14:paraId="5A8A66CC" w14:textId="77777777" w:rsidR="00185FDF" w:rsidRPr="006F225A" w:rsidRDefault="00185FDF" w:rsidP="009B5C6E">
            <w:pPr>
              <w:pStyle w:val="Default"/>
              <w:autoSpaceDE w:val="0"/>
              <w:autoSpaceDN w:val="0"/>
              <w:adjustRightInd w:val="0"/>
              <w:snapToGrid w:val="0"/>
              <w:spacing w:before="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381</w:t>
            </w:r>
          </w:p>
        </w:tc>
        <w:tc>
          <w:tcPr>
            <w:tcW w:w="1418" w:type="dxa"/>
            <w:shd w:val="clear" w:color="auto" w:fill="FFFFFF"/>
            <w:tcMar>
              <w:top w:w="80" w:type="dxa"/>
              <w:left w:w="80" w:type="dxa"/>
              <w:bottom w:w="80" w:type="dxa"/>
              <w:right w:w="80" w:type="dxa"/>
            </w:tcMar>
            <w:vAlign w:val="center"/>
          </w:tcPr>
          <w:p w14:paraId="0A967D8C" w14:textId="77777777" w:rsidR="00185FDF" w:rsidRPr="006F225A" w:rsidRDefault="00185FDF" w:rsidP="009B5C6E">
            <w:pPr>
              <w:pStyle w:val="Default"/>
              <w:autoSpaceDE w:val="0"/>
              <w:autoSpaceDN w:val="0"/>
              <w:adjustRightInd w:val="0"/>
              <w:snapToGrid w:val="0"/>
              <w:spacing w:before="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 xml:space="preserve">87 (22.8%) </w:t>
            </w:r>
          </w:p>
        </w:tc>
        <w:tc>
          <w:tcPr>
            <w:tcW w:w="1417" w:type="dxa"/>
            <w:shd w:val="clear" w:color="auto" w:fill="FFFFFF"/>
            <w:tcMar>
              <w:top w:w="80" w:type="dxa"/>
              <w:left w:w="80" w:type="dxa"/>
              <w:bottom w:w="80" w:type="dxa"/>
              <w:right w:w="80" w:type="dxa"/>
            </w:tcMar>
            <w:vAlign w:val="center"/>
          </w:tcPr>
          <w:p w14:paraId="4A5B2ABE" w14:textId="77777777" w:rsidR="00185FDF" w:rsidRPr="006F225A" w:rsidRDefault="00185FDF" w:rsidP="009B5C6E">
            <w:pPr>
              <w:pStyle w:val="Default"/>
              <w:autoSpaceDE w:val="0"/>
              <w:autoSpaceDN w:val="0"/>
              <w:adjustRightInd w:val="0"/>
              <w:snapToGrid w:val="0"/>
              <w:spacing w:before="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w:t>
            </w:r>
          </w:p>
        </w:tc>
        <w:tc>
          <w:tcPr>
            <w:tcW w:w="851" w:type="dxa"/>
            <w:shd w:val="clear" w:color="auto" w:fill="FFFFFF"/>
            <w:tcMar>
              <w:top w:w="80" w:type="dxa"/>
              <w:left w:w="80" w:type="dxa"/>
              <w:bottom w:w="80" w:type="dxa"/>
              <w:right w:w="80" w:type="dxa"/>
            </w:tcMar>
            <w:vAlign w:val="center"/>
          </w:tcPr>
          <w:p w14:paraId="26838E6C" w14:textId="77777777" w:rsidR="00185FDF" w:rsidRPr="006F225A" w:rsidRDefault="00185FDF" w:rsidP="009B5C6E">
            <w:pPr>
              <w:pStyle w:val="Default"/>
              <w:autoSpaceDE w:val="0"/>
              <w:autoSpaceDN w:val="0"/>
              <w:adjustRightInd w:val="0"/>
              <w:snapToGrid w:val="0"/>
              <w:spacing w:before="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w:t>
            </w:r>
          </w:p>
        </w:tc>
        <w:tc>
          <w:tcPr>
            <w:tcW w:w="992" w:type="dxa"/>
            <w:shd w:val="clear" w:color="auto" w:fill="FFFFFF"/>
            <w:tcMar>
              <w:top w:w="80" w:type="dxa"/>
              <w:left w:w="80" w:type="dxa"/>
              <w:bottom w:w="80" w:type="dxa"/>
              <w:right w:w="80" w:type="dxa"/>
            </w:tcMar>
            <w:vAlign w:val="center"/>
          </w:tcPr>
          <w:p w14:paraId="1FFB7F15" w14:textId="77777777" w:rsidR="00185FDF" w:rsidRPr="006F225A" w:rsidRDefault="00185FDF" w:rsidP="009B5C6E">
            <w:pPr>
              <w:pStyle w:val="Default"/>
              <w:autoSpaceDE w:val="0"/>
              <w:autoSpaceDN w:val="0"/>
              <w:adjustRightInd w:val="0"/>
              <w:snapToGrid w:val="0"/>
              <w:spacing w:before="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w:t>
            </w:r>
          </w:p>
        </w:tc>
        <w:tc>
          <w:tcPr>
            <w:tcW w:w="2977" w:type="dxa"/>
            <w:shd w:val="clear" w:color="auto" w:fill="FFFFFF"/>
            <w:tcMar>
              <w:top w:w="80" w:type="dxa"/>
              <w:left w:w="80" w:type="dxa"/>
              <w:bottom w:w="80" w:type="dxa"/>
              <w:right w:w="80" w:type="dxa"/>
            </w:tcMar>
            <w:vAlign w:val="center"/>
          </w:tcPr>
          <w:p w14:paraId="0E4704CD" w14:textId="77777777" w:rsidR="00185FDF" w:rsidRPr="006F225A" w:rsidRDefault="00185FDF" w:rsidP="009B5C6E">
            <w:pPr>
              <w:pStyle w:val="BodyA"/>
              <w:autoSpaceDE w:val="0"/>
              <w:autoSpaceDN w:val="0"/>
              <w:adjustRightInd w:val="0"/>
              <w:snapToGrid w:val="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 xml:space="preserve">Paediatric patients hospitalised with Severe Acute Malnutrition </w:t>
            </w:r>
          </w:p>
        </w:tc>
      </w:tr>
      <w:tr w:rsidR="00207EA1" w:rsidRPr="006F225A" w14:paraId="7F11C8E0" w14:textId="77777777" w:rsidTr="00716A4E">
        <w:trPr>
          <w:jc w:val="center"/>
        </w:trPr>
        <w:tc>
          <w:tcPr>
            <w:tcW w:w="1701" w:type="dxa"/>
            <w:shd w:val="clear" w:color="auto" w:fill="FFFFFF"/>
            <w:tcMar>
              <w:top w:w="80" w:type="dxa"/>
              <w:left w:w="80" w:type="dxa"/>
              <w:bottom w:w="80" w:type="dxa"/>
              <w:right w:w="80" w:type="dxa"/>
            </w:tcMar>
            <w:vAlign w:val="center"/>
          </w:tcPr>
          <w:p w14:paraId="0ABD6865" w14:textId="77777777" w:rsidR="00185FDF" w:rsidRPr="006F225A" w:rsidRDefault="00185FDF" w:rsidP="009B5C6E">
            <w:pPr>
              <w:pStyle w:val="BodyC"/>
              <w:autoSpaceDE w:val="0"/>
              <w:autoSpaceDN w:val="0"/>
              <w:adjustRightInd w:val="0"/>
              <w:snapToGrid w:val="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Oakley et al., 2016</w:t>
            </w:r>
            <w:r w:rsidR="003221F8" w:rsidRPr="006F225A">
              <w:rPr>
                <w:rStyle w:val="None"/>
                <w:rFonts w:ascii="Palatino Linotype" w:hAnsi="Palatino Linotype"/>
                <w:color w:val="auto"/>
                <w:sz w:val="17"/>
                <w:szCs w:val="17"/>
                <w:lang w:val="en-GB"/>
              </w:rPr>
              <w:t xml:space="preserve"> [3</w:t>
            </w:r>
            <w:r w:rsidR="00120E5A" w:rsidRPr="006F225A">
              <w:rPr>
                <w:rStyle w:val="None"/>
                <w:rFonts w:ascii="Palatino Linotype" w:hAnsi="Palatino Linotype"/>
                <w:color w:val="auto"/>
                <w:sz w:val="17"/>
                <w:szCs w:val="17"/>
                <w:lang w:val="en-GB"/>
              </w:rPr>
              <w:t>3</w:t>
            </w:r>
            <w:r w:rsidR="003221F8" w:rsidRPr="006F225A">
              <w:rPr>
                <w:rStyle w:val="None"/>
                <w:rFonts w:ascii="Palatino Linotype" w:hAnsi="Palatino Linotype"/>
                <w:color w:val="auto"/>
                <w:sz w:val="17"/>
                <w:szCs w:val="17"/>
                <w:lang w:val="en-GB"/>
              </w:rPr>
              <w:t>]</w:t>
            </w:r>
          </w:p>
        </w:tc>
        <w:tc>
          <w:tcPr>
            <w:tcW w:w="1134" w:type="dxa"/>
            <w:shd w:val="clear" w:color="auto" w:fill="FFFFFF"/>
            <w:tcMar>
              <w:top w:w="80" w:type="dxa"/>
              <w:left w:w="80" w:type="dxa"/>
              <w:bottom w:w="80" w:type="dxa"/>
              <w:right w:w="80" w:type="dxa"/>
            </w:tcMar>
            <w:vAlign w:val="center"/>
          </w:tcPr>
          <w:p w14:paraId="1F5A97A7" w14:textId="77777777" w:rsidR="00185FDF" w:rsidRPr="006F225A" w:rsidRDefault="00185FDF" w:rsidP="009B5C6E">
            <w:pPr>
              <w:pStyle w:val="BodyC"/>
              <w:autoSpaceDE w:val="0"/>
              <w:autoSpaceDN w:val="0"/>
              <w:adjustRightInd w:val="0"/>
              <w:snapToGrid w:val="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491</w:t>
            </w:r>
          </w:p>
        </w:tc>
        <w:tc>
          <w:tcPr>
            <w:tcW w:w="1418" w:type="dxa"/>
            <w:shd w:val="clear" w:color="auto" w:fill="FFFFFF"/>
            <w:tcMar>
              <w:top w:w="80" w:type="dxa"/>
              <w:left w:w="80" w:type="dxa"/>
              <w:bottom w:w="80" w:type="dxa"/>
              <w:right w:w="80" w:type="dxa"/>
            </w:tcMar>
            <w:vAlign w:val="center"/>
          </w:tcPr>
          <w:p w14:paraId="7178948B" w14:textId="77777777" w:rsidR="00185FDF" w:rsidRPr="006F225A" w:rsidRDefault="00185FDF" w:rsidP="009B5C6E">
            <w:pPr>
              <w:pStyle w:val="BodyC"/>
              <w:autoSpaceDE w:val="0"/>
              <w:autoSpaceDN w:val="0"/>
              <w:adjustRightInd w:val="0"/>
              <w:snapToGrid w:val="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65(31%)</w:t>
            </w:r>
          </w:p>
        </w:tc>
        <w:tc>
          <w:tcPr>
            <w:tcW w:w="1417" w:type="dxa"/>
            <w:shd w:val="clear" w:color="auto" w:fill="FFFFFF"/>
            <w:tcMar>
              <w:top w:w="80" w:type="dxa"/>
              <w:left w:w="80" w:type="dxa"/>
              <w:bottom w:w="80" w:type="dxa"/>
              <w:right w:w="80" w:type="dxa"/>
            </w:tcMar>
            <w:vAlign w:val="center"/>
          </w:tcPr>
          <w:p w14:paraId="39E77F26" w14:textId="77777777" w:rsidR="00185FDF" w:rsidRPr="006F225A" w:rsidRDefault="00185FDF" w:rsidP="009B5C6E">
            <w:pPr>
              <w:pStyle w:val="BodyC"/>
              <w:autoSpaceDE w:val="0"/>
              <w:autoSpaceDN w:val="0"/>
              <w:adjustRightInd w:val="0"/>
              <w:snapToGrid w:val="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w:t>
            </w:r>
          </w:p>
        </w:tc>
        <w:tc>
          <w:tcPr>
            <w:tcW w:w="851" w:type="dxa"/>
            <w:shd w:val="clear" w:color="auto" w:fill="FFFFFF"/>
            <w:tcMar>
              <w:top w:w="80" w:type="dxa"/>
              <w:left w:w="80" w:type="dxa"/>
              <w:bottom w:w="80" w:type="dxa"/>
              <w:right w:w="80" w:type="dxa"/>
            </w:tcMar>
            <w:vAlign w:val="center"/>
          </w:tcPr>
          <w:p w14:paraId="0105A8F4" w14:textId="77777777" w:rsidR="00185FDF" w:rsidRPr="006F225A" w:rsidRDefault="00185FDF" w:rsidP="009B5C6E">
            <w:pPr>
              <w:pStyle w:val="BodyC"/>
              <w:autoSpaceDE w:val="0"/>
              <w:autoSpaceDN w:val="0"/>
              <w:adjustRightInd w:val="0"/>
              <w:snapToGrid w:val="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w:t>
            </w:r>
          </w:p>
        </w:tc>
        <w:tc>
          <w:tcPr>
            <w:tcW w:w="992" w:type="dxa"/>
            <w:shd w:val="clear" w:color="auto" w:fill="FFFFFF"/>
            <w:tcMar>
              <w:top w:w="80" w:type="dxa"/>
              <w:left w:w="80" w:type="dxa"/>
              <w:bottom w:w="80" w:type="dxa"/>
              <w:right w:w="80" w:type="dxa"/>
            </w:tcMar>
            <w:vAlign w:val="center"/>
          </w:tcPr>
          <w:p w14:paraId="512F4B71" w14:textId="77777777" w:rsidR="00185FDF" w:rsidRPr="006F225A" w:rsidRDefault="00185FDF" w:rsidP="009B5C6E">
            <w:pPr>
              <w:pStyle w:val="BodyC"/>
              <w:autoSpaceDE w:val="0"/>
              <w:autoSpaceDN w:val="0"/>
              <w:adjustRightInd w:val="0"/>
              <w:snapToGrid w:val="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w:t>
            </w:r>
          </w:p>
        </w:tc>
        <w:tc>
          <w:tcPr>
            <w:tcW w:w="2977" w:type="dxa"/>
            <w:shd w:val="clear" w:color="auto" w:fill="FFFFFF"/>
            <w:tcMar>
              <w:top w:w="80" w:type="dxa"/>
              <w:left w:w="80" w:type="dxa"/>
              <w:bottom w:w="80" w:type="dxa"/>
              <w:right w:w="80" w:type="dxa"/>
            </w:tcMar>
            <w:vAlign w:val="center"/>
          </w:tcPr>
          <w:p w14:paraId="1E6E0DBD" w14:textId="77777777" w:rsidR="009B2673" w:rsidRPr="006F225A" w:rsidRDefault="00185FDF" w:rsidP="009B5C6E">
            <w:pPr>
              <w:pStyle w:val="BodyA"/>
              <w:autoSpaceDE w:val="0"/>
              <w:autoSpaceDN w:val="0"/>
              <w:adjustRightInd w:val="0"/>
              <w:snapToGrid w:val="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 xml:space="preserve">Paediatric patients hospitalised with bronchiolitis </w:t>
            </w:r>
          </w:p>
        </w:tc>
      </w:tr>
      <w:tr w:rsidR="00207EA1" w:rsidRPr="006F225A" w14:paraId="2947C13E" w14:textId="77777777" w:rsidTr="00716A4E">
        <w:trPr>
          <w:jc w:val="center"/>
        </w:trPr>
        <w:tc>
          <w:tcPr>
            <w:tcW w:w="1701" w:type="dxa"/>
            <w:shd w:val="clear" w:color="auto" w:fill="FFFFFF"/>
            <w:tcMar>
              <w:top w:w="80" w:type="dxa"/>
              <w:left w:w="80" w:type="dxa"/>
              <w:bottom w:w="80" w:type="dxa"/>
              <w:right w:w="80" w:type="dxa"/>
            </w:tcMar>
            <w:vAlign w:val="center"/>
          </w:tcPr>
          <w:p w14:paraId="68542292" w14:textId="77777777" w:rsidR="00F365BC" w:rsidRPr="006F225A" w:rsidRDefault="00F365BC" w:rsidP="009B5C6E">
            <w:pPr>
              <w:pStyle w:val="BodyA"/>
              <w:autoSpaceDE w:val="0"/>
              <w:autoSpaceDN w:val="0"/>
              <w:adjustRightInd w:val="0"/>
              <w:snapToGrid w:val="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Hasan et al., 2021 [39]</w:t>
            </w:r>
          </w:p>
        </w:tc>
        <w:tc>
          <w:tcPr>
            <w:tcW w:w="1134" w:type="dxa"/>
            <w:shd w:val="clear" w:color="auto" w:fill="FFFFFF"/>
            <w:tcMar>
              <w:top w:w="80" w:type="dxa"/>
              <w:left w:w="80" w:type="dxa"/>
              <w:bottom w:w="80" w:type="dxa"/>
              <w:right w:w="80" w:type="dxa"/>
            </w:tcMar>
            <w:vAlign w:val="center"/>
          </w:tcPr>
          <w:p w14:paraId="7EBF3C23" w14:textId="77777777" w:rsidR="00F365BC" w:rsidRPr="006F225A" w:rsidRDefault="00F365BC" w:rsidP="009B5C6E">
            <w:pPr>
              <w:pStyle w:val="BodyA"/>
              <w:autoSpaceDE w:val="0"/>
              <w:autoSpaceDN w:val="0"/>
              <w:adjustRightInd w:val="0"/>
              <w:snapToGrid w:val="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1531</w:t>
            </w:r>
          </w:p>
        </w:tc>
        <w:tc>
          <w:tcPr>
            <w:tcW w:w="1418" w:type="dxa"/>
            <w:shd w:val="clear" w:color="auto" w:fill="FFFFFF"/>
            <w:tcMar>
              <w:top w:w="80" w:type="dxa"/>
              <w:left w:w="80" w:type="dxa"/>
              <w:bottom w:w="80" w:type="dxa"/>
              <w:right w:w="80" w:type="dxa"/>
            </w:tcMar>
            <w:vAlign w:val="center"/>
          </w:tcPr>
          <w:p w14:paraId="097309A6" w14:textId="77777777" w:rsidR="00F365BC" w:rsidRPr="006F225A" w:rsidRDefault="00F365BC" w:rsidP="009B5C6E">
            <w:pPr>
              <w:pStyle w:val="BodyA"/>
              <w:autoSpaceDE w:val="0"/>
              <w:autoSpaceDN w:val="0"/>
              <w:adjustRightInd w:val="0"/>
              <w:snapToGrid w:val="0"/>
              <w:rPr>
                <w:rStyle w:val="None"/>
                <w:rFonts w:ascii="Palatino Linotype" w:eastAsia="Arial" w:hAnsi="Palatino Linotype" w:cs="Arial"/>
                <w:color w:val="auto"/>
                <w:sz w:val="17"/>
                <w:szCs w:val="17"/>
                <w:lang w:val="en-GB"/>
              </w:rPr>
            </w:pPr>
            <w:r w:rsidRPr="006F225A">
              <w:rPr>
                <w:rStyle w:val="None"/>
                <w:rFonts w:ascii="Palatino Linotype" w:hAnsi="Palatino Linotype"/>
                <w:color w:val="auto"/>
                <w:sz w:val="17"/>
                <w:szCs w:val="17"/>
                <w:lang w:val="en-GB"/>
              </w:rPr>
              <w:t>Patients during 2018 epidemic (n = 562)</w:t>
            </w:r>
          </w:p>
          <w:p w14:paraId="1D45CD65" w14:textId="77777777" w:rsidR="00F365BC" w:rsidRPr="006F225A" w:rsidRDefault="00F365BC" w:rsidP="009B5C6E">
            <w:pPr>
              <w:pStyle w:val="BodyA"/>
              <w:autoSpaceDE w:val="0"/>
              <w:autoSpaceDN w:val="0"/>
              <w:adjustRightInd w:val="0"/>
              <w:snapToGrid w:val="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333 (59.3%)</w:t>
            </w:r>
          </w:p>
        </w:tc>
        <w:tc>
          <w:tcPr>
            <w:tcW w:w="1417" w:type="dxa"/>
            <w:shd w:val="clear" w:color="auto" w:fill="FFFFFF"/>
            <w:tcMar>
              <w:top w:w="80" w:type="dxa"/>
              <w:left w:w="80" w:type="dxa"/>
              <w:bottom w:w="80" w:type="dxa"/>
              <w:right w:w="80" w:type="dxa"/>
            </w:tcMar>
            <w:vAlign w:val="center"/>
          </w:tcPr>
          <w:p w14:paraId="19E555FD" w14:textId="77777777" w:rsidR="00F365BC" w:rsidRPr="006F225A" w:rsidRDefault="00F365BC" w:rsidP="009B5C6E">
            <w:pPr>
              <w:pStyle w:val="BodyA"/>
              <w:autoSpaceDE w:val="0"/>
              <w:autoSpaceDN w:val="0"/>
              <w:adjustRightInd w:val="0"/>
              <w:snapToGrid w:val="0"/>
              <w:rPr>
                <w:rStyle w:val="None"/>
                <w:rFonts w:ascii="Palatino Linotype" w:eastAsia="Arial" w:hAnsi="Palatino Linotype" w:cs="Arial"/>
                <w:color w:val="auto"/>
                <w:sz w:val="17"/>
                <w:szCs w:val="17"/>
                <w:lang w:val="en-GB"/>
              </w:rPr>
            </w:pPr>
            <w:r w:rsidRPr="006F225A">
              <w:rPr>
                <w:rStyle w:val="None"/>
                <w:rFonts w:ascii="Palatino Linotype" w:hAnsi="Palatino Linotype"/>
                <w:color w:val="auto"/>
                <w:sz w:val="17"/>
                <w:szCs w:val="17"/>
                <w:lang w:val="en-GB"/>
              </w:rPr>
              <w:t>Patients during the seasonally matched periods (n = 969)</w:t>
            </w:r>
          </w:p>
          <w:p w14:paraId="0E208A87" w14:textId="77777777" w:rsidR="00F365BC" w:rsidRPr="006F225A" w:rsidRDefault="00F365BC" w:rsidP="009B5C6E">
            <w:pPr>
              <w:pStyle w:val="BodyA"/>
              <w:autoSpaceDE w:val="0"/>
              <w:autoSpaceDN w:val="0"/>
              <w:adjustRightInd w:val="0"/>
              <w:snapToGrid w:val="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450 (46.4%)</w:t>
            </w:r>
          </w:p>
        </w:tc>
        <w:tc>
          <w:tcPr>
            <w:tcW w:w="851" w:type="dxa"/>
            <w:shd w:val="clear" w:color="auto" w:fill="FFFFFF"/>
            <w:tcMar>
              <w:top w:w="80" w:type="dxa"/>
              <w:left w:w="80" w:type="dxa"/>
              <w:bottom w:w="80" w:type="dxa"/>
              <w:right w:w="80" w:type="dxa"/>
            </w:tcMar>
            <w:vAlign w:val="center"/>
          </w:tcPr>
          <w:p w14:paraId="116F18B0" w14:textId="77777777" w:rsidR="00F365BC" w:rsidRPr="006F225A" w:rsidRDefault="00F365BC" w:rsidP="009B5C6E">
            <w:pPr>
              <w:pStyle w:val="BodyB"/>
              <w:autoSpaceDE w:val="0"/>
              <w:autoSpaceDN w:val="0"/>
              <w:adjustRightInd w:val="0"/>
              <w:snapToGrid w:val="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783 (51%)</w:t>
            </w:r>
          </w:p>
        </w:tc>
        <w:tc>
          <w:tcPr>
            <w:tcW w:w="992" w:type="dxa"/>
            <w:shd w:val="clear" w:color="auto" w:fill="FFFFFF"/>
            <w:tcMar>
              <w:top w:w="80" w:type="dxa"/>
              <w:left w:w="80" w:type="dxa"/>
              <w:bottom w:w="80" w:type="dxa"/>
              <w:right w:w="80" w:type="dxa"/>
            </w:tcMar>
            <w:vAlign w:val="center"/>
          </w:tcPr>
          <w:p w14:paraId="6E12E1E4" w14:textId="77777777" w:rsidR="00F365BC" w:rsidRPr="006F225A" w:rsidRDefault="00F365BC" w:rsidP="009B5C6E">
            <w:pPr>
              <w:pStyle w:val="BodyB"/>
              <w:autoSpaceDE w:val="0"/>
              <w:autoSpaceDN w:val="0"/>
              <w:adjustRightInd w:val="0"/>
              <w:snapToGrid w:val="0"/>
              <w:rPr>
                <w:rStyle w:val="None"/>
                <w:rFonts w:ascii="Palatino Linotype" w:eastAsia="Arial" w:hAnsi="Palatino Linotype" w:cs="Arial"/>
                <w:color w:val="auto"/>
                <w:sz w:val="17"/>
                <w:szCs w:val="17"/>
                <w:lang w:val="en-GB"/>
              </w:rPr>
            </w:pPr>
            <w:r w:rsidRPr="006F225A">
              <w:rPr>
                <w:rStyle w:val="None"/>
                <w:rFonts w:ascii="Palatino Linotype" w:hAnsi="Palatino Linotype"/>
                <w:color w:val="auto"/>
                <w:sz w:val="17"/>
                <w:szCs w:val="17"/>
                <w:lang w:val="en-GB"/>
              </w:rPr>
              <w:t xml:space="preserve">OR 95%CI </w:t>
            </w:r>
          </w:p>
          <w:p w14:paraId="6570CC61" w14:textId="7D2DCC47" w:rsidR="00F365BC" w:rsidRPr="006F225A" w:rsidRDefault="00F365BC" w:rsidP="009B5C6E">
            <w:pPr>
              <w:pStyle w:val="BodyB"/>
              <w:autoSpaceDE w:val="0"/>
              <w:autoSpaceDN w:val="0"/>
              <w:adjustRightInd w:val="0"/>
              <w:snapToGrid w:val="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1.7 (1.</w:t>
            </w:r>
            <w:r w:rsidR="0056360D" w:rsidRPr="006F225A">
              <w:rPr>
                <w:rStyle w:val="None"/>
                <w:rFonts w:ascii="Palatino Linotype" w:hAnsi="Palatino Linotype"/>
                <w:color w:val="auto"/>
                <w:sz w:val="17"/>
                <w:szCs w:val="17"/>
                <w:lang w:val="en-GB"/>
              </w:rPr>
              <w:t>4–2</w:t>
            </w:r>
            <w:r w:rsidRPr="006F225A">
              <w:rPr>
                <w:rStyle w:val="None"/>
                <w:rFonts w:ascii="Palatino Linotype" w:hAnsi="Palatino Linotype"/>
                <w:color w:val="auto"/>
                <w:sz w:val="17"/>
                <w:szCs w:val="17"/>
                <w:lang w:val="en-GB"/>
              </w:rPr>
              <w:t>.1)</w:t>
            </w:r>
          </w:p>
        </w:tc>
        <w:tc>
          <w:tcPr>
            <w:tcW w:w="2977" w:type="dxa"/>
            <w:shd w:val="clear" w:color="auto" w:fill="FFFFFF"/>
            <w:tcMar>
              <w:top w:w="80" w:type="dxa"/>
              <w:left w:w="80" w:type="dxa"/>
              <w:bottom w:w="80" w:type="dxa"/>
              <w:right w:w="80" w:type="dxa"/>
            </w:tcMar>
            <w:vAlign w:val="center"/>
          </w:tcPr>
          <w:p w14:paraId="335D9C73" w14:textId="77777777" w:rsidR="00F365BC" w:rsidRPr="006F225A" w:rsidRDefault="00F365BC" w:rsidP="009B5C6E">
            <w:pPr>
              <w:pStyle w:val="BodyA"/>
              <w:autoSpaceDE w:val="0"/>
              <w:autoSpaceDN w:val="0"/>
              <w:adjustRightInd w:val="0"/>
              <w:snapToGrid w:val="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Paediatric and adult patients hospitalised with diarrhoea during epidemic</w:t>
            </w:r>
          </w:p>
        </w:tc>
      </w:tr>
      <w:tr w:rsidR="00207EA1" w:rsidRPr="006F225A" w14:paraId="67A65BCD" w14:textId="77777777" w:rsidTr="00716A4E">
        <w:trPr>
          <w:jc w:val="center"/>
        </w:trPr>
        <w:tc>
          <w:tcPr>
            <w:tcW w:w="1701" w:type="dxa"/>
            <w:shd w:val="clear" w:color="auto" w:fill="FFFFFF"/>
            <w:tcMar>
              <w:top w:w="80" w:type="dxa"/>
              <w:left w:w="80" w:type="dxa"/>
              <w:bottom w:w="80" w:type="dxa"/>
              <w:right w:w="80" w:type="dxa"/>
            </w:tcMar>
            <w:vAlign w:val="center"/>
          </w:tcPr>
          <w:p w14:paraId="40CD3CB8" w14:textId="77777777" w:rsidR="00F365BC" w:rsidRPr="006F225A" w:rsidRDefault="00F365BC" w:rsidP="009B5C6E">
            <w:pPr>
              <w:pStyle w:val="BodyA"/>
              <w:autoSpaceDE w:val="0"/>
              <w:autoSpaceDN w:val="0"/>
              <w:adjustRightInd w:val="0"/>
              <w:snapToGrid w:val="0"/>
              <w:rPr>
                <w:rFonts w:ascii="Palatino Linotype" w:hAnsi="Palatino Linotype"/>
                <w:color w:val="auto"/>
                <w:sz w:val="17"/>
                <w:szCs w:val="17"/>
                <w:lang w:val="en-GB"/>
              </w:rPr>
            </w:pPr>
            <w:proofErr w:type="spellStart"/>
            <w:r w:rsidRPr="006F225A">
              <w:rPr>
                <w:rStyle w:val="None"/>
                <w:rFonts w:ascii="Palatino Linotype" w:hAnsi="Palatino Linotype"/>
                <w:color w:val="auto"/>
                <w:sz w:val="17"/>
                <w:szCs w:val="17"/>
                <w:shd w:val="clear" w:color="auto" w:fill="FFFFFF"/>
                <w:lang w:val="en-GB"/>
              </w:rPr>
              <w:lastRenderedPageBreak/>
              <w:t>Marra</w:t>
            </w:r>
            <w:proofErr w:type="spellEnd"/>
            <w:r w:rsidRPr="006F225A">
              <w:rPr>
                <w:rStyle w:val="None"/>
                <w:rFonts w:ascii="Palatino Linotype" w:hAnsi="Palatino Linotype"/>
                <w:color w:val="auto"/>
                <w:sz w:val="17"/>
                <w:szCs w:val="17"/>
                <w:shd w:val="clear" w:color="auto" w:fill="FFFFFF"/>
                <w:lang w:val="en-GB"/>
              </w:rPr>
              <w:t xml:space="preserve"> et al., 2011 [35]</w:t>
            </w:r>
          </w:p>
        </w:tc>
        <w:tc>
          <w:tcPr>
            <w:tcW w:w="1134" w:type="dxa"/>
            <w:shd w:val="clear" w:color="auto" w:fill="FFFFFF"/>
            <w:tcMar>
              <w:top w:w="80" w:type="dxa"/>
              <w:left w:w="80" w:type="dxa"/>
              <w:bottom w:w="80" w:type="dxa"/>
              <w:right w:w="80" w:type="dxa"/>
            </w:tcMar>
            <w:vAlign w:val="center"/>
          </w:tcPr>
          <w:p w14:paraId="1C9F267A" w14:textId="77777777" w:rsidR="00F365BC" w:rsidRPr="006F225A" w:rsidRDefault="00F365BC" w:rsidP="009B5C6E">
            <w:pPr>
              <w:pStyle w:val="BodyA"/>
              <w:autoSpaceDE w:val="0"/>
              <w:autoSpaceDN w:val="0"/>
              <w:adjustRightInd w:val="0"/>
              <w:snapToGrid w:val="0"/>
              <w:rPr>
                <w:rFonts w:ascii="Palatino Linotype" w:hAnsi="Palatino Linotype"/>
                <w:color w:val="auto"/>
                <w:sz w:val="17"/>
                <w:szCs w:val="17"/>
                <w:lang w:val="en-GB"/>
              </w:rPr>
            </w:pPr>
            <w:r w:rsidRPr="006F225A">
              <w:rPr>
                <w:rStyle w:val="None"/>
                <w:rFonts w:ascii="Palatino Linotype" w:hAnsi="Palatino Linotype"/>
                <w:color w:val="auto"/>
                <w:sz w:val="17"/>
                <w:szCs w:val="17"/>
                <w:shd w:val="clear" w:color="auto" w:fill="FFFFFF"/>
                <w:lang w:val="en-GB"/>
              </w:rPr>
              <w:t>3393</w:t>
            </w:r>
          </w:p>
        </w:tc>
        <w:tc>
          <w:tcPr>
            <w:tcW w:w="1418" w:type="dxa"/>
            <w:shd w:val="clear" w:color="auto" w:fill="FFFFFF"/>
            <w:tcMar>
              <w:top w:w="80" w:type="dxa"/>
              <w:left w:w="80" w:type="dxa"/>
              <w:bottom w:w="80" w:type="dxa"/>
              <w:right w:w="80" w:type="dxa"/>
            </w:tcMar>
            <w:vAlign w:val="center"/>
          </w:tcPr>
          <w:p w14:paraId="2093E2AD" w14:textId="77777777" w:rsidR="00F365BC" w:rsidRPr="006F225A" w:rsidRDefault="00F365BC" w:rsidP="009B5C6E">
            <w:pPr>
              <w:pStyle w:val="BodyA"/>
              <w:autoSpaceDE w:val="0"/>
              <w:autoSpaceDN w:val="0"/>
              <w:adjustRightInd w:val="0"/>
              <w:snapToGrid w:val="0"/>
              <w:rPr>
                <w:rFonts w:ascii="Palatino Linotype" w:hAnsi="Palatino Linotype"/>
                <w:color w:val="auto"/>
                <w:sz w:val="17"/>
                <w:szCs w:val="17"/>
                <w:lang w:val="en-GB"/>
              </w:rPr>
            </w:pPr>
            <w:r w:rsidRPr="006F225A">
              <w:rPr>
                <w:rStyle w:val="None"/>
                <w:rFonts w:ascii="Palatino Linotype" w:hAnsi="Palatino Linotype"/>
                <w:color w:val="auto"/>
                <w:sz w:val="17"/>
                <w:szCs w:val="17"/>
                <w:shd w:val="clear" w:color="auto" w:fill="FFFFFF"/>
                <w:lang w:val="en-GB"/>
              </w:rPr>
              <w:t xml:space="preserve">824 (24.3%) </w:t>
            </w:r>
          </w:p>
        </w:tc>
        <w:tc>
          <w:tcPr>
            <w:tcW w:w="1417" w:type="dxa"/>
            <w:shd w:val="clear" w:color="auto" w:fill="FFFFFF"/>
            <w:tcMar>
              <w:top w:w="80" w:type="dxa"/>
              <w:left w:w="80" w:type="dxa"/>
              <w:bottom w:w="80" w:type="dxa"/>
              <w:right w:w="80" w:type="dxa"/>
            </w:tcMar>
            <w:vAlign w:val="center"/>
          </w:tcPr>
          <w:p w14:paraId="646BBDD8" w14:textId="77777777" w:rsidR="00F365BC" w:rsidRPr="006F225A" w:rsidRDefault="00F365BC" w:rsidP="009B5C6E">
            <w:pPr>
              <w:pStyle w:val="BodyA"/>
              <w:autoSpaceDE w:val="0"/>
              <w:autoSpaceDN w:val="0"/>
              <w:adjustRightInd w:val="0"/>
              <w:snapToGrid w:val="0"/>
              <w:rPr>
                <w:rFonts w:ascii="Palatino Linotype" w:hAnsi="Palatino Linotype"/>
                <w:color w:val="auto"/>
                <w:sz w:val="17"/>
                <w:szCs w:val="17"/>
                <w:lang w:val="en-GB"/>
              </w:rPr>
            </w:pPr>
            <w:r w:rsidRPr="006F225A">
              <w:rPr>
                <w:rStyle w:val="None"/>
                <w:rFonts w:ascii="Palatino Linotype" w:hAnsi="Palatino Linotype"/>
                <w:color w:val="auto"/>
                <w:sz w:val="17"/>
                <w:szCs w:val="17"/>
                <w:shd w:val="clear" w:color="auto" w:fill="FFFFFF"/>
                <w:lang w:val="en-GB"/>
              </w:rPr>
              <w:t xml:space="preserve"> -</w:t>
            </w:r>
          </w:p>
        </w:tc>
        <w:tc>
          <w:tcPr>
            <w:tcW w:w="851" w:type="dxa"/>
            <w:shd w:val="clear" w:color="auto" w:fill="FFFFFF"/>
            <w:tcMar>
              <w:top w:w="80" w:type="dxa"/>
              <w:left w:w="80" w:type="dxa"/>
              <w:bottom w:w="80" w:type="dxa"/>
              <w:right w:w="80" w:type="dxa"/>
            </w:tcMar>
            <w:vAlign w:val="center"/>
          </w:tcPr>
          <w:p w14:paraId="145EEDC0" w14:textId="77777777" w:rsidR="00F365BC" w:rsidRPr="006F225A" w:rsidRDefault="00F365BC" w:rsidP="009B5C6E">
            <w:pPr>
              <w:pStyle w:val="BodyB"/>
              <w:autoSpaceDE w:val="0"/>
              <w:autoSpaceDN w:val="0"/>
              <w:adjustRightInd w:val="0"/>
              <w:snapToGrid w:val="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w:t>
            </w:r>
          </w:p>
        </w:tc>
        <w:tc>
          <w:tcPr>
            <w:tcW w:w="992" w:type="dxa"/>
            <w:shd w:val="clear" w:color="auto" w:fill="FFFFFF"/>
            <w:tcMar>
              <w:top w:w="80" w:type="dxa"/>
              <w:left w:w="80" w:type="dxa"/>
              <w:bottom w:w="80" w:type="dxa"/>
              <w:right w:w="80" w:type="dxa"/>
            </w:tcMar>
            <w:vAlign w:val="center"/>
          </w:tcPr>
          <w:p w14:paraId="18D38FE8" w14:textId="77777777" w:rsidR="00F365BC" w:rsidRPr="006F225A" w:rsidRDefault="00F365BC" w:rsidP="009B5C6E">
            <w:pPr>
              <w:pStyle w:val="BodyB"/>
              <w:autoSpaceDE w:val="0"/>
              <w:autoSpaceDN w:val="0"/>
              <w:adjustRightInd w:val="0"/>
              <w:snapToGrid w:val="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w:t>
            </w:r>
          </w:p>
        </w:tc>
        <w:tc>
          <w:tcPr>
            <w:tcW w:w="2977" w:type="dxa"/>
            <w:shd w:val="clear" w:color="auto" w:fill="FFFFFF"/>
            <w:tcMar>
              <w:top w:w="80" w:type="dxa"/>
              <w:left w:w="80" w:type="dxa"/>
              <w:bottom w:w="80" w:type="dxa"/>
              <w:right w:w="80" w:type="dxa"/>
            </w:tcMar>
            <w:vAlign w:val="center"/>
          </w:tcPr>
          <w:p w14:paraId="074470C1" w14:textId="77777777" w:rsidR="00F365BC" w:rsidRPr="006F225A" w:rsidRDefault="00F365BC" w:rsidP="009B5C6E">
            <w:pPr>
              <w:pStyle w:val="BodyA"/>
              <w:autoSpaceDE w:val="0"/>
              <w:autoSpaceDN w:val="0"/>
              <w:adjustRightInd w:val="0"/>
              <w:snapToGrid w:val="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Paediatric and adult patients</w:t>
            </w:r>
            <w:r w:rsidRPr="006F225A">
              <w:rPr>
                <w:rStyle w:val="None"/>
                <w:rFonts w:ascii="Palatino Linotype" w:hAnsi="Palatino Linotype"/>
                <w:color w:val="auto"/>
                <w:sz w:val="17"/>
                <w:szCs w:val="17"/>
                <w:shd w:val="clear" w:color="auto" w:fill="FFFFFF"/>
                <w:lang w:val="en-GB"/>
              </w:rPr>
              <w:t xml:space="preserve"> treated in the hydration tent during dengue fever epidemic </w:t>
            </w:r>
          </w:p>
        </w:tc>
      </w:tr>
      <w:tr w:rsidR="00207EA1" w:rsidRPr="006F225A" w14:paraId="686F8B82" w14:textId="77777777" w:rsidTr="00716A4E">
        <w:trPr>
          <w:jc w:val="center"/>
        </w:trPr>
        <w:tc>
          <w:tcPr>
            <w:tcW w:w="1701" w:type="dxa"/>
            <w:shd w:val="clear" w:color="auto" w:fill="FFFFFF"/>
            <w:tcMar>
              <w:top w:w="80" w:type="dxa"/>
              <w:left w:w="80" w:type="dxa"/>
              <w:bottom w:w="80" w:type="dxa"/>
              <w:right w:w="80" w:type="dxa"/>
            </w:tcMar>
            <w:vAlign w:val="center"/>
          </w:tcPr>
          <w:p w14:paraId="741CB072" w14:textId="77777777" w:rsidR="00F365BC" w:rsidRPr="006F225A" w:rsidRDefault="00F365BC" w:rsidP="009B5C6E">
            <w:pPr>
              <w:pStyle w:val="BodyA"/>
              <w:autoSpaceDE w:val="0"/>
              <w:autoSpaceDN w:val="0"/>
              <w:adjustRightInd w:val="0"/>
              <w:snapToGrid w:val="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Tewari et al., 2018 [36]</w:t>
            </w:r>
          </w:p>
        </w:tc>
        <w:tc>
          <w:tcPr>
            <w:tcW w:w="1134" w:type="dxa"/>
            <w:shd w:val="clear" w:color="auto" w:fill="FFFFFF"/>
            <w:tcMar>
              <w:top w:w="80" w:type="dxa"/>
              <w:left w:w="80" w:type="dxa"/>
              <w:bottom w:w="80" w:type="dxa"/>
              <w:right w:w="80" w:type="dxa"/>
            </w:tcMar>
            <w:vAlign w:val="center"/>
          </w:tcPr>
          <w:p w14:paraId="0BA9F19D" w14:textId="77777777" w:rsidR="00F365BC" w:rsidRPr="006F225A" w:rsidRDefault="00F365BC" w:rsidP="009B5C6E">
            <w:pPr>
              <w:pStyle w:val="BodyA"/>
              <w:autoSpaceDE w:val="0"/>
              <w:autoSpaceDN w:val="0"/>
              <w:adjustRightInd w:val="0"/>
              <w:snapToGrid w:val="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500</w:t>
            </w:r>
          </w:p>
        </w:tc>
        <w:tc>
          <w:tcPr>
            <w:tcW w:w="1418" w:type="dxa"/>
            <w:shd w:val="clear" w:color="auto" w:fill="FFFFFF"/>
            <w:tcMar>
              <w:top w:w="80" w:type="dxa"/>
              <w:left w:w="80" w:type="dxa"/>
              <w:bottom w:w="80" w:type="dxa"/>
              <w:right w:w="80" w:type="dxa"/>
            </w:tcMar>
            <w:vAlign w:val="center"/>
          </w:tcPr>
          <w:p w14:paraId="11A6D29A" w14:textId="77777777" w:rsidR="00F365BC" w:rsidRPr="006F225A" w:rsidRDefault="00F365BC" w:rsidP="009B5C6E">
            <w:pPr>
              <w:pStyle w:val="BodyA"/>
              <w:autoSpaceDE w:val="0"/>
              <w:autoSpaceDN w:val="0"/>
              <w:adjustRightInd w:val="0"/>
              <w:snapToGrid w:val="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 xml:space="preserve">45 (9.2%) </w:t>
            </w:r>
          </w:p>
        </w:tc>
        <w:tc>
          <w:tcPr>
            <w:tcW w:w="1417" w:type="dxa"/>
            <w:shd w:val="clear" w:color="auto" w:fill="FFFFFF"/>
            <w:tcMar>
              <w:top w:w="80" w:type="dxa"/>
              <w:left w:w="80" w:type="dxa"/>
              <w:bottom w:w="80" w:type="dxa"/>
              <w:right w:w="80" w:type="dxa"/>
            </w:tcMar>
            <w:vAlign w:val="center"/>
          </w:tcPr>
          <w:p w14:paraId="47EA2B1F" w14:textId="77777777" w:rsidR="00F365BC" w:rsidRPr="006F225A" w:rsidRDefault="00F365BC" w:rsidP="009B5C6E">
            <w:pPr>
              <w:pStyle w:val="BodyA"/>
              <w:autoSpaceDE w:val="0"/>
              <w:autoSpaceDN w:val="0"/>
              <w:adjustRightInd w:val="0"/>
              <w:snapToGrid w:val="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w:t>
            </w:r>
          </w:p>
        </w:tc>
        <w:tc>
          <w:tcPr>
            <w:tcW w:w="851" w:type="dxa"/>
            <w:shd w:val="clear" w:color="auto" w:fill="FFFFFF"/>
            <w:tcMar>
              <w:top w:w="80" w:type="dxa"/>
              <w:left w:w="80" w:type="dxa"/>
              <w:bottom w:w="80" w:type="dxa"/>
              <w:right w:w="80" w:type="dxa"/>
            </w:tcMar>
            <w:vAlign w:val="center"/>
          </w:tcPr>
          <w:p w14:paraId="7D85218B" w14:textId="77777777" w:rsidR="00F365BC" w:rsidRPr="006F225A" w:rsidRDefault="00F365BC" w:rsidP="009B5C6E">
            <w:pPr>
              <w:pStyle w:val="BodyB"/>
              <w:autoSpaceDE w:val="0"/>
              <w:autoSpaceDN w:val="0"/>
              <w:adjustRightInd w:val="0"/>
              <w:snapToGrid w:val="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w:t>
            </w:r>
          </w:p>
        </w:tc>
        <w:tc>
          <w:tcPr>
            <w:tcW w:w="992" w:type="dxa"/>
            <w:shd w:val="clear" w:color="auto" w:fill="FFFFFF"/>
            <w:tcMar>
              <w:top w:w="80" w:type="dxa"/>
              <w:left w:w="80" w:type="dxa"/>
              <w:bottom w:w="80" w:type="dxa"/>
              <w:right w:w="80" w:type="dxa"/>
            </w:tcMar>
            <w:vAlign w:val="center"/>
          </w:tcPr>
          <w:p w14:paraId="7764D72A" w14:textId="77777777" w:rsidR="00F365BC" w:rsidRPr="006F225A" w:rsidRDefault="00F365BC" w:rsidP="009B5C6E">
            <w:pPr>
              <w:pStyle w:val="BodyB"/>
              <w:autoSpaceDE w:val="0"/>
              <w:autoSpaceDN w:val="0"/>
              <w:adjustRightInd w:val="0"/>
              <w:snapToGrid w:val="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w:t>
            </w:r>
          </w:p>
        </w:tc>
        <w:tc>
          <w:tcPr>
            <w:tcW w:w="2977" w:type="dxa"/>
            <w:shd w:val="clear" w:color="auto" w:fill="FFFFFF"/>
            <w:tcMar>
              <w:top w:w="80" w:type="dxa"/>
              <w:left w:w="80" w:type="dxa"/>
              <w:bottom w:w="80" w:type="dxa"/>
              <w:right w:w="80" w:type="dxa"/>
            </w:tcMar>
            <w:vAlign w:val="center"/>
          </w:tcPr>
          <w:p w14:paraId="729F6841" w14:textId="77777777" w:rsidR="00F365BC" w:rsidRPr="006F225A" w:rsidRDefault="00F365BC" w:rsidP="009B5C6E">
            <w:pPr>
              <w:pStyle w:val="BodyA"/>
              <w:autoSpaceDE w:val="0"/>
              <w:autoSpaceDN w:val="0"/>
              <w:adjustRightInd w:val="0"/>
              <w:snapToGrid w:val="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Paediatric and adult patients hospitalised with fever and other signs of dengue</w:t>
            </w:r>
          </w:p>
        </w:tc>
      </w:tr>
      <w:tr w:rsidR="00207EA1" w:rsidRPr="006F225A" w14:paraId="55082759" w14:textId="77777777" w:rsidTr="00716A4E">
        <w:trPr>
          <w:jc w:val="center"/>
        </w:trPr>
        <w:tc>
          <w:tcPr>
            <w:tcW w:w="1701" w:type="dxa"/>
            <w:shd w:val="clear" w:color="auto" w:fill="FFFFFF"/>
            <w:tcMar>
              <w:top w:w="80" w:type="dxa"/>
              <w:left w:w="80" w:type="dxa"/>
              <w:bottom w:w="80" w:type="dxa"/>
              <w:right w:w="80" w:type="dxa"/>
            </w:tcMar>
            <w:vAlign w:val="center"/>
          </w:tcPr>
          <w:p w14:paraId="1A47EAD9" w14:textId="77777777" w:rsidR="00F365BC" w:rsidRPr="006F225A" w:rsidRDefault="00F365BC" w:rsidP="009B5C6E">
            <w:pPr>
              <w:pStyle w:val="BodyA"/>
              <w:autoSpaceDE w:val="0"/>
              <w:autoSpaceDN w:val="0"/>
              <w:adjustRightInd w:val="0"/>
              <w:snapToGrid w:val="0"/>
              <w:rPr>
                <w:rFonts w:ascii="Palatino Linotype" w:hAnsi="Palatino Linotype"/>
                <w:color w:val="auto"/>
                <w:sz w:val="17"/>
                <w:szCs w:val="17"/>
                <w:lang w:val="en-GB"/>
              </w:rPr>
            </w:pPr>
            <w:proofErr w:type="spellStart"/>
            <w:r w:rsidRPr="006F225A">
              <w:rPr>
                <w:rStyle w:val="None"/>
                <w:rFonts w:ascii="Palatino Linotype" w:hAnsi="Palatino Linotype"/>
                <w:color w:val="auto"/>
                <w:sz w:val="17"/>
                <w:szCs w:val="17"/>
                <w:lang w:val="en-GB"/>
              </w:rPr>
              <w:t>Thronaes</w:t>
            </w:r>
            <w:proofErr w:type="spellEnd"/>
            <w:r w:rsidRPr="006F225A">
              <w:rPr>
                <w:rStyle w:val="None"/>
                <w:rFonts w:ascii="Palatino Linotype" w:hAnsi="Palatino Linotype"/>
                <w:color w:val="auto"/>
                <w:sz w:val="17"/>
                <w:szCs w:val="17"/>
                <w:lang w:val="en-GB"/>
              </w:rPr>
              <w:t xml:space="preserve"> et al., 2021 [34]</w:t>
            </w:r>
          </w:p>
        </w:tc>
        <w:tc>
          <w:tcPr>
            <w:tcW w:w="1134" w:type="dxa"/>
            <w:shd w:val="clear" w:color="auto" w:fill="FFFFFF"/>
            <w:tcMar>
              <w:top w:w="80" w:type="dxa"/>
              <w:left w:w="80" w:type="dxa"/>
              <w:bottom w:w="80" w:type="dxa"/>
              <w:right w:w="80" w:type="dxa"/>
            </w:tcMar>
            <w:vAlign w:val="center"/>
          </w:tcPr>
          <w:p w14:paraId="54093A88" w14:textId="77777777" w:rsidR="00F365BC" w:rsidRPr="006F225A" w:rsidRDefault="00F365BC" w:rsidP="009B5C6E">
            <w:pPr>
              <w:pStyle w:val="BodyA"/>
              <w:autoSpaceDE w:val="0"/>
              <w:autoSpaceDN w:val="0"/>
              <w:adjustRightInd w:val="0"/>
              <w:snapToGrid w:val="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451</w:t>
            </w:r>
          </w:p>
        </w:tc>
        <w:tc>
          <w:tcPr>
            <w:tcW w:w="1418" w:type="dxa"/>
            <w:shd w:val="clear" w:color="auto" w:fill="FFFFFF"/>
            <w:tcMar>
              <w:top w:w="80" w:type="dxa"/>
              <w:left w:w="80" w:type="dxa"/>
              <w:bottom w:w="80" w:type="dxa"/>
              <w:right w:w="80" w:type="dxa"/>
            </w:tcMar>
            <w:vAlign w:val="center"/>
          </w:tcPr>
          <w:p w14:paraId="011759FD" w14:textId="77777777" w:rsidR="00F365BC" w:rsidRPr="006F225A" w:rsidRDefault="00F365BC" w:rsidP="009B5C6E">
            <w:pPr>
              <w:pStyle w:val="BodyA"/>
              <w:autoSpaceDE w:val="0"/>
              <w:autoSpaceDN w:val="0"/>
              <w:adjustRightInd w:val="0"/>
              <w:snapToGrid w:val="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 xml:space="preserve">203 (45%) </w:t>
            </w:r>
          </w:p>
        </w:tc>
        <w:tc>
          <w:tcPr>
            <w:tcW w:w="1417" w:type="dxa"/>
            <w:shd w:val="clear" w:color="auto" w:fill="FFFFFF"/>
            <w:tcMar>
              <w:top w:w="80" w:type="dxa"/>
              <w:left w:w="80" w:type="dxa"/>
              <w:bottom w:w="80" w:type="dxa"/>
              <w:right w:w="80" w:type="dxa"/>
            </w:tcMar>
            <w:vAlign w:val="center"/>
          </w:tcPr>
          <w:p w14:paraId="77E3E592" w14:textId="77777777" w:rsidR="00F365BC" w:rsidRPr="006F225A" w:rsidRDefault="00F365BC" w:rsidP="009B5C6E">
            <w:pPr>
              <w:pStyle w:val="BodyA"/>
              <w:autoSpaceDE w:val="0"/>
              <w:autoSpaceDN w:val="0"/>
              <w:adjustRightInd w:val="0"/>
              <w:snapToGrid w:val="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w:t>
            </w:r>
          </w:p>
        </w:tc>
        <w:tc>
          <w:tcPr>
            <w:tcW w:w="851" w:type="dxa"/>
            <w:shd w:val="clear" w:color="auto" w:fill="FFFFFF"/>
            <w:tcMar>
              <w:top w:w="80" w:type="dxa"/>
              <w:left w:w="80" w:type="dxa"/>
              <w:bottom w:w="80" w:type="dxa"/>
              <w:right w:w="80" w:type="dxa"/>
            </w:tcMar>
            <w:vAlign w:val="center"/>
          </w:tcPr>
          <w:p w14:paraId="7CEB07C0" w14:textId="77777777" w:rsidR="00F365BC" w:rsidRPr="006F225A" w:rsidRDefault="00F365BC" w:rsidP="009B5C6E">
            <w:pPr>
              <w:pStyle w:val="BodyB"/>
              <w:autoSpaceDE w:val="0"/>
              <w:autoSpaceDN w:val="0"/>
              <w:adjustRightInd w:val="0"/>
              <w:snapToGrid w:val="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w:t>
            </w:r>
          </w:p>
        </w:tc>
        <w:tc>
          <w:tcPr>
            <w:tcW w:w="992" w:type="dxa"/>
            <w:shd w:val="clear" w:color="auto" w:fill="FFFFFF"/>
            <w:tcMar>
              <w:top w:w="80" w:type="dxa"/>
              <w:left w:w="80" w:type="dxa"/>
              <w:bottom w:w="80" w:type="dxa"/>
              <w:right w:w="80" w:type="dxa"/>
            </w:tcMar>
            <w:vAlign w:val="center"/>
          </w:tcPr>
          <w:p w14:paraId="5F9543EA" w14:textId="77777777" w:rsidR="00F365BC" w:rsidRPr="006F225A" w:rsidRDefault="00F365BC" w:rsidP="009B5C6E">
            <w:pPr>
              <w:pStyle w:val="BodyB"/>
              <w:autoSpaceDE w:val="0"/>
              <w:autoSpaceDN w:val="0"/>
              <w:adjustRightInd w:val="0"/>
              <w:snapToGrid w:val="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w:t>
            </w:r>
          </w:p>
        </w:tc>
        <w:tc>
          <w:tcPr>
            <w:tcW w:w="2977" w:type="dxa"/>
            <w:shd w:val="clear" w:color="auto" w:fill="FFFFFF"/>
            <w:tcMar>
              <w:top w:w="80" w:type="dxa"/>
              <w:left w:w="80" w:type="dxa"/>
              <w:bottom w:w="80" w:type="dxa"/>
              <w:right w:w="80" w:type="dxa"/>
            </w:tcMar>
            <w:vAlign w:val="center"/>
          </w:tcPr>
          <w:p w14:paraId="7C5B48E3" w14:textId="77777777" w:rsidR="00F365BC" w:rsidRPr="006F225A" w:rsidRDefault="00F365BC" w:rsidP="009B5C6E">
            <w:pPr>
              <w:pStyle w:val="BodyA"/>
              <w:autoSpaceDE w:val="0"/>
              <w:autoSpaceDN w:val="0"/>
              <w:adjustRightInd w:val="0"/>
              <w:snapToGrid w:val="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 xml:space="preserve">Adult patients with incurable cancer </w:t>
            </w:r>
          </w:p>
        </w:tc>
      </w:tr>
      <w:tr w:rsidR="00207EA1" w:rsidRPr="006F225A" w14:paraId="36D4D25D" w14:textId="77777777" w:rsidTr="00716A4E">
        <w:trPr>
          <w:jc w:val="center"/>
        </w:trPr>
        <w:tc>
          <w:tcPr>
            <w:tcW w:w="1701" w:type="dxa"/>
            <w:shd w:val="clear" w:color="auto" w:fill="FFFFFF"/>
            <w:tcMar>
              <w:top w:w="80" w:type="dxa"/>
              <w:left w:w="80" w:type="dxa"/>
              <w:bottom w:w="80" w:type="dxa"/>
              <w:right w:w="80" w:type="dxa"/>
            </w:tcMar>
            <w:vAlign w:val="center"/>
          </w:tcPr>
          <w:p w14:paraId="34DA56FA" w14:textId="77777777" w:rsidR="00F365BC" w:rsidRPr="006F225A" w:rsidRDefault="00F365BC" w:rsidP="009B5C6E">
            <w:pPr>
              <w:pStyle w:val="BodyA"/>
              <w:autoSpaceDE w:val="0"/>
              <w:autoSpaceDN w:val="0"/>
              <w:adjustRightInd w:val="0"/>
              <w:snapToGrid w:val="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Spiller et al., 2009 [38]</w:t>
            </w:r>
          </w:p>
        </w:tc>
        <w:tc>
          <w:tcPr>
            <w:tcW w:w="1134" w:type="dxa"/>
            <w:shd w:val="clear" w:color="auto" w:fill="FFFFFF"/>
            <w:tcMar>
              <w:top w:w="80" w:type="dxa"/>
              <w:left w:w="80" w:type="dxa"/>
              <w:bottom w:w="80" w:type="dxa"/>
              <w:right w:w="80" w:type="dxa"/>
            </w:tcMar>
            <w:vAlign w:val="center"/>
          </w:tcPr>
          <w:p w14:paraId="37477FE6" w14:textId="77777777" w:rsidR="00F365BC" w:rsidRPr="006F225A" w:rsidRDefault="00F365BC" w:rsidP="009B5C6E">
            <w:pPr>
              <w:pStyle w:val="BodyA"/>
              <w:autoSpaceDE w:val="0"/>
              <w:autoSpaceDN w:val="0"/>
              <w:adjustRightInd w:val="0"/>
              <w:snapToGrid w:val="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137</w:t>
            </w:r>
          </w:p>
        </w:tc>
        <w:tc>
          <w:tcPr>
            <w:tcW w:w="1418" w:type="dxa"/>
            <w:shd w:val="clear" w:color="auto" w:fill="FFFFFF"/>
            <w:tcMar>
              <w:top w:w="80" w:type="dxa"/>
              <w:left w:w="80" w:type="dxa"/>
              <w:bottom w:w="80" w:type="dxa"/>
              <w:right w:w="80" w:type="dxa"/>
            </w:tcMar>
            <w:vAlign w:val="center"/>
          </w:tcPr>
          <w:p w14:paraId="4D02748B" w14:textId="77777777" w:rsidR="00F365BC" w:rsidRPr="006F225A" w:rsidRDefault="00F365BC" w:rsidP="009B5C6E">
            <w:pPr>
              <w:pStyle w:val="BodyA"/>
              <w:autoSpaceDE w:val="0"/>
              <w:autoSpaceDN w:val="0"/>
              <w:adjustRightInd w:val="0"/>
              <w:snapToGrid w:val="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2 (1.5%)</w:t>
            </w:r>
          </w:p>
        </w:tc>
        <w:tc>
          <w:tcPr>
            <w:tcW w:w="1417" w:type="dxa"/>
            <w:shd w:val="clear" w:color="auto" w:fill="FFFFFF"/>
            <w:tcMar>
              <w:top w:w="80" w:type="dxa"/>
              <w:left w:w="80" w:type="dxa"/>
              <w:bottom w:w="80" w:type="dxa"/>
              <w:right w:w="80" w:type="dxa"/>
            </w:tcMar>
            <w:vAlign w:val="center"/>
          </w:tcPr>
          <w:p w14:paraId="723DD81A" w14:textId="77777777" w:rsidR="00F365BC" w:rsidRPr="006F225A" w:rsidRDefault="00F365BC" w:rsidP="009B5C6E">
            <w:pPr>
              <w:pStyle w:val="BodyA"/>
              <w:autoSpaceDE w:val="0"/>
              <w:autoSpaceDN w:val="0"/>
              <w:adjustRightInd w:val="0"/>
              <w:snapToGrid w:val="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w:t>
            </w:r>
          </w:p>
        </w:tc>
        <w:tc>
          <w:tcPr>
            <w:tcW w:w="851" w:type="dxa"/>
            <w:shd w:val="clear" w:color="auto" w:fill="FFFFFF"/>
            <w:tcMar>
              <w:top w:w="80" w:type="dxa"/>
              <w:left w:w="80" w:type="dxa"/>
              <w:bottom w:w="80" w:type="dxa"/>
              <w:right w:w="80" w:type="dxa"/>
            </w:tcMar>
            <w:vAlign w:val="center"/>
          </w:tcPr>
          <w:p w14:paraId="499854F5" w14:textId="77777777" w:rsidR="00F365BC" w:rsidRPr="006F225A" w:rsidRDefault="00F365BC" w:rsidP="009B5C6E">
            <w:pPr>
              <w:pStyle w:val="BodyB"/>
              <w:autoSpaceDE w:val="0"/>
              <w:autoSpaceDN w:val="0"/>
              <w:adjustRightInd w:val="0"/>
              <w:snapToGrid w:val="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w:t>
            </w:r>
          </w:p>
        </w:tc>
        <w:tc>
          <w:tcPr>
            <w:tcW w:w="992" w:type="dxa"/>
            <w:shd w:val="clear" w:color="auto" w:fill="FFFFFF"/>
            <w:tcMar>
              <w:top w:w="80" w:type="dxa"/>
              <w:left w:w="80" w:type="dxa"/>
              <w:bottom w:w="80" w:type="dxa"/>
              <w:right w:w="80" w:type="dxa"/>
            </w:tcMar>
            <w:vAlign w:val="center"/>
          </w:tcPr>
          <w:p w14:paraId="74000A0D" w14:textId="77777777" w:rsidR="00F365BC" w:rsidRPr="006F225A" w:rsidRDefault="00F365BC" w:rsidP="009B5C6E">
            <w:pPr>
              <w:pStyle w:val="BodyB"/>
              <w:autoSpaceDE w:val="0"/>
              <w:autoSpaceDN w:val="0"/>
              <w:adjustRightInd w:val="0"/>
              <w:snapToGrid w:val="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w:t>
            </w:r>
          </w:p>
        </w:tc>
        <w:tc>
          <w:tcPr>
            <w:tcW w:w="2977" w:type="dxa"/>
            <w:shd w:val="clear" w:color="auto" w:fill="FFFFFF"/>
            <w:tcMar>
              <w:top w:w="80" w:type="dxa"/>
              <w:left w:w="80" w:type="dxa"/>
              <w:bottom w:w="80" w:type="dxa"/>
              <w:right w:w="80" w:type="dxa"/>
            </w:tcMar>
            <w:vAlign w:val="center"/>
          </w:tcPr>
          <w:p w14:paraId="408E86C4" w14:textId="77777777" w:rsidR="00F365BC" w:rsidRPr="006F225A" w:rsidRDefault="00F365BC" w:rsidP="009B5C6E">
            <w:pPr>
              <w:pStyle w:val="BodyA"/>
              <w:autoSpaceDE w:val="0"/>
              <w:autoSpaceDN w:val="0"/>
              <w:adjustRightInd w:val="0"/>
              <w:snapToGrid w:val="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 xml:space="preserve">Adult patients who had single substance ingestion of </w:t>
            </w:r>
            <w:proofErr w:type="spellStart"/>
            <w:r w:rsidRPr="006F225A">
              <w:rPr>
                <w:rStyle w:val="None"/>
                <w:rFonts w:ascii="Palatino Linotype" w:hAnsi="Palatino Linotype"/>
                <w:color w:val="auto"/>
                <w:sz w:val="17"/>
                <w:szCs w:val="17"/>
                <w:lang w:val="en-GB"/>
              </w:rPr>
              <w:t>modafanil</w:t>
            </w:r>
            <w:proofErr w:type="spellEnd"/>
          </w:p>
        </w:tc>
      </w:tr>
      <w:tr w:rsidR="00207EA1" w:rsidRPr="006F225A" w14:paraId="708C9A24" w14:textId="77777777" w:rsidTr="00716A4E">
        <w:trPr>
          <w:jc w:val="center"/>
        </w:trPr>
        <w:tc>
          <w:tcPr>
            <w:tcW w:w="1701" w:type="dxa"/>
            <w:shd w:val="clear" w:color="auto" w:fill="FFFFFF"/>
            <w:tcMar>
              <w:top w:w="80" w:type="dxa"/>
              <w:left w:w="80" w:type="dxa"/>
              <w:bottom w:w="80" w:type="dxa"/>
              <w:right w:w="80" w:type="dxa"/>
            </w:tcMar>
            <w:vAlign w:val="center"/>
          </w:tcPr>
          <w:p w14:paraId="1D97065D" w14:textId="77777777" w:rsidR="00F365BC" w:rsidRPr="006F225A" w:rsidRDefault="00F365BC" w:rsidP="009B5C6E">
            <w:pPr>
              <w:pStyle w:val="BodyA"/>
              <w:autoSpaceDE w:val="0"/>
              <w:autoSpaceDN w:val="0"/>
              <w:adjustRightInd w:val="0"/>
              <w:snapToGrid w:val="0"/>
              <w:rPr>
                <w:rFonts w:ascii="Palatino Linotype" w:hAnsi="Palatino Linotype"/>
                <w:color w:val="auto"/>
                <w:sz w:val="17"/>
                <w:szCs w:val="17"/>
                <w:lang w:val="en-GB"/>
              </w:rPr>
            </w:pPr>
            <w:r w:rsidRPr="006F225A">
              <w:rPr>
                <w:rStyle w:val="None"/>
                <w:rFonts w:ascii="Palatino Linotype" w:hAnsi="Palatino Linotype"/>
                <w:color w:val="auto"/>
                <w:sz w:val="17"/>
                <w:szCs w:val="17"/>
                <w:shd w:val="clear" w:color="auto" w:fill="FFFFFF"/>
                <w:lang w:val="en-GB"/>
              </w:rPr>
              <w:t>Blacklock et al., 2015 [37]</w:t>
            </w:r>
          </w:p>
        </w:tc>
        <w:tc>
          <w:tcPr>
            <w:tcW w:w="1134" w:type="dxa"/>
            <w:shd w:val="clear" w:color="auto" w:fill="FFFFFF"/>
            <w:tcMar>
              <w:top w:w="80" w:type="dxa"/>
              <w:left w:w="80" w:type="dxa"/>
              <w:bottom w:w="80" w:type="dxa"/>
              <w:right w:w="80" w:type="dxa"/>
            </w:tcMar>
            <w:vAlign w:val="center"/>
          </w:tcPr>
          <w:p w14:paraId="45DBE9B0" w14:textId="77777777" w:rsidR="00F365BC" w:rsidRPr="006F225A" w:rsidRDefault="00F365BC" w:rsidP="009B5C6E">
            <w:pPr>
              <w:pStyle w:val="BodyA"/>
              <w:autoSpaceDE w:val="0"/>
              <w:autoSpaceDN w:val="0"/>
              <w:adjustRightInd w:val="0"/>
              <w:snapToGrid w:val="0"/>
              <w:rPr>
                <w:rFonts w:ascii="Palatino Linotype" w:hAnsi="Palatino Linotype"/>
                <w:color w:val="auto"/>
                <w:sz w:val="17"/>
                <w:szCs w:val="17"/>
                <w:lang w:val="en-GB"/>
              </w:rPr>
            </w:pPr>
            <w:r w:rsidRPr="006F225A">
              <w:rPr>
                <w:rStyle w:val="None"/>
                <w:rFonts w:ascii="Palatino Linotype" w:hAnsi="Palatino Linotype"/>
                <w:color w:val="auto"/>
                <w:sz w:val="17"/>
                <w:szCs w:val="17"/>
                <w:shd w:val="clear" w:color="auto" w:fill="FFFFFF"/>
                <w:lang w:val="en-GB"/>
              </w:rPr>
              <w:t>798</w:t>
            </w:r>
          </w:p>
        </w:tc>
        <w:tc>
          <w:tcPr>
            <w:tcW w:w="1418" w:type="dxa"/>
            <w:shd w:val="clear" w:color="auto" w:fill="FFFFFF"/>
            <w:tcMar>
              <w:top w:w="80" w:type="dxa"/>
              <w:left w:w="80" w:type="dxa"/>
              <w:bottom w:w="80" w:type="dxa"/>
              <w:right w:w="80" w:type="dxa"/>
            </w:tcMar>
            <w:vAlign w:val="center"/>
          </w:tcPr>
          <w:p w14:paraId="20A0DEDB" w14:textId="77777777" w:rsidR="00F365BC" w:rsidRPr="006F225A" w:rsidRDefault="00F365BC" w:rsidP="009B5C6E">
            <w:pPr>
              <w:pStyle w:val="BodyA"/>
              <w:autoSpaceDE w:val="0"/>
              <w:autoSpaceDN w:val="0"/>
              <w:adjustRightInd w:val="0"/>
              <w:snapToGrid w:val="0"/>
              <w:rPr>
                <w:rFonts w:ascii="Palatino Linotype" w:hAnsi="Palatino Linotype"/>
                <w:color w:val="auto"/>
                <w:sz w:val="17"/>
                <w:szCs w:val="17"/>
                <w:lang w:val="en-GB"/>
              </w:rPr>
            </w:pPr>
            <w:r w:rsidRPr="006F225A">
              <w:rPr>
                <w:rStyle w:val="None"/>
                <w:rFonts w:ascii="Palatino Linotype" w:hAnsi="Palatino Linotype"/>
                <w:color w:val="auto"/>
                <w:sz w:val="17"/>
                <w:szCs w:val="17"/>
                <w:shd w:val="clear" w:color="auto" w:fill="FFFFFF"/>
                <w:lang w:val="en-GB"/>
              </w:rPr>
              <w:t xml:space="preserve">767 (96.1%) </w:t>
            </w:r>
          </w:p>
        </w:tc>
        <w:tc>
          <w:tcPr>
            <w:tcW w:w="1417" w:type="dxa"/>
            <w:shd w:val="clear" w:color="auto" w:fill="FFFFFF"/>
            <w:tcMar>
              <w:top w:w="80" w:type="dxa"/>
              <w:left w:w="80" w:type="dxa"/>
              <w:bottom w:w="80" w:type="dxa"/>
              <w:right w:w="80" w:type="dxa"/>
            </w:tcMar>
            <w:vAlign w:val="center"/>
          </w:tcPr>
          <w:p w14:paraId="569229D6" w14:textId="77777777" w:rsidR="00F365BC" w:rsidRPr="006F225A" w:rsidRDefault="00F365BC" w:rsidP="009B5C6E">
            <w:pPr>
              <w:pStyle w:val="BodyA"/>
              <w:autoSpaceDE w:val="0"/>
              <w:autoSpaceDN w:val="0"/>
              <w:adjustRightInd w:val="0"/>
              <w:snapToGrid w:val="0"/>
              <w:rPr>
                <w:rFonts w:ascii="Palatino Linotype" w:hAnsi="Palatino Linotype"/>
                <w:color w:val="auto"/>
                <w:sz w:val="17"/>
                <w:szCs w:val="17"/>
                <w:lang w:val="en-GB"/>
              </w:rPr>
            </w:pPr>
            <w:r w:rsidRPr="006F225A">
              <w:rPr>
                <w:rStyle w:val="None"/>
                <w:rFonts w:ascii="Palatino Linotype" w:hAnsi="Palatino Linotype"/>
                <w:color w:val="auto"/>
                <w:sz w:val="17"/>
                <w:szCs w:val="17"/>
                <w:shd w:val="clear" w:color="auto" w:fill="FFFFFF"/>
                <w:lang w:val="en-GB"/>
              </w:rPr>
              <w:t>-</w:t>
            </w:r>
          </w:p>
        </w:tc>
        <w:tc>
          <w:tcPr>
            <w:tcW w:w="851" w:type="dxa"/>
            <w:shd w:val="clear" w:color="auto" w:fill="FFFFFF"/>
            <w:tcMar>
              <w:top w:w="80" w:type="dxa"/>
              <w:left w:w="80" w:type="dxa"/>
              <w:bottom w:w="80" w:type="dxa"/>
              <w:right w:w="80" w:type="dxa"/>
            </w:tcMar>
            <w:vAlign w:val="center"/>
          </w:tcPr>
          <w:p w14:paraId="405BCC03" w14:textId="77777777" w:rsidR="00F365BC" w:rsidRPr="006F225A" w:rsidRDefault="00F365BC" w:rsidP="009B5C6E">
            <w:pPr>
              <w:pStyle w:val="BodyB"/>
              <w:autoSpaceDE w:val="0"/>
              <w:autoSpaceDN w:val="0"/>
              <w:adjustRightInd w:val="0"/>
              <w:snapToGrid w:val="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w:t>
            </w:r>
          </w:p>
        </w:tc>
        <w:tc>
          <w:tcPr>
            <w:tcW w:w="992" w:type="dxa"/>
            <w:shd w:val="clear" w:color="auto" w:fill="FFFFFF"/>
            <w:tcMar>
              <w:top w:w="80" w:type="dxa"/>
              <w:left w:w="80" w:type="dxa"/>
              <w:bottom w:w="80" w:type="dxa"/>
              <w:right w:w="80" w:type="dxa"/>
            </w:tcMar>
            <w:vAlign w:val="center"/>
          </w:tcPr>
          <w:p w14:paraId="1CAE5DB1" w14:textId="77777777" w:rsidR="00F365BC" w:rsidRPr="006F225A" w:rsidRDefault="00F365BC" w:rsidP="009B5C6E">
            <w:pPr>
              <w:pStyle w:val="BodyB"/>
              <w:autoSpaceDE w:val="0"/>
              <w:autoSpaceDN w:val="0"/>
              <w:adjustRightInd w:val="0"/>
              <w:snapToGrid w:val="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w:t>
            </w:r>
          </w:p>
        </w:tc>
        <w:tc>
          <w:tcPr>
            <w:tcW w:w="2977" w:type="dxa"/>
            <w:shd w:val="clear" w:color="auto" w:fill="FFFFFF"/>
            <w:tcMar>
              <w:top w:w="80" w:type="dxa"/>
              <w:left w:w="80" w:type="dxa"/>
              <w:bottom w:w="80" w:type="dxa"/>
              <w:right w:w="80" w:type="dxa"/>
            </w:tcMar>
            <w:vAlign w:val="center"/>
          </w:tcPr>
          <w:p w14:paraId="684D1788" w14:textId="77777777" w:rsidR="00F365BC" w:rsidRPr="006F225A" w:rsidRDefault="00F365BC" w:rsidP="009B5C6E">
            <w:pPr>
              <w:pStyle w:val="BodyA"/>
              <w:autoSpaceDE w:val="0"/>
              <w:autoSpaceDN w:val="0"/>
              <w:adjustRightInd w:val="0"/>
              <w:snapToGrid w:val="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 xml:space="preserve">Paediatric and adult patients </w:t>
            </w:r>
            <w:r w:rsidRPr="006F225A">
              <w:rPr>
                <w:rStyle w:val="None"/>
                <w:rFonts w:ascii="Palatino Linotype" w:hAnsi="Palatino Linotype"/>
                <w:color w:val="auto"/>
                <w:sz w:val="17"/>
                <w:szCs w:val="17"/>
                <w:shd w:val="clear" w:color="auto" w:fill="FFFFFF"/>
                <w:lang w:val="en-GB"/>
              </w:rPr>
              <w:t>hospitalised with cholera during the epidemic</w:t>
            </w:r>
          </w:p>
        </w:tc>
      </w:tr>
      <w:tr w:rsidR="00207EA1" w:rsidRPr="006F225A" w14:paraId="5E7D7776" w14:textId="77777777" w:rsidTr="00716A4E">
        <w:trPr>
          <w:jc w:val="center"/>
        </w:trPr>
        <w:tc>
          <w:tcPr>
            <w:tcW w:w="1701" w:type="dxa"/>
            <w:shd w:val="clear" w:color="auto" w:fill="FFFFFF"/>
            <w:tcMar>
              <w:top w:w="80" w:type="dxa"/>
              <w:left w:w="80" w:type="dxa"/>
              <w:bottom w:w="80" w:type="dxa"/>
              <w:right w:w="80" w:type="dxa"/>
            </w:tcMar>
            <w:vAlign w:val="center"/>
          </w:tcPr>
          <w:p w14:paraId="5D0239D5" w14:textId="77777777" w:rsidR="00F365BC" w:rsidRPr="006F225A" w:rsidRDefault="00F365BC" w:rsidP="009B5C6E">
            <w:pPr>
              <w:pStyle w:val="BodyA"/>
              <w:autoSpaceDE w:val="0"/>
              <w:autoSpaceDN w:val="0"/>
              <w:adjustRightInd w:val="0"/>
              <w:snapToGrid w:val="0"/>
              <w:rPr>
                <w:rFonts w:ascii="Palatino Linotype" w:hAnsi="Palatino Linotype"/>
                <w:color w:val="auto"/>
                <w:sz w:val="17"/>
                <w:szCs w:val="17"/>
                <w:lang w:val="en-GB"/>
              </w:rPr>
            </w:pPr>
            <w:r w:rsidRPr="006F225A">
              <w:rPr>
                <w:rStyle w:val="None"/>
                <w:rFonts w:ascii="Palatino Linotype" w:hAnsi="Palatino Linotype"/>
                <w:color w:val="auto"/>
                <w:sz w:val="17"/>
                <w:szCs w:val="17"/>
                <w:shd w:val="clear" w:color="auto" w:fill="FFFFFF"/>
                <w:lang w:val="en-GB"/>
              </w:rPr>
              <w:t>Machado et al., 2015 [40]</w:t>
            </w:r>
          </w:p>
        </w:tc>
        <w:tc>
          <w:tcPr>
            <w:tcW w:w="1134" w:type="dxa"/>
            <w:shd w:val="clear" w:color="auto" w:fill="FFFFFF"/>
            <w:tcMar>
              <w:top w:w="80" w:type="dxa"/>
              <w:left w:w="80" w:type="dxa"/>
              <w:bottom w:w="80" w:type="dxa"/>
              <w:right w:w="80" w:type="dxa"/>
            </w:tcMar>
            <w:vAlign w:val="center"/>
          </w:tcPr>
          <w:p w14:paraId="397189CE" w14:textId="77777777" w:rsidR="00F365BC" w:rsidRPr="006F225A" w:rsidRDefault="00F365BC" w:rsidP="009B5C6E">
            <w:pPr>
              <w:pStyle w:val="BodyA"/>
              <w:autoSpaceDE w:val="0"/>
              <w:autoSpaceDN w:val="0"/>
              <w:adjustRightInd w:val="0"/>
              <w:snapToGrid w:val="0"/>
              <w:rPr>
                <w:rFonts w:ascii="Palatino Linotype" w:hAnsi="Palatino Linotype"/>
                <w:color w:val="auto"/>
                <w:sz w:val="17"/>
                <w:szCs w:val="17"/>
                <w:lang w:val="en-GB"/>
              </w:rPr>
            </w:pPr>
            <w:r w:rsidRPr="006F225A">
              <w:rPr>
                <w:rStyle w:val="None"/>
                <w:rFonts w:ascii="Palatino Linotype" w:hAnsi="Palatino Linotype"/>
                <w:color w:val="auto"/>
                <w:sz w:val="17"/>
                <w:szCs w:val="17"/>
                <w:shd w:val="clear" w:color="auto" w:fill="FFFFFF"/>
                <w:lang w:val="en-GB"/>
              </w:rPr>
              <w:t>72</w:t>
            </w:r>
          </w:p>
        </w:tc>
        <w:tc>
          <w:tcPr>
            <w:tcW w:w="1418" w:type="dxa"/>
            <w:shd w:val="clear" w:color="auto" w:fill="FFFFFF"/>
            <w:tcMar>
              <w:top w:w="80" w:type="dxa"/>
              <w:left w:w="80" w:type="dxa"/>
              <w:bottom w:w="80" w:type="dxa"/>
              <w:right w:w="80" w:type="dxa"/>
            </w:tcMar>
            <w:vAlign w:val="center"/>
          </w:tcPr>
          <w:p w14:paraId="53C06D1D" w14:textId="77777777" w:rsidR="00F365BC" w:rsidRPr="006F225A" w:rsidRDefault="00F365BC" w:rsidP="009B5C6E">
            <w:pPr>
              <w:pStyle w:val="BodyA"/>
              <w:autoSpaceDE w:val="0"/>
              <w:autoSpaceDN w:val="0"/>
              <w:adjustRightInd w:val="0"/>
              <w:snapToGrid w:val="0"/>
              <w:rPr>
                <w:rStyle w:val="None"/>
                <w:rFonts w:ascii="Palatino Linotype" w:eastAsia="Arial" w:hAnsi="Palatino Linotype" w:cs="Arial"/>
                <w:color w:val="auto"/>
                <w:sz w:val="17"/>
                <w:szCs w:val="17"/>
                <w:lang w:val="en-GB"/>
              </w:rPr>
            </w:pPr>
            <w:r w:rsidRPr="006F225A">
              <w:rPr>
                <w:rStyle w:val="None"/>
                <w:rFonts w:ascii="Palatino Linotype" w:hAnsi="Palatino Linotype"/>
                <w:color w:val="auto"/>
                <w:sz w:val="17"/>
                <w:szCs w:val="17"/>
                <w:shd w:val="clear" w:color="auto" w:fill="FFFFFF"/>
                <w:lang w:val="en-GB"/>
              </w:rPr>
              <w:t>Calcium supplement syndrome positive (n = 15)</w:t>
            </w:r>
          </w:p>
          <w:p w14:paraId="1826E41A" w14:textId="77777777" w:rsidR="00F365BC" w:rsidRPr="006F225A" w:rsidRDefault="00F365BC" w:rsidP="009B5C6E">
            <w:pPr>
              <w:pStyle w:val="BodyA"/>
              <w:autoSpaceDE w:val="0"/>
              <w:autoSpaceDN w:val="0"/>
              <w:adjustRightInd w:val="0"/>
              <w:snapToGrid w:val="0"/>
              <w:rPr>
                <w:rFonts w:ascii="Palatino Linotype" w:hAnsi="Palatino Linotype"/>
                <w:color w:val="auto"/>
                <w:sz w:val="17"/>
                <w:szCs w:val="17"/>
                <w:lang w:val="en-GB"/>
              </w:rPr>
            </w:pPr>
            <w:r w:rsidRPr="006F225A">
              <w:rPr>
                <w:rStyle w:val="None"/>
                <w:rFonts w:ascii="Palatino Linotype" w:hAnsi="Palatino Linotype"/>
                <w:color w:val="auto"/>
                <w:sz w:val="17"/>
                <w:szCs w:val="17"/>
                <w:shd w:val="clear" w:color="auto" w:fill="FFFFFF"/>
                <w:lang w:val="en-GB"/>
              </w:rPr>
              <w:t xml:space="preserve">15 (100%) </w:t>
            </w:r>
          </w:p>
        </w:tc>
        <w:tc>
          <w:tcPr>
            <w:tcW w:w="1417" w:type="dxa"/>
            <w:shd w:val="clear" w:color="auto" w:fill="FFFFFF"/>
            <w:tcMar>
              <w:top w:w="80" w:type="dxa"/>
              <w:left w:w="80" w:type="dxa"/>
              <w:bottom w:w="80" w:type="dxa"/>
              <w:right w:w="80" w:type="dxa"/>
            </w:tcMar>
            <w:vAlign w:val="center"/>
          </w:tcPr>
          <w:p w14:paraId="270988DF" w14:textId="77777777" w:rsidR="00F365BC" w:rsidRPr="006F225A" w:rsidRDefault="00F365BC" w:rsidP="009B5C6E">
            <w:pPr>
              <w:pStyle w:val="BodyA"/>
              <w:autoSpaceDE w:val="0"/>
              <w:autoSpaceDN w:val="0"/>
              <w:adjustRightInd w:val="0"/>
              <w:snapToGrid w:val="0"/>
              <w:rPr>
                <w:rStyle w:val="None"/>
                <w:rFonts w:ascii="Palatino Linotype" w:eastAsia="Arial" w:hAnsi="Palatino Linotype" w:cs="Arial"/>
                <w:color w:val="auto"/>
                <w:sz w:val="17"/>
                <w:szCs w:val="17"/>
                <w:lang w:val="en-GB"/>
              </w:rPr>
            </w:pPr>
            <w:r w:rsidRPr="006F225A">
              <w:rPr>
                <w:rStyle w:val="None"/>
                <w:rFonts w:ascii="Palatino Linotype" w:hAnsi="Palatino Linotype"/>
                <w:color w:val="auto"/>
                <w:sz w:val="17"/>
                <w:szCs w:val="17"/>
                <w:shd w:val="clear" w:color="auto" w:fill="FFFFFF"/>
                <w:lang w:val="en-GB"/>
              </w:rPr>
              <w:t>Calcium supplement syndrome negative (n = 57)</w:t>
            </w:r>
          </w:p>
          <w:p w14:paraId="33D49B2B" w14:textId="77777777" w:rsidR="00F365BC" w:rsidRPr="006F225A" w:rsidRDefault="00F365BC" w:rsidP="009B5C6E">
            <w:pPr>
              <w:pStyle w:val="BodyA"/>
              <w:autoSpaceDE w:val="0"/>
              <w:autoSpaceDN w:val="0"/>
              <w:adjustRightInd w:val="0"/>
              <w:snapToGrid w:val="0"/>
              <w:rPr>
                <w:rFonts w:ascii="Palatino Linotype" w:hAnsi="Palatino Linotype"/>
                <w:color w:val="auto"/>
                <w:sz w:val="17"/>
                <w:szCs w:val="17"/>
                <w:lang w:val="en-GB"/>
              </w:rPr>
            </w:pPr>
            <w:r w:rsidRPr="006F225A">
              <w:rPr>
                <w:rStyle w:val="None"/>
                <w:rFonts w:ascii="Palatino Linotype" w:hAnsi="Palatino Linotype"/>
                <w:color w:val="auto"/>
                <w:sz w:val="17"/>
                <w:szCs w:val="17"/>
                <w:shd w:val="clear" w:color="auto" w:fill="FFFFFF"/>
                <w:lang w:val="en-GB"/>
              </w:rPr>
              <w:t xml:space="preserve">0 (0%) </w:t>
            </w:r>
          </w:p>
        </w:tc>
        <w:tc>
          <w:tcPr>
            <w:tcW w:w="851" w:type="dxa"/>
            <w:shd w:val="clear" w:color="auto" w:fill="FFFFFF"/>
            <w:tcMar>
              <w:top w:w="80" w:type="dxa"/>
              <w:left w:w="80" w:type="dxa"/>
              <w:bottom w:w="80" w:type="dxa"/>
              <w:right w:w="80" w:type="dxa"/>
            </w:tcMar>
            <w:vAlign w:val="center"/>
          </w:tcPr>
          <w:p w14:paraId="7E519762" w14:textId="77777777" w:rsidR="00F365BC" w:rsidRPr="006F225A" w:rsidRDefault="00F365BC" w:rsidP="009B5C6E">
            <w:pPr>
              <w:pStyle w:val="BodyB"/>
              <w:autoSpaceDE w:val="0"/>
              <w:autoSpaceDN w:val="0"/>
              <w:adjustRightInd w:val="0"/>
              <w:snapToGrid w:val="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15 (22%)</w:t>
            </w:r>
          </w:p>
        </w:tc>
        <w:tc>
          <w:tcPr>
            <w:tcW w:w="992" w:type="dxa"/>
            <w:shd w:val="clear" w:color="auto" w:fill="FFFFFF"/>
            <w:tcMar>
              <w:top w:w="80" w:type="dxa"/>
              <w:left w:w="80" w:type="dxa"/>
              <w:bottom w:w="80" w:type="dxa"/>
              <w:right w:w="80" w:type="dxa"/>
            </w:tcMar>
            <w:vAlign w:val="center"/>
          </w:tcPr>
          <w:p w14:paraId="1B2997D8" w14:textId="77777777" w:rsidR="00F365BC" w:rsidRPr="006F225A" w:rsidRDefault="00F365BC" w:rsidP="009B5C6E">
            <w:pPr>
              <w:pStyle w:val="BodyB"/>
              <w:autoSpaceDE w:val="0"/>
              <w:autoSpaceDN w:val="0"/>
              <w:adjustRightInd w:val="0"/>
              <w:snapToGrid w:val="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NR</w:t>
            </w:r>
          </w:p>
        </w:tc>
        <w:tc>
          <w:tcPr>
            <w:tcW w:w="2977" w:type="dxa"/>
            <w:shd w:val="clear" w:color="auto" w:fill="FFFFFF"/>
            <w:tcMar>
              <w:top w:w="80" w:type="dxa"/>
              <w:left w:w="80" w:type="dxa"/>
              <w:bottom w:w="80" w:type="dxa"/>
              <w:right w:w="80" w:type="dxa"/>
            </w:tcMar>
            <w:vAlign w:val="center"/>
          </w:tcPr>
          <w:p w14:paraId="25B2FC15" w14:textId="77777777" w:rsidR="00F365BC" w:rsidRPr="006F225A" w:rsidRDefault="00F365BC" w:rsidP="009B5C6E">
            <w:pPr>
              <w:pStyle w:val="BodyA"/>
              <w:autoSpaceDE w:val="0"/>
              <w:autoSpaceDN w:val="0"/>
              <w:adjustRightInd w:val="0"/>
              <w:snapToGrid w:val="0"/>
              <w:rPr>
                <w:rFonts w:ascii="Palatino Linotype" w:hAnsi="Palatino Linotype"/>
                <w:color w:val="auto"/>
                <w:sz w:val="17"/>
                <w:szCs w:val="17"/>
                <w:lang w:val="en-GB"/>
              </w:rPr>
            </w:pPr>
            <w:r w:rsidRPr="006F225A">
              <w:rPr>
                <w:rStyle w:val="None"/>
                <w:rFonts w:ascii="Palatino Linotype" w:hAnsi="Palatino Linotype"/>
                <w:color w:val="auto"/>
                <w:sz w:val="17"/>
                <w:szCs w:val="17"/>
                <w:shd w:val="clear" w:color="auto" w:fill="FFFFFF"/>
                <w:lang w:val="en-GB"/>
              </w:rPr>
              <w:t>Patients hospitalised with hypercalcemia</w:t>
            </w:r>
          </w:p>
        </w:tc>
      </w:tr>
      <w:tr w:rsidR="00207EA1" w:rsidRPr="006F225A" w14:paraId="64810EDF" w14:textId="77777777" w:rsidTr="00716A4E">
        <w:trPr>
          <w:jc w:val="center"/>
        </w:trPr>
        <w:tc>
          <w:tcPr>
            <w:tcW w:w="1701" w:type="dxa"/>
            <w:tcBorders>
              <w:bottom w:val="single" w:sz="8" w:space="0" w:color="auto"/>
            </w:tcBorders>
            <w:shd w:val="clear" w:color="auto" w:fill="FFFFFF"/>
            <w:tcMar>
              <w:top w:w="80" w:type="dxa"/>
              <w:left w:w="80" w:type="dxa"/>
              <w:bottom w:w="80" w:type="dxa"/>
              <w:right w:w="80" w:type="dxa"/>
            </w:tcMar>
            <w:vAlign w:val="center"/>
          </w:tcPr>
          <w:p w14:paraId="0E5CCECD" w14:textId="77777777" w:rsidR="00F365BC" w:rsidRPr="006F225A" w:rsidRDefault="00F365BC" w:rsidP="009B5C6E">
            <w:pPr>
              <w:pStyle w:val="BodyD"/>
              <w:autoSpaceDE w:val="0"/>
              <w:autoSpaceDN w:val="0"/>
              <w:adjustRightInd w:val="0"/>
              <w:snapToGrid w:val="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Tseng et al., 2018 [41]</w:t>
            </w:r>
          </w:p>
        </w:tc>
        <w:tc>
          <w:tcPr>
            <w:tcW w:w="1134" w:type="dxa"/>
            <w:tcBorders>
              <w:bottom w:val="single" w:sz="8" w:space="0" w:color="auto"/>
            </w:tcBorders>
            <w:shd w:val="clear" w:color="auto" w:fill="FFFFFF"/>
            <w:tcMar>
              <w:top w:w="80" w:type="dxa"/>
              <w:left w:w="80" w:type="dxa"/>
              <w:bottom w:w="80" w:type="dxa"/>
              <w:right w:w="80" w:type="dxa"/>
            </w:tcMar>
            <w:vAlign w:val="center"/>
          </w:tcPr>
          <w:p w14:paraId="1976354A" w14:textId="77777777" w:rsidR="00F365BC" w:rsidRPr="006F225A" w:rsidRDefault="00F365BC" w:rsidP="009B5C6E">
            <w:pPr>
              <w:pStyle w:val="BodyD"/>
              <w:autoSpaceDE w:val="0"/>
              <w:autoSpaceDN w:val="0"/>
              <w:adjustRightInd w:val="0"/>
              <w:snapToGrid w:val="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332</w:t>
            </w:r>
          </w:p>
        </w:tc>
        <w:tc>
          <w:tcPr>
            <w:tcW w:w="1418" w:type="dxa"/>
            <w:tcBorders>
              <w:bottom w:val="single" w:sz="8" w:space="0" w:color="auto"/>
            </w:tcBorders>
            <w:shd w:val="clear" w:color="auto" w:fill="FFFFFF"/>
            <w:tcMar>
              <w:top w:w="80" w:type="dxa"/>
              <w:left w:w="80" w:type="dxa"/>
              <w:bottom w:w="80" w:type="dxa"/>
              <w:right w:w="80" w:type="dxa"/>
            </w:tcMar>
            <w:vAlign w:val="center"/>
          </w:tcPr>
          <w:p w14:paraId="66E70ECE" w14:textId="77777777" w:rsidR="00F365BC" w:rsidRPr="006F225A" w:rsidRDefault="00F365BC" w:rsidP="009B5C6E">
            <w:pPr>
              <w:pStyle w:val="BodyD"/>
              <w:autoSpaceDE w:val="0"/>
              <w:autoSpaceDN w:val="0"/>
              <w:adjustRightInd w:val="0"/>
              <w:snapToGrid w:val="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21 (6.3%)</w:t>
            </w:r>
          </w:p>
        </w:tc>
        <w:tc>
          <w:tcPr>
            <w:tcW w:w="1417" w:type="dxa"/>
            <w:tcBorders>
              <w:bottom w:val="single" w:sz="8" w:space="0" w:color="auto"/>
            </w:tcBorders>
            <w:shd w:val="clear" w:color="auto" w:fill="FFFFFF"/>
            <w:tcMar>
              <w:top w:w="80" w:type="dxa"/>
              <w:left w:w="80" w:type="dxa"/>
              <w:bottom w:w="80" w:type="dxa"/>
              <w:right w:w="80" w:type="dxa"/>
            </w:tcMar>
            <w:vAlign w:val="center"/>
          </w:tcPr>
          <w:p w14:paraId="492FD425" w14:textId="77777777" w:rsidR="00F365BC" w:rsidRPr="006F225A" w:rsidRDefault="00F365BC" w:rsidP="009B5C6E">
            <w:pPr>
              <w:pStyle w:val="BodyD"/>
              <w:autoSpaceDE w:val="0"/>
              <w:autoSpaceDN w:val="0"/>
              <w:adjustRightInd w:val="0"/>
              <w:snapToGrid w:val="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w:t>
            </w:r>
          </w:p>
        </w:tc>
        <w:tc>
          <w:tcPr>
            <w:tcW w:w="851" w:type="dxa"/>
            <w:tcBorders>
              <w:bottom w:val="single" w:sz="8" w:space="0" w:color="auto"/>
            </w:tcBorders>
            <w:shd w:val="clear" w:color="auto" w:fill="FFFFFF"/>
            <w:tcMar>
              <w:top w:w="80" w:type="dxa"/>
              <w:left w:w="80" w:type="dxa"/>
              <w:bottom w:w="80" w:type="dxa"/>
              <w:right w:w="80" w:type="dxa"/>
            </w:tcMar>
            <w:vAlign w:val="center"/>
          </w:tcPr>
          <w:p w14:paraId="4AEA6B14" w14:textId="77777777" w:rsidR="00F365BC" w:rsidRPr="006F225A" w:rsidRDefault="00F365BC" w:rsidP="009B5C6E">
            <w:pPr>
              <w:pStyle w:val="BodyD"/>
              <w:autoSpaceDE w:val="0"/>
              <w:autoSpaceDN w:val="0"/>
              <w:adjustRightInd w:val="0"/>
              <w:snapToGrid w:val="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w:t>
            </w:r>
          </w:p>
        </w:tc>
        <w:tc>
          <w:tcPr>
            <w:tcW w:w="992" w:type="dxa"/>
            <w:tcBorders>
              <w:bottom w:val="single" w:sz="8" w:space="0" w:color="auto"/>
            </w:tcBorders>
            <w:shd w:val="clear" w:color="auto" w:fill="FFFFFF"/>
            <w:tcMar>
              <w:top w:w="80" w:type="dxa"/>
              <w:left w:w="80" w:type="dxa"/>
              <w:bottom w:w="80" w:type="dxa"/>
              <w:right w:w="80" w:type="dxa"/>
            </w:tcMar>
            <w:vAlign w:val="center"/>
          </w:tcPr>
          <w:p w14:paraId="1E1ABDBA" w14:textId="77777777" w:rsidR="00F365BC" w:rsidRPr="006F225A" w:rsidRDefault="00F365BC" w:rsidP="009B5C6E">
            <w:pPr>
              <w:pStyle w:val="BodyD"/>
              <w:autoSpaceDE w:val="0"/>
              <w:autoSpaceDN w:val="0"/>
              <w:adjustRightInd w:val="0"/>
              <w:snapToGrid w:val="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w:t>
            </w:r>
          </w:p>
        </w:tc>
        <w:tc>
          <w:tcPr>
            <w:tcW w:w="2977" w:type="dxa"/>
            <w:tcBorders>
              <w:bottom w:val="single" w:sz="8" w:space="0" w:color="auto"/>
            </w:tcBorders>
            <w:shd w:val="clear" w:color="auto" w:fill="FFFFFF"/>
            <w:tcMar>
              <w:top w:w="80" w:type="dxa"/>
              <w:left w:w="80" w:type="dxa"/>
              <w:bottom w:w="80" w:type="dxa"/>
              <w:right w:w="80" w:type="dxa"/>
            </w:tcMar>
            <w:vAlign w:val="center"/>
          </w:tcPr>
          <w:p w14:paraId="02ED4BC9" w14:textId="77777777" w:rsidR="00F365BC" w:rsidRPr="006F225A" w:rsidRDefault="00F365BC" w:rsidP="009B5C6E">
            <w:pPr>
              <w:pStyle w:val="BodyD"/>
              <w:autoSpaceDE w:val="0"/>
              <w:autoSpaceDN w:val="0"/>
              <w:adjustRightInd w:val="0"/>
              <w:snapToGrid w:val="0"/>
              <w:rPr>
                <w:rFonts w:ascii="Palatino Linotype" w:hAnsi="Palatino Linotype"/>
                <w:color w:val="auto"/>
                <w:sz w:val="17"/>
                <w:szCs w:val="17"/>
                <w:lang w:val="en-GB"/>
              </w:rPr>
            </w:pPr>
            <w:r w:rsidRPr="006F225A">
              <w:rPr>
                <w:rStyle w:val="None"/>
                <w:rFonts w:ascii="Palatino Linotype" w:hAnsi="Palatino Linotype"/>
                <w:color w:val="auto"/>
                <w:sz w:val="17"/>
                <w:szCs w:val="17"/>
                <w:lang w:val="en-GB"/>
              </w:rPr>
              <w:t xml:space="preserve">Adult patients with postural tachycardia syndrome </w:t>
            </w:r>
          </w:p>
        </w:tc>
      </w:tr>
    </w:tbl>
    <w:p w14:paraId="46246B56" w14:textId="7D6EC1B7" w:rsidR="00D0052F" w:rsidRPr="006F225A" w:rsidRDefault="00EA43DA" w:rsidP="00716A4E">
      <w:pPr>
        <w:pStyle w:val="MDPI43tablefooter"/>
        <w:spacing w:after="240"/>
        <w:rPr>
          <w:lang w:val="en-GB"/>
        </w:rPr>
      </w:pPr>
      <w:r w:rsidRPr="006F225A">
        <w:rPr>
          <w:lang w:val="en-GB"/>
        </w:rPr>
        <w:t>n, participant; NR, not reported</w:t>
      </w:r>
      <w:r w:rsidR="00C374DF" w:rsidRPr="006F225A">
        <w:rPr>
          <w:lang w:val="en-GB"/>
        </w:rPr>
        <w:t>.</w:t>
      </w:r>
    </w:p>
    <w:p w14:paraId="386D8F07" w14:textId="5E4DB0D3" w:rsidR="00C810FF" w:rsidRPr="006F225A" w:rsidRDefault="00C810FF" w:rsidP="00C810FF">
      <w:pPr>
        <w:pStyle w:val="MDPI22heading2"/>
        <w:spacing w:before="240"/>
        <w:rPr>
          <w:lang w:val="en-GB"/>
        </w:rPr>
      </w:pPr>
      <w:r w:rsidRPr="006F225A">
        <w:rPr>
          <w:lang w:val="en-GB"/>
        </w:rPr>
        <w:t>3.4. Frequency of Intravenous Rehydration in Adult Patients</w:t>
      </w:r>
    </w:p>
    <w:p w14:paraId="5E14DD0D" w14:textId="4CDADADB" w:rsidR="00C810FF" w:rsidRPr="006F225A" w:rsidRDefault="00C810FF" w:rsidP="00C810FF">
      <w:pPr>
        <w:pStyle w:val="MDPI31text"/>
        <w:rPr>
          <w:lang w:val="en-GB"/>
        </w:rPr>
      </w:pPr>
      <w:r w:rsidRPr="006F225A">
        <w:rPr>
          <w:lang w:val="en-GB"/>
        </w:rPr>
        <w:t xml:space="preserve">Of the 29 included studies, </w:t>
      </w:r>
      <w:r w:rsidR="00CD4210" w:rsidRPr="006F225A">
        <w:rPr>
          <w:lang w:val="en-GB"/>
        </w:rPr>
        <w:t xml:space="preserve">8 </w:t>
      </w:r>
      <w:r w:rsidRPr="006F225A">
        <w:rPr>
          <w:lang w:val="en-GB"/>
        </w:rPr>
        <w:t xml:space="preserve">reported the prevalence of IV rehydration in adult patients. </w:t>
      </w:r>
      <w:proofErr w:type="gramStart"/>
      <w:r w:rsidRPr="006F225A">
        <w:rPr>
          <w:lang w:val="en-GB"/>
        </w:rPr>
        <w:t>Similar to</w:t>
      </w:r>
      <w:proofErr w:type="gramEnd"/>
      <w:r w:rsidRPr="006F225A">
        <w:rPr>
          <w:lang w:val="en-GB"/>
        </w:rPr>
        <w:t xml:space="preserve"> the paediatric patients, the use of IV rehydration therapy varied considerably amongst adult patients. The prevalence ranged from 1.5% to 100% (Table 2).</w:t>
      </w:r>
    </w:p>
    <w:p w14:paraId="61712FEF" w14:textId="2D79F8B5" w:rsidR="00C810FF" w:rsidRPr="006F225A" w:rsidRDefault="00C810FF" w:rsidP="00C810FF">
      <w:pPr>
        <w:pStyle w:val="MDPI31text"/>
        <w:rPr>
          <w:lang w:val="en-GB"/>
        </w:rPr>
      </w:pPr>
      <w:r w:rsidRPr="006F225A">
        <w:rPr>
          <w:lang w:val="en-GB"/>
        </w:rPr>
        <w:t xml:space="preserve">Two studies [35,36] reported the prevalence of IV rehydration in patients with fever and other signs of dengue. The prevalence ranged from 9.2% to 24.3%. One study [39] reported the prevalence of IV rehydration in patients admitted to the hospital with diarrhoea. The prevalence was 51%. One study [34] reported the prevalence of IV rehydration in </w:t>
      </w:r>
      <w:r w:rsidRPr="006F225A">
        <w:rPr>
          <w:spacing w:val="-2"/>
          <w:lang w:val="en-GB"/>
        </w:rPr>
        <w:t xml:space="preserve">patients with incurable cancer. The prevalence was 45%. One study [38] reported the prevalence of IV rehydration in patients who had single substance ingestion of </w:t>
      </w:r>
      <w:proofErr w:type="spellStart"/>
      <w:r w:rsidRPr="006F225A">
        <w:rPr>
          <w:spacing w:val="-2"/>
          <w:lang w:val="en-GB"/>
        </w:rPr>
        <w:t>modafanil</w:t>
      </w:r>
      <w:proofErr w:type="spellEnd"/>
      <w:r w:rsidRPr="006F225A">
        <w:rPr>
          <w:spacing w:val="-2"/>
          <w:lang w:val="en-GB"/>
        </w:rPr>
        <w:t>. The prevalence was 1.5%. One study [37] reported the prevalence of IV rehydration in patients admitted to the cholera isolation ward. The prevalence was 96.1%. One study [40] reported the prevalence of IV rehydration in patients hospitalised with calcium supplement syndrome. The prevalence was 22%. One study [41] reported the prevalence of IV rehydration in patients hospitalised with postural tachycardia syndrome. The prevalence was 6.3%.</w:t>
      </w:r>
    </w:p>
    <w:p w14:paraId="4E48D976" w14:textId="5263A928" w:rsidR="00C810FF" w:rsidRPr="006F225A" w:rsidRDefault="00C810FF" w:rsidP="00C810FF">
      <w:pPr>
        <w:pStyle w:val="MDPI31text"/>
        <w:rPr>
          <w:rStyle w:val="None"/>
          <w:color w:val="auto"/>
          <w:szCs w:val="20"/>
          <w:shd w:val="clear" w:color="auto" w:fill="FFFFFF"/>
          <w:lang w:val="en-GB"/>
        </w:rPr>
      </w:pPr>
      <w:r w:rsidRPr="006F225A">
        <w:rPr>
          <w:lang w:val="en-GB"/>
        </w:rPr>
        <w:t>The results show that the highest prevalence of IV rehydration therapy was observed amongst patients hospital</w:t>
      </w:r>
      <w:r w:rsidR="00A22CD3" w:rsidRPr="006F225A">
        <w:rPr>
          <w:lang w:val="en-GB"/>
        </w:rPr>
        <w:t>ise</w:t>
      </w:r>
      <w:r w:rsidRPr="006F225A">
        <w:rPr>
          <w:lang w:val="en-GB"/>
        </w:rPr>
        <w:t xml:space="preserve">d with cholera [37], whilst the lowest prevalence of IV rehydration therapy was seen amongst patients who had single substance ingestion of </w:t>
      </w:r>
      <w:proofErr w:type="spellStart"/>
      <w:r w:rsidRPr="006F225A">
        <w:rPr>
          <w:lang w:val="en-GB"/>
        </w:rPr>
        <w:t>modafanil</w:t>
      </w:r>
      <w:proofErr w:type="spellEnd"/>
      <w:r w:rsidRPr="006F225A">
        <w:rPr>
          <w:lang w:val="en-GB"/>
        </w:rPr>
        <w:t xml:space="preserve"> [38]. </w:t>
      </w:r>
      <w:r w:rsidRPr="006F225A">
        <w:rPr>
          <w:szCs w:val="20"/>
          <w:lang w:val="en-GB"/>
        </w:rPr>
        <w:t xml:space="preserve">We also found a relatively high prevalence of IV rehydration amongst </w:t>
      </w:r>
      <w:r w:rsidRPr="006F225A">
        <w:rPr>
          <w:rStyle w:val="None"/>
          <w:color w:val="auto"/>
          <w:szCs w:val="20"/>
          <w:lang w:val="en-GB"/>
        </w:rPr>
        <w:t>patients with</w:t>
      </w:r>
      <w:r w:rsidRPr="006F225A">
        <w:rPr>
          <w:szCs w:val="20"/>
          <w:lang w:val="en-GB"/>
        </w:rPr>
        <w:t xml:space="preserve"> </w:t>
      </w:r>
      <w:r w:rsidR="005F4355" w:rsidRPr="006F225A">
        <w:rPr>
          <w:rStyle w:val="None"/>
          <w:color w:val="auto"/>
          <w:szCs w:val="20"/>
          <w:lang w:val="en-GB"/>
        </w:rPr>
        <w:t>diarrhoea</w:t>
      </w:r>
      <w:r w:rsidRPr="006F225A">
        <w:rPr>
          <w:rStyle w:val="None"/>
          <w:color w:val="auto"/>
          <w:szCs w:val="20"/>
          <w:lang w:val="en-GB"/>
        </w:rPr>
        <w:t xml:space="preserve"> [39]. Although, </w:t>
      </w:r>
      <w:r w:rsidRPr="006F225A">
        <w:rPr>
          <w:lang w:val="en-GB"/>
        </w:rPr>
        <w:t xml:space="preserve">this review showed that IV rehydration was required in all paediatric patients suffering from dehydration [20,27], IV therapy amongst dehydrated adult patients was not so frequent </w:t>
      </w:r>
      <w:r w:rsidRPr="006F225A">
        <w:rPr>
          <w:rStyle w:val="None"/>
          <w:color w:val="auto"/>
          <w:szCs w:val="20"/>
          <w:shd w:val="clear" w:color="auto" w:fill="FFFFFF"/>
          <w:lang w:val="en-GB"/>
        </w:rPr>
        <w:t>[35].</w:t>
      </w:r>
    </w:p>
    <w:p w14:paraId="5BCB6473" w14:textId="0C2A2656" w:rsidR="00C810FF" w:rsidRPr="006F225A" w:rsidRDefault="00C810FF" w:rsidP="00C810FF">
      <w:pPr>
        <w:pStyle w:val="MDPI31text"/>
        <w:rPr>
          <w:spacing w:val="-2"/>
          <w:shd w:val="clear" w:color="auto" w:fill="FFFFFF"/>
          <w:lang w:val="en-GB"/>
        </w:rPr>
      </w:pPr>
      <w:r w:rsidRPr="006F225A">
        <w:rPr>
          <w:rStyle w:val="None"/>
          <w:color w:val="auto"/>
          <w:spacing w:val="-2"/>
          <w:szCs w:val="20"/>
          <w:shd w:val="clear" w:color="auto" w:fill="FFFFFF"/>
          <w:lang w:val="en-GB"/>
        </w:rPr>
        <w:t xml:space="preserve">This review indicated that </w:t>
      </w:r>
      <w:r w:rsidRPr="006F225A">
        <w:rPr>
          <w:spacing w:val="-2"/>
          <w:shd w:val="clear" w:color="auto" w:fill="FFFFFF"/>
          <w:lang w:val="en-GB"/>
        </w:rPr>
        <w:t xml:space="preserve">in adult patients, the most common indication for IV rehydration therapy was dehydration due to fluid loss caused by cholera, </w:t>
      </w:r>
      <w:r w:rsidR="00CD4210" w:rsidRPr="006F225A">
        <w:rPr>
          <w:spacing w:val="-2"/>
          <w:shd w:val="clear" w:color="auto" w:fill="FFFFFF"/>
          <w:lang w:val="en-GB"/>
        </w:rPr>
        <w:t xml:space="preserve">and </w:t>
      </w:r>
      <w:r w:rsidRPr="006F225A">
        <w:rPr>
          <w:spacing w:val="-2"/>
          <w:shd w:val="clear" w:color="auto" w:fill="FFFFFF"/>
          <w:lang w:val="en-GB"/>
        </w:rPr>
        <w:t>the second most common indication for IV rehydration was dehydration caused by diarrhoea, followed by cancer, fever, hypercalcemia, postural tachycardia syndrome, and drug intoxication.</w:t>
      </w:r>
    </w:p>
    <w:p w14:paraId="2986F638" w14:textId="77777777" w:rsidR="00C810FF" w:rsidRPr="006F225A" w:rsidRDefault="00C810FF">
      <w:pPr>
        <w:spacing w:line="240" w:lineRule="auto"/>
        <w:jc w:val="left"/>
        <w:rPr>
          <w:rFonts w:eastAsia="Times New Roman"/>
          <w:snapToGrid w:val="0"/>
          <w:szCs w:val="22"/>
          <w:shd w:val="clear" w:color="auto" w:fill="FFFFFF"/>
          <w:lang w:val="en-GB" w:eastAsia="de-DE" w:bidi="en-US"/>
        </w:rPr>
      </w:pPr>
      <w:r w:rsidRPr="006F225A">
        <w:rPr>
          <w:shd w:val="clear" w:color="auto" w:fill="FFFFFF"/>
          <w:lang w:val="en-GB"/>
        </w:rPr>
        <w:br w:type="page"/>
      </w:r>
    </w:p>
    <w:p w14:paraId="638D741A" w14:textId="7CCA019B" w:rsidR="007D380B" w:rsidRPr="006F225A" w:rsidRDefault="00716A4E" w:rsidP="00716A4E">
      <w:pPr>
        <w:pStyle w:val="MDPI21heading1"/>
        <w:rPr>
          <w:lang w:val="en-GB"/>
        </w:rPr>
      </w:pPr>
      <w:r w:rsidRPr="006F225A">
        <w:rPr>
          <w:lang w:val="en-GB"/>
        </w:rPr>
        <w:lastRenderedPageBreak/>
        <w:t xml:space="preserve">4. </w:t>
      </w:r>
      <w:r w:rsidR="00F538A4" w:rsidRPr="006F225A">
        <w:rPr>
          <w:lang w:val="en-GB"/>
        </w:rPr>
        <w:t>Discussion</w:t>
      </w:r>
    </w:p>
    <w:p w14:paraId="44ABEE86" w14:textId="1AE82D15" w:rsidR="007D380B" w:rsidRPr="006F225A" w:rsidRDefault="007D380B" w:rsidP="00716A4E">
      <w:pPr>
        <w:pStyle w:val="MDPI31text"/>
        <w:rPr>
          <w:lang w:val="en-GB"/>
        </w:rPr>
      </w:pPr>
      <w:r w:rsidRPr="006F225A">
        <w:rPr>
          <w:lang w:val="en-GB"/>
        </w:rPr>
        <w:t xml:space="preserve">This systematic review of 29 studies demonstrated that there are substantial differences in the prevalence of IV rehydration therapy in both paediatric and adult populations. The prevalence of IV rehydration therapy in paediatric patients ranged from 4.5% to 100% and in adult patients ranged from 1.5% to 100%. In </w:t>
      </w:r>
      <w:r w:rsidR="005F4355" w:rsidRPr="006F225A">
        <w:rPr>
          <w:lang w:val="en-GB"/>
        </w:rPr>
        <w:t>paediatric</w:t>
      </w:r>
      <w:r w:rsidRPr="006F225A">
        <w:rPr>
          <w:lang w:val="en-GB"/>
        </w:rPr>
        <w:t xml:space="preserve"> patients, IV rehydration therapy was required more frequently (80%) due to dehydration owing to fluid loss from the gastrointestinal tract, while other causes included malnutrition, neuromuscular disease, bronchiolitis, and influenza. In adults, indications for IV rehydration therapy were much more diverse: fever, </w:t>
      </w:r>
      <w:r w:rsidR="005F4355" w:rsidRPr="006F225A">
        <w:rPr>
          <w:lang w:val="en-GB"/>
        </w:rPr>
        <w:t>diarrhoea</w:t>
      </w:r>
      <w:r w:rsidRPr="006F225A">
        <w:rPr>
          <w:lang w:val="en-GB"/>
        </w:rPr>
        <w:t>, drug intoxication, hypercalcemia, cancer, and postural tachycardia syndrome.</w:t>
      </w:r>
    </w:p>
    <w:p w14:paraId="12EA65CC" w14:textId="294C0B3D" w:rsidR="007D380B" w:rsidRPr="006F225A" w:rsidRDefault="007D380B" w:rsidP="00716A4E">
      <w:pPr>
        <w:pStyle w:val="MDPI31text"/>
        <w:rPr>
          <w:b/>
          <w:lang w:val="en-GB"/>
        </w:rPr>
      </w:pPr>
      <w:r w:rsidRPr="006F225A">
        <w:rPr>
          <w:lang w:val="en-GB"/>
        </w:rPr>
        <w:t xml:space="preserve">Acute gastroenteritis is a disease with high morbidity and mortality affecting the </w:t>
      </w:r>
      <w:r w:rsidR="005F4355" w:rsidRPr="006F225A">
        <w:rPr>
          <w:lang w:val="en-GB"/>
        </w:rPr>
        <w:t>paediatric</w:t>
      </w:r>
      <w:r w:rsidRPr="006F225A">
        <w:rPr>
          <w:lang w:val="en-GB"/>
        </w:rPr>
        <w:t xml:space="preserve"> population. Dehydration is the most common complication of acute gastroenteritis and therefore a frequent reason for consultation in </w:t>
      </w:r>
      <w:r w:rsidR="005F4355" w:rsidRPr="006F225A">
        <w:rPr>
          <w:lang w:val="en-GB"/>
        </w:rPr>
        <w:t>paediatric</w:t>
      </w:r>
      <w:r w:rsidRPr="006F225A">
        <w:rPr>
          <w:lang w:val="en-GB"/>
        </w:rPr>
        <w:t xml:space="preserve"> emergency departments</w:t>
      </w:r>
      <w:r w:rsidR="0013448B" w:rsidRPr="006F225A">
        <w:rPr>
          <w:lang w:val="en-GB"/>
        </w:rPr>
        <w:t xml:space="preserve"> [</w:t>
      </w:r>
      <w:r w:rsidR="00120E5A" w:rsidRPr="006F225A">
        <w:rPr>
          <w:lang w:val="en-GB"/>
        </w:rPr>
        <w:t>29</w:t>
      </w:r>
      <w:r w:rsidR="0013448B" w:rsidRPr="006F225A">
        <w:rPr>
          <w:lang w:val="en-GB"/>
        </w:rPr>
        <w:t xml:space="preserve">]. </w:t>
      </w:r>
      <w:bookmarkStart w:id="9" w:name="_Hlk122289078"/>
      <w:r w:rsidRPr="006F225A">
        <w:rPr>
          <w:lang w:val="en-GB"/>
        </w:rPr>
        <w:t xml:space="preserve">The most appropriate </w:t>
      </w:r>
      <w:r w:rsidR="00F72D6F" w:rsidRPr="006F225A">
        <w:rPr>
          <w:lang w:val="en-GB"/>
        </w:rPr>
        <w:t xml:space="preserve">treatment </w:t>
      </w:r>
      <w:r w:rsidRPr="006F225A">
        <w:rPr>
          <w:lang w:val="en-GB"/>
        </w:rPr>
        <w:t>method is still in debate</w:t>
      </w:r>
      <w:bookmarkEnd w:id="9"/>
      <w:r w:rsidRPr="006F225A">
        <w:rPr>
          <w:lang w:val="en-GB"/>
        </w:rPr>
        <w:t xml:space="preserve">. One of the main discussions is regarding the volume and the rate of administration of fluid used for IV rehydration, leading to great variability in the practice in </w:t>
      </w:r>
      <w:r w:rsidR="005F4355" w:rsidRPr="006F225A">
        <w:rPr>
          <w:lang w:val="en-GB"/>
        </w:rPr>
        <w:t>paediatric</w:t>
      </w:r>
      <w:r w:rsidRPr="006F225A">
        <w:rPr>
          <w:lang w:val="en-GB"/>
        </w:rPr>
        <w:t xml:space="preserve"> emergency care</w:t>
      </w:r>
      <w:r w:rsidR="00A07C3B" w:rsidRPr="006F225A">
        <w:rPr>
          <w:lang w:val="en-GB"/>
        </w:rPr>
        <w:t xml:space="preserve"> [2]. </w:t>
      </w:r>
      <w:r w:rsidRPr="006F225A">
        <w:rPr>
          <w:lang w:val="en-GB"/>
        </w:rPr>
        <w:t xml:space="preserve">We found that the highest prevalence of IV rehydration therapy was observed amongst paediatric patients who were hospitalised with dehydration </w:t>
      </w:r>
      <w:r w:rsidR="0013448B" w:rsidRPr="006F225A">
        <w:rPr>
          <w:lang w:val="en-GB"/>
        </w:rPr>
        <w:t>[2</w:t>
      </w:r>
      <w:r w:rsidR="00120E5A" w:rsidRPr="006F225A">
        <w:rPr>
          <w:lang w:val="en-GB"/>
        </w:rPr>
        <w:t>8</w:t>
      </w:r>
      <w:r w:rsidR="0013448B" w:rsidRPr="006F225A">
        <w:rPr>
          <w:lang w:val="en-GB"/>
        </w:rPr>
        <w:t>,</w:t>
      </w:r>
      <w:r w:rsidR="00120E5A" w:rsidRPr="006F225A">
        <w:rPr>
          <w:lang w:val="en-GB"/>
        </w:rPr>
        <w:t>29</w:t>
      </w:r>
      <w:r w:rsidR="0013448B" w:rsidRPr="006F225A">
        <w:rPr>
          <w:lang w:val="en-GB"/>
        </w:rPr>
        <w:t>]</w:t>
      </w:r>
      <w:r w:rsidRPr="006F225A">
        <w:rPr>
          <w:lang w:val="en-GB"/>
        </w:rPr>
        <w:t xml:space="preserve"> and rotavirus gastroenteritis </w:t>
      </w:r>
      <w:bookmarkStart w:id="10" w:name="_Hlk122289466"/>
      <w:r w:rsidR="0013448B" w:rsidRPr="006F225A">
        <w:rPr>
          <w:lang w:val="en-GB"/>
        </w:rPr>
        <w:t>[1</w:t>
      </w:r>
      <w:r w:rsidR="00120E5A" w:rsidRPr="006F225A">
        <w:rPr>
          <w:lang w:val="en-GB"/>
        </w:rPr>
        <w:t>8</w:t>
      </w:r>
      <w:r w:rsidR="0013448B" w:rsidRPr="006F225A">
        <w:rPr>
          <w:lang w:val="en-GB"/>
        </w:rPr>
        <w:t>].</w:t>
      </w:r>
      <w:r w:rsidRPr="006F225A">
        <w:rPr>
          <w:lang w:val="en-GB"/>
        </w:rPr>
        <w:t xml:space="preserve"> </w:t>
      </w:r>
      <w:bookmarkStart w:id="11" w:name="_Hlk122287163"/>
      <w:bookmarkEnd w:id="10"/>
      <w:r w:rsidR="00CB465E" w:rsidRPr="006F225A">
        <w:rPr>
          <w:lang w:val="en-GB"/>
        </w:rPr>
        <w:t>Another finding is that in general, it</w:t>
      </w:r>
      <w:r w:rsidR="00BE3419" w:rsidRPr="006F225A">
        <w:rPr>
          <w:lang w:val="en-GB"/>
        </w:rPr>
        <w:t xml:space="preserve"> appears that IV</w:t>
      </w:r>
      <w:r w:rsidR="00CB465E" w:rsidRPr="006F225A">
        <w:rPr>
          <w:lang w:val="en-GB"/>
        </w:rPr>
        <w:t xml:space="preserve"> rehydration is much more frequently needed </w:t>
      </w:r>
      <w:r w:rsidR="00BE3419" w:rsidRPr="006F225A">
        <w:rPr>
          <w:lang w:val="en-GB"/>
        </w:rPr>
        <w:t xml:space="preserve">in rotavirus-positive </w:t>
      </w:r>
      <w:r w:rsidR="00CB465E" w:rsidRPr="006F225A">
        <w:rPr>
          <w:lang w:val="en-GB"/>
        </w:rPr>
        <w:t>than rotavirus-negative patients. Compared to patients with rotavirus-negative gastroenteritis, patients with rotavirus-positive gastroenteritis had a higher incidence of vomiting, lethargy, and dehydration. However, i</w:t>
      </w:r>
      <w:r w:rsidRPr="006F225A">
        <w:rPr>
          <w:lang w:val="en-GB"/>
        </w:rPr>
        <w:t>nterestingly, the lowest prevalence of IV rehydration therapy was also seen amongst those hospital</w:t>
      </w:r>
      <w:r w:rsidR="00A22CD3" w:rsidRPr="006F225A">
        <w:rPr>
          <w:lang w:val="en-GB"/>
        </w:rPr>
        <w:t>ise</w:t>
      </w:r>
      <w:r w:rsidRPr="006F225A">
        <w:rPr>
          <w:lang w:val="en-GB"/>
        </w:rPr>
        <w:t xml:space="preserve">d with rotavirus gastroenteritis </w:t>
      </w:r>
      <w:bookmarkEnd w:id="11"/>
      <w:r w:rsidR="0013448B" w:rsidRPr="006F225A">
        <w:rPr>
          <w:lang w:val="en-GB"/>
        </w:rPr>
        <w:t>[2</w:t>
      </w:r>
      <w:r w:rsidR="00120E5A" w:rsidRPr="006F225A">
        <w:rPr>
          <w:lang w:val="en-GB"/>
        </w:rPr>
        <w:t>4</w:t>
      </w:r>
      <w:r w:rsidR="0013448B" w:rsidRPr="006F225A">
        <w:rPr>
          <w:lang w:val="en-GB"/>
        </w:rPr>
        <w:t>]</w:t>
      </w:r>
      <w:r w:rsidRPr="006F225A">
        <w:rPr>
          <w:lang w:val="en-GB"/>
        </w:rPr>
        <w:t>. This may be because a wide age range of children (7 mo</w:t>
      </w:r>
      <w:r w:rsidR="00EA3A1B" w:rsidRPr="006F225A">
        <w:rPr>
          <w:lang w:val="en-GB"/>
        </w:rPr>
        <w:t>nths</w:t>
      </w:r>
      <w:r w:rsidR="007F3D87" w:rsidRPr="006F225A">
        <w:rPr>
          <w:lang w:val="en-GB"/>
        </w:rPr>
        <w:t>–</w:t>
      </w:r>
      <w:r w:rsidRPr="006F225A">
        <w:rPr>
          <w:lang w:val="en-GB"/>
        </w:rPr>
        <w:t>14 years) were included in this study. On the other hand, dehydration may develop not only in enteritis</w:t>
      </w:r>
      <w:r w:rsidR="00CD4210" w:rsidRPr="006F225A">
        <w:rPr>
          <w:lang w:val="en-GB"/>
        </w:rPr>
        <w:t>,</w:t>
      </w:r>
      <w:r w:rsidRPr="006F225A">
        <w:rPr>
          <w:lang w:val="en-GB"/>
        </w:rPr>
        <w:t xml:space="preserve"> but also in the course of other infections in </w:t>
      </w:r>
      <w:r w:rsidR="005F4355" w:rsidRPr="006F225A">
        <w:rPr>
          <w:lang w:val="en-GB"/>
        </w:rPr>
        <w:t>paediatric</w:t>
      </w:r>
      <w:r w:rsidRPr="006F225A">
        <w:rPr>
          <w:lang w:val="en-GB"/>
        </w:rPr>
        <w:t xml:space="preserve"> patients and IV rehydration may be needed. For example, in infants infected with influenza, both nutrition and fluid intake decrease due to fever and respiratory abnormalities, and nausea and </w:t>
      </w:r>
      <w:r w:rsidR="005F4355" w:rsidRPr="006F225A">
        <w:rPr>
          <w:lang w:val="en-GB"/>
        </w:rPr>
        <w:t>diarrhoea</w:t>
      </w:r>
      <w:r w:rsidRPr="006F225A">
        <w:rPr>
          <w:lang w:val="en-GB"/>
        </w:rPr>
        <w:t xml:space="preserve"> increase fluid loss. Moreover, </w:t>
      </w:r>
      <w:proofErr w:type="gramStart"/>
      <w:r w:rsidRPr="006F225A">
        <w:rPr>
          <w:lang w:val="en-GB"/>
        </w:rPr>
        <w:t>bacterial</w:t>
      </w:r>
      <w:proofErr w:type="gramEnd"/>
      <w:r w:rsidRPr="006F225A">
        <w:rPr>
          <w:lang w:val="en-GB"/>
        </w:rPr>
        <w:t xml:space="preserve"> and viral co-infections can exacerbate these conditions. Therefore, half of hospital</w:t>
      </w:r>
      <w:r w:rsidR="00A22CD3" w:rsidRPr="006F225A">
        <w:rPr>
          <w:lang w:val="en-GB"/>
        </w:rPr>
        <w:t>ise</w:t>
      </w:r>
      <w:r w:rsidRPr="006F225A">
        <w:rPr>
          <w:lang w:val="en-GB"/>
        </w:rPr>
        <w:t xml:space="preserve">d infants undergo IV rehydration </w:t>
      </w:r>
      <w:r w:rsidR="0013448B" w:rsidRPr="006F225A">
        <w:rPr>
          <w:lang w:val="en-GB"/>
        </w:rPr>
        <w:t>[3</w:t>
      </w:r>
      <w:r w:rsidR="00120E5A" w:rsidRPr="006F225A">
        <w:rPr>
          <w:lang w:val="en-GB"/>
        </w:rPr>
        <w:t>2</w:t>
      </w:r>
      <w:r w:rsidR="0013448B" w:rsidRPr="006F225A">
        <w:rPr>
          <w:lang w:val="en-GB"/>
        </w:rPr>
        <w:t>]</w:t>
      </w:r>
      <w:r w:rsidRPr="006F225A">
        <w:rPr>
          <w:lang w:val="en-GB"/>
        </w:rPr>
        <w:t>. Although nasogastric hydration has been found to be safe and effective in infants hospital</w:t>
      </w:r>
      <w:r w:rsidR="00A22CD3" w:rsidRPr="006F225A">
        <w:rPr>
          <w:lang w:val="en-GB"/>
        </w:rPr>
        <w:t>ise</w:t>
      </w:r>
      <w:r w:rsidRPr="006F225A">
        <w:rPr>
          <w:lang w:val="en-GB"/>
        </w:rPr>
        <w:t xml:space="preserve">d for bronchiolitis, it is known that 31% of them are administered IV fluid hydration, and these are sicker infants who are followed up in the intensive care unit and receive IV antibiotic therapy </w:t>
      </w:r>
      <w:r w:rsidR="0013448B" w:rsidRPr="006F225A">
        <w:rPr>
          <w:lang w:val="en-GB"/>
        </w:rPr>
        <w:t>[3</w:t>
      </w:r>
      <w:r w:rsidR="00120E5A" w:rsidRPr="006F225A">
        <w:rPr>
          <w:lang w:val="en-GB"/>
        </w:rPr>
        <w:t>3</w:t>
      </w:r>
      <w:r w:rsidR="0013448B" w:rsidRPr="006F225A">
        <w:rPr>
          <w:lang w:val="en-GB"/>
        </w:rPr>
        <w:t>]</w:t>
      </w:r>
      <w:r w:rsidRPr="006F225A">
        <w:rPr>
          <w:lang w:val="en-GB"/>
        </w:rPr>
        <w:t>. One of the most important problems in children with neuromuscular diseases or in children in underdeveloped countries (based on malnutrition) is weakness/fatigue, infections</w:t>
      </w:r>
      <w:r w:rsidR="00CD4210" w:rsidRPr="006F225A">
        <w:rPr>
          <w:lang w:val="en-GB"/>
        </w:rPr>
        <w:t>,</w:t>
      </w:r>
      <w:r w:rsidRPr="006F225A">
        <w:rPr>
          <w:lang w:val="en-GB"/>
        </w:rPr>
        <w:t xml:space="preserve"> and metabolic disturbances, and all of these can deteriorate the general health status of patients and cause dehydration </w:t>
      </w:r>
      <w:r w:rsidR="0013448B" w:rsidRPr="006F225A">
        <w:rPr>
          <w:lang w:val="en-GB"/>
        </w:rPr>
        <w:t>[3</w:t>
      </w:r>
      <w:r w:rsidR="00120E5A" w:rsidRPr="006F225A">
        <w:rPr>
          <w:lang w:val="en-GB"/>
        </w:rPr>
        <w:t>0</w:t>
      </w:r>
      <w:r w:rsidR="0013448B" w:rsidRPr="006F225A">
        <w:rPr>
          <w:lang w:val="en-GB"/>
        </w:rPr>
        <w:t>,3</w:t>
      </w:r>
      <w:r w:rsidR="00120E5A" w:rsidRPr="006F225A">
        <w:rPr>
          <w:lang w:val="en-GB"/>
        </w:rPr>
        <w:t>1</w:t>
      </w:r>
      <w:r w:rsidR="0013448B" w:rsidRPr="006F225A">
        <w:rPr>
          <w:lang w:val="en-GB"/>
        </w:rPr>
        <w:t>]</w:t>
      </w:r>
      <w:r w:rsidRPr="006F225A">
        <w:rPr>
          <w:lang w:val="en-GB"/>
        </w:rPr>
        <w:t xml:space="preserve">. Therefore, dehydration requiring IV rehydration treatment is present in 23% of patients with severe acute malnutrition and 34% of children with neuromuscular disease admitted to the emergency department </w:t>
      </w:r>
      <w:r w:rsidR="0013448B" w:rsidRPr="006F225A">
        <w:rPr>
          <w:lang w:val="en-GB"/>
        </w:rPr>
        <w:t>[3</w:t>
      </w:r>
      <w:r w:rsidR="00120E5A" w:rsidRPr="006F225A">
        <w:rPr>
          <w:lang w:val="en-GB"/>
        </w:rPr>
        <w:t>0</w:t>
      </w:r>
      <w:r w:rsidR="0013448B" w:rsidRPr="006F225A">
        <w:rPr>
          <w:lang w:val="en-GB"/>
        </w:rPr>
        <w:t>,3</w:t>
      </w:r>
      <w:r w:rsidR="00120E5A" w:rsidRPr="006F225A">
        <w:rPr>
          <w:lang w:val="en-GB"/>
        </w:rPr>
        <w:t>1</w:t>
      </w:r>
      <w:r w:rsidR="0013448B" w:rsidRPr="006F225A">
        <w:rPr>
          <w:lang w:val="en-GB"/>
        </w:rPr>
        <w:t>]</w:t>
      </w:r>
      <w:r w:rsidRPr="006F225A">
        <w:rPr>
          <w:lang w:val="en-GB"/>
        </w:rPr>
        <w:t xml:space="preserve">. Considering the </w:t>
      </w:r>
      <w:proofErr w:type="gramStart"/>
      <w:r w:rsidRPr="006F225A">
        <w:rPr>
          <w:lang w:val="en-GB"/>
        </w:rPr>
        <w:t>aforementioned</w:t>
      </w:r>
      <w:r w:rsidR="00CD4210" w:rsidRPr="006F225A">
        <w:rPr>
          <w:lang w:val="en-GB"/>
        </w:rPr>
        <w:t xml:space="preserve"> data</w:t>
      </w:r>
      <w:proofErr w:type="gramEnd"/>
      <w:r w:rsidRPr="006F225A">
        <w:rPr>
          <w:lang w:val="en-GB"/>
        </w:rPr>
        <w:t>, it becomes clear that there are many factors, such as severity of illness</w:t>
      </w:r>
      <w:r w:rsidR="00CD4210" w:rsidRPr="006F225A">
        <w:rPr>
          <w:lang w:val="en-GB"/>
        </w:rPr>
        <w:t xml:space="preserve"> and</w:t>
      </w:r>
      <w:r w:rsidRPr="006F225A">
        <w:rPr>
          <w:lang w:val="en-GB"/>
        </w:rPr>
        <w:t xml:space="preserve"> concomitant infections, affecting IV rehydration therapy in </w:t>
      </w:r>
      <w:r w:rsidR="005F4355" w:rsidRPr="006F225A">
        <w:rPr>
          <w:lang w:val="en-GB"/>
        </w:rPr>
        <w:t>paediatric</w:t>
      </w:r>
      <w:r w:rsidRPr="006F225A">
        <w:rPr>
          <w:lang w:val="en-GB"/>
        </w:rPr>
        <w:t xml:space="preserve"> practice</w:t>
      </w:r>
      <w:r w:rsidR="00CD4210" w:rsidRPr="006F225A">
        <w:rPr>
          <w:lang w:val="en-GB"/>
        </w:rPr>
        <w:t>,</w:t>
      </w:r>
      <w:r w:rsidRPr="006F225A">
        <w:rPr>
          <w:lang w:val="en-GB"/>
        </w:rPr>
        <w:t xml:space="preserve"> and treatment should be individual</w:t>
      </w:r>
      <w:r w:rsidR="00A22CD3" w:rsidRPr="006F225A">
        <w:rPr>
          <w:lang w:val="en-GB"/>
        </w:rPr>
        <w:t>ise</w:t>
      </w:r>
      <w:r w:rsidRPr="006F225A">
        <w:rPr>
          <w:lang w:val="en-GB"/>
        </w:rPr>
        <w:t>d.</w:t>
      </w:r>
    </w:p>
    <w:p w14:paraId="454FF1CA" w14:textId="72200B97" w:rsidR="007D380B" w:rsidRPr="006F225A" w:rsidRDefault="007D380B" w:rsidP="00716A4E">
      <w:pPr>
        <w:pStyle w:val="MDPI31text"/>
        <w:rPr>
          <w:b/>
          <w:lang w:val="en-GB"/>
        </w:rPr>
      </w:pPr>
      <w:r w:rsidRPr="006F225A">
        <w:rPr>
          <w:lang w:val="en-GB"/>
        </w:rPr>
        <w:t>Regarding the adult population, the highest prevalence of IV rehydration therapy was observed amongst patients hospital</w:t>
      </w:r>
      <w:r w:rsidR="00A22CD3" w:rsidRPr="006F225A">
        <w:rPr>
          <w:lang w:val="en-GB"/>
        </w:rPr>
        <w:t>ise</w:t>
      </w:r>
      <w:r w:rsidRPr="006F225A">
        <w:rPr>
          <w:lang w:val="en-GB"/>
        </w:rPr>
        <w:t>d with cholera</w:t>
      </w:r>
      <w:r w:rsidR="00CD4210" w:rsidRPr="006F225A">
        <w:rPr>
          <w:lang w:val="en-GB"/>
        </w:rPr>
        <w:t>,</w:t>
      </w:r>
      <w:r w:rsidRPr="006F225A">
        <w:rPr>
          <w:lang w:val="en-GB"/>
        </w:rPr>
        <w:t xml:space="preserve"> and almost all patients admitted received IV fluids, because there was a history of vomiting, which may have influenced the decision to treat with IV fluids in these patients; thus, they could not consume oral rehydration solution </w:t>
      </w:r>
      <w:r w:rsidR="0013448B" w:rsidRPr="006F225A">
        <w:rPr>
          <w:lang w:val="en-GB"/>
        </w:rPr>
        <w:t>[3</w:t>
      </w:r>
      <w:r w:rsidR="00726E45" w:rsidRPr="006F225A">
        <w:rPr>
          <w:lang w:val="en-GB"/>
        </w:rPr>
        <w:t>7</w:t>
      </w:r>
      <w:r w:rsidR="0013448B" w:rsidRPr="006F225A">
        <w:rPr>
          <w:lang w:val="en-GB"/>
        </w:rPr>
        <w:t>]</w:t>
      </w:r>
      <w:r w:rsidRPr="006F225A">
        <w:rPr>
          <w:lang w:val="en-GB"/>
        </w:rPr>
        <w:t xml:space="preserve">. Whilst the lowest prevalence (1.5%) of IV rehydration therapy was seen amongst patients who had single substance ingestion of </w:t>
      </w:r>
      <w:proofErr w:type="spellStart"/>
      <w:r w:rsidRPr="006F225A">
        <w:rPr>
          <w:lang w:val="en-GB"/>
        </w:rPr>
        <w:t>modafanil</w:t>
      </w:r>
      <w:proofErr w:type="spellEnd"/>
      <w:r w:rsidRPr="006F225A">
        <w:rPr>
          <w:lang w:val="en-GB"/>
        </w:rPr>
        <w:t xml:space="preserve"> </w:t>
      </w:r>
      <w:r w:rsidR="0013448B" w:rsidRPr="006F225A">
        <w:rPr>
          <w:lang w:val="en-GB"/>
        </w:rPr>
        <w:t>[3</w:t>
      </w:r>
      <w:r w:rsidR="00726E45" w:rsidRPr="006F225A">
        <w:rPr>
          <w:lang w:val="en-GB"/>
        </w:rPr>
        <w:t>8</w:t>
      </w:r>
      <w:r w:rsidR="0013448B" w:rsidRPr="006F225A">
        <w:rPr>
          <w:lang w:val="en-GB"/>
        </w:rPr>
        <w:t>]</w:t>
      </w:r>
      <w:r w:rsidRPr="006F225A">
        <w:rPr>
          <w:lang w:val="en-GB"/>
        </w:rPr>
        <w:t>. Additionally, patients with postural tachycardia syndrome often have gastrointestinal symptoms</w:t>
      </w:r>
      <w:r w:rsidR="00CD4210" w:rsidRPr="006F225A">
        <w:rPr>
          <w:lang w:val="en-GB"/>
        </w:rPr>
        <w:t>,</w:t>
      </w:r>
      <w:r w:rsidRPr="006F225A">
        <w:rPr>
          <w:lang w:val="en-GB"/>
        </w:rPr>
        <w:t xml:space="preserve"> and sometimes, these symptoms can be so severe that non-oral nutritional/hydration support, including IV fluids, may be required. Tseng et al. found this ratio as 6.3% </w:t>
      </w:r>
      <w:r w:rsidR="0013448B" w:rsidRPr="006F225A">
        <w:rPr>
          <w:lang w:val="en-GB"/>
        </w:rPr>
        <w:t>[4</w:t>
      </w:r>
      <w:r w:rsidR="00726E45" w:rsidRPr="006F225A">
        <w:rPr>
          <w:lang w:val="en-GB"/>
        </w:rPr>
        <w:t>1</w:t>
      </w:r>
      <w:r w:rsidR="0013448B" w:rsidRPr="006F225A">
        <w:rPr>
          <w:lang w:val="en-GB"/>
        </w:rPr>
        <w:t>]</w:t>
      </w:r>
      <w:r w:rsidRPr="006F225A">
        <w:rPr>
          <w:lang w:val="en-GB"/>
        </w:rPr>
        <w:t>. In the Machado et al</w:t>
      </w:r>
      <w:r w:rsidR="002D3F46" w:rsidRPr="006F225A">
        <w:rPr>
          <w:lang w:val="en-GB"/>
        </w:rPr>
        <w:t>.</w:t>
      </w:r>
      <w:r w:rsidRPr="006F225A">
        <w:rPr>
          <w:lang w:val="en-GB"/>
        </w:rPr>
        <w:t xml:space="preserve">’s study, IV rehydration was administered in all patients </w:t>
      </w:r>
      <w:r w:rsidR="00CD4210" w:rsidRPr="006F225A">
        <w:rPr>
          <w:lang w:val="en-GB"/>
        </w:rPr>
        <w:t xml:space="preserve">positive for </w:t>
      </w:r>
      <w:r w:rsidRPr="006F225A">
        <w:rPr>
          <w:lang w:val="en-GB"/>
        </w:rPr>
        <w:t>calcium supplement syndrome (22% of hypercalcemia cases)</w:t>
      </w:r>
      <w:r w:rsidR="00CD4210" w:rsidRPr="006F225A">
        <w:rPr>
          <w:lang w:val="en-GB"/>
        </w:rPr>
        <w:t>;</w:t>
      </w:r>
      <w:r w:rsidRPr="006F225A">
        <w:rPr>
          <w:lang w:val="en-GB"/>
        </w:rPr>
        <w:t xml:space="preserve"> supplements were discontinued</w:t>
      </w:r>
      <w:r w:rsidR="00CD4210" w:rsidRPr="006F225A">
        <w:rPr>
          <w:lang w:val="en-GB"/>
        </w:rPr>
        <w:t>,</w:t>
      </w:r>
      <w:r w:rsidRPr="006F225A">
        <w:rPr>
          <w:lang w:val="en-GB"/>
        </w:rPr>
        <w:t xml:space="preserve"> and calcium level at discharge was found as normal in 80% of patients </w:t>
      </w:r>
      <w:r w:rsidR="0013448B" w:rsidRPr="006F225A">
        <w:rPr>
          <w:lang w:val="en-GB"/>
        </w:rPr>
        <w:t>[4</w:t>
      </w:r>
      <w:r w:rsidR="00726E45" w:rsidRPr="006F225A">
        <w:rPr>
          <w:lang w:val="en-GB"/>
        </w:rPr>
        <w:t>0</w:t>
      </w:r>
      <w:r w:rsidR="0013448B" w:rsidRPr="006F225A">
        <w:rPr>
          <w:lang w:val="en-GB"/>
        </w:rPr>
        <w:t>]</w:t>
      </w:r>
      <w:r w:rsidRPr="006F225A">
        <w:rPr>
          <w:lang w:val="en-GB"/>
        </w:rPr>
        <w:t xml:space="preserve">. IV </w:t>
      </w:r>
      <w:r w:rsidRPr="006F225A">
        <w:rPr>
          <w:lang w:val="en-GB"/>
        </w:rPr>
        <w:lastRenderedPageBreak/>
        <w:t xml:space="preserve">rehydration therapies are also frequently used for electrolyte disturbances. However, this review showed that IV rehydration was required mostly for dehydration-related hypernatremia in children, while it was also necessary for hypercalcemia in adults. Although IV rehydration therapies have many clear indications, there are still some dilemmas and ethical issues regarding its role in end of life or palliative care </w:t>
      </w:r>
      <w:r w:rsidR="0013448B" w:rsidRPr="006F225A">
        <w:rPr>
          <w:lang w:val="en-GB"/>
        </w:rPr>
        <w:t>[4</w:t>
      </w:r>
      <w:r w:rsidR="00726E45" w:rsidRPr="006F225A">
        <w:rPr>
          <w:lang w:val="en-GB"/>
        </w:rPr>
        <w:t>2</w:t>
      </w:r>
      <w:r w:rsidR="0013448B" w:rsidRPr="006F225A">
        <w:rPr>
          <w:lang w:val="en-GB"/>
        </w:rPr>
        <w:t>]</w:t>
      </w:r>
      <w:r w:rsidRPr="006F225A">
        <w:rPr>
          <w:lang w:val="en-GB"/>
        </w:rPr>
        <w:t xml:space="preserve">. </w:t>
      </w:r>
      <w:r w:rsidR="00A00E63" w:rsidRPr="006F225A">
        <w:rPr>
          <w:lang w:val="en-GB"/>
        </w:rPr>
        <w:t>Withholding and withdrawing hydration from terminally ill patients poses many ethical challenges.</w:t>
      </w:r>
      <w:r w:rsidR="006A6E60" w:rsidRPr="006F225A">
        <w:rPr>
          <w:lang w:val="en-GB"/>
        </w:rPr>
        <w:t xml:space="preserve"> For example, from the perspective of Islam, rules governing the care of terminally ill patients are derived from the principle that injury and harm should be prevented or avoided. The hastening of death by the withdrawal of food and drink is forbidden, but Islamic law permits the withdrawal of futile, death-delaying treatment, including life support </w:t>
      </w:r>
      <w:r w:rsidR="00BE3419" w:rsidRPr="006F225A">
        <w:rPr>
          <w:lang w:val="en-GB"/>
        </w:rPr>
        <w:t>[43]</w:t>
      </w:r>
      <w:r w:rsidR="002D1B2E" w:rsidRPr="006F225A">
        <w:rPr>
          <w:lang w:val="en-GB"/>
        </w:rPr>
        <w:t xml:space="preserve">. </w:t>
      </w:r>
      <w:r w:rsidRPr="006F225A">
        <w:rPr>
          <w:lang w:val="en-GB"/>
        </w:rPr>
        <w:t xml:space="preserve">In the present review, </w:t>
      </w:r>
      <w:proofErr w:type="spellStart"/>
      <w:r w:rsidRPr="006F225A">
        <w:rPr>
          <w:lang w:val="en-GB"/>
        </w:rPr>
        <w:t>Thronaes</w:t>
      </w:r>
      <w:proofErr w:type="spellEnd"/>
      <w:r w:rsidRPr="006F225A">
        <w:rPr>
          <w:lang w:val="en-GB"/>
        </w:rPr>
        <w:t xml:space="preserve"> et al. et al., found that IV rehydration was applied in half of incurable cancer patients </w:t>
      </w:r>
      <w:r w:rsidR="0013448B" w:rsidRPr="006F225A">
        <w:rPr>
          <w:lang w:val="en-GB"/>
        </w:rPr>
        <w:t>[3</w:t>
      </w:r>
      <w:r w:rsidR="00726E45" w:rsidRPr="006F225A">
        <w:rPr>
          <w:lang w:val="en-GB"/>
        </w:rPr>
        <w:t>4</w:t>
      </w:r>
      <w:r w:rsidR="0013448B" w:rsidRPr="006F225A">
        <w:rPr>
          <w:lang w:val="en-GB"/>
        </w:rPr>
        <w:t>]</w:t>
      </w:r>
      <w:r w:rsidRPr="006F225A">
        <w:rPr>
          <w:lang w:val="en-GB"/>
        </w:rPr>
        <w:t>. Therefore, withholding and withdrawing artificial nutrition and hydration must be evaluated in specific situations (terminally ill patients, palliative care, dementia, aged patients) and always case by case in an individual manner. It is important to treat patients appropriately to their cultural and spiritual needs.</w:t>
      </w:r>
    </w:p>
    <w:p w14:paraId="26FBB271" w14:textId="1A8E13C6" w:rsidR="007D380B" w:rsidRPr="006F225A" w:rsidRDefault="007D380B" w:rsidP="00716A4E">
      <w:pPr>
        <w:pStyle w:val="MDPI31text"/>
        <w:rPr>
          <w:b/>
          <w:lang w:val="en-GB"/>
        </w:rPr>
      </w:pPr>
      <w:proofErr w:type="gramStart"/>
      <w:r w:rsidRPr="006F225A">
        <w:rPr>
          <w:lang w:val="en-GB"/>
        </w:rPr>
        <w:t>Despite the fact that</w:t>
      </w:r>
      <w:proofErr w:type="gramEnd"/>
      <w:r w:rsidRPr="006F225A">
        <w:rPr>
          <w:lang w:val="en-GB"/>
        </w:rPr>
        <w:t xml:space="preserve"> standard rehydration guidelines for a range of conditions and different settings exist, IV fluids tend to be </w:t>
      </w:r>
      <w:proofErr w:type="spellStart"/>
      <w:r w:rsidR="00CD4210" w:rsidRPr="006F225A">
        <w:rPr>
          <w:lang w:val="en-GB"/>
        </w:rPr>
        <w:t>overutilised</w:t>
      </w:r>
      <w:proofErr w:type="spellEnd"/>
      <w:r w:rsidRPr="006F225A">
        <w:rPr>
          <w:lang w:val="en-GB"/>
        </w:rPr>
        <w:t xml:space="preserve">. In fact, IV fluids are so ubiquitous in hospitals that one would forget considering </w:t>
      </w:r>
      <w:r w:rsidR="00B25442" w:rsidRPr="006F225A">
        <w:rPr>
          <w:lang w:val="en-GB"/>
        </w:rPr>
        <w:t>the</w:t>
      </w:r>
      <w:r w:rsidRPr="006F225A">
        <w:rPr>
          <w:lang w:val="en-GB"/>
        </w:rPr>
        <w:t xml:space="preserve"> indications. For instance, the World Health Organisation advises the use of oral rehydration to treat mild or moderate dehydration secondary to diarrhoea, and IV rehydration to only treat severe dehydration </w:t>
      </w:r>
      <w:r w:rsidR="00FB1B04" w:rsidRPr="006F225A">
        <w:rPr>
          <w:lang w:val="en-GB"/>
        </w:rPr>
        <w:t>[4</w:t>
      </w:r>
      <w:r w:rsidR="00BE3419" w:rsidRPr="006F225A">
        <w:rPr>
          <w:lang w:val="en-GB"/>
        </w:rPr>
        <w:t>4</w:t>
      </w:r>
      <w:r w:rsidR="00FB1B04" w:rsidRPr="006F225A">
        <w:rPr>
          <w:lang w:val="en-GB"/>
        </w:rPr>
        <w:t>]</w:t>
      </w:r>
      <w:r w:rsidR="00B25442" w:rsidRPr="006F225A">
        <w:rPr>
          <w:lang w:val="en-GB"/>
        </w:rPr>
        <w:t>;</w:t>
      </w:r>
      <w:r w:rsidRPr="006F225A">
        <w:rPr>
          <w:lang w:val="en-GB"/>
        </w:rPr>
        <w:t xml:space="preserve"> many emergency departments and primary care physicians prefer to use IV fluids over oral rehydration solutions for children who are dehydrated </w:t>
      </w:r>
      <w:r w:rsidR="00FB1B04" w:rsidRPr="006F225A">
        <w:rPr>
          <w:lang w:val="en-GB"/>
        </w:rPr>
        <w:t>[4</w:t>
      </w:r>
      <w:r w:rsidR="00BE3419" w:rsidRPr="006F225A">
        <w:rPr>
          <w:lang w:val="en-GB"/>
        </w:rPr>
        <w:t>5</w:t>
      </w:r>
      <w:r w:rsidR="00FB1B04" w:rsidRPr="006F225A">
        <w:rPr>
          <w:lang w:val="en-GB"/>
        </w:rPr>
        <w:t>,4</w:t>
      </w:r>
      <w:r w:rsidR="00BE3419" w:rsidRPr="006F225A">
        <w:rPr>
          <w:lang w:val="en-GB"/>
        </w:rPr>
        <w:t>6</w:t>
      </w:r>
      <w:r w:rsidR="00FB1B04" w:rsidRPr="006F225A">
        <w:rPr>
          <w:lang w:val="en-GB"/>
        </w:rPr>
        <w:t>]</w:t>
      </w:r>
      <w:r w:rsidRPr="006F225A">
        <w:rPr>
          <w:lang w:val="en-GB"/>
        </w:rPr>
        <w:t>. Such findings indicate a large gap between clinical guidelines and current clinical practice. Furthermore, Abdul-</w:t>
      </w:r>
      <w:proofErr w:type="spellStart"/>
      <w:r w:rsidRPr="006F225A">
        <w:rPr>
          <w:lang w:val="en-GB"/>
        </w:rPr>
        <w:t>Mumin</w:t>
      </w:r>
      <w:proofErr w:type="spellEnd"/>
      <w:r w:rsidRPr="006F225A">
        <w:rPr>
          <w:lang w:val="en-GB"/>
        </w:rPr>
        <w:t xml:space="preserve"> </w:t>
      </w:r>
      <w:r w:rsidR="00FB1B04" w:rsidRPr="006F225A">
        <w:rPr>
          <w:lang w:val="en-GB"/>
        </w:rPr>
        <w:t>[1</w:t>
      </w:r>
      <w:r w:rsidR="00726E45" w:rsidRPr="006F225A">
        <w:rPr>
          <w:lang w:val="en-GB"/>
        </w:rPr>
        <w:t>7</w:t>
      </w:r>
      <w:r w:rsidR="00FB1B04" w:rsidRPr="006F225A">
        <w:rPr>
          <w:lang w:val="en-GB"/>
        </w:rPr>
        <w:t>]</w:t>
      </w:r>
      <w:r w:rsidRPr="006F225A">
        <w:rPr>
          <w:lang w:val="en-GB"/>
        </w:rPr>
        <w:t xml:space="preserve"> reported that 70% of </w:t>
      </w:r>
      <w:r w:rsidR="005F4355" w:rsidRPr="006F225A">
        <w:rPr>
          <w:lang w:val="en-GB"/>
        </w:rPr>
        <w:t>paediatric</w:t>
      </w:r>
      <w:r w:rsidRPr="006F225A">
        <w:rPr>
          <w:lang w:val="en-GB"/>
        </w:rPr>
        <w:t xml:space="preserve"> patients who had no dehydration status at the time of admission received IV fluids. This could reflect both incorrect use of IV solutions and poor evaluation/documentation of hydration status. Therefore, the initial assessment of the patient should also include the decision on whether the patient </w:t>
      </w:r>
      <w:proofErr w:type="gramStart"/>
      <w:r w:rsidRPr="006F225A">
        <w:rPr>
          <w:lang w:val="en-GB"/>
        </w:rPr>
        <w:t>actually requires</w:t>
      </w:r>
      <w:proofErr w:type="gramEnd"/>
      <w:r w:rsidRPr="006F225A">
        <w:rPr>
          <w:lang w:val="en-GB"/>
        </w:rPr>
        <w:t xml:space="preserve"> IV rehydration</w:t>
      </w:r>
      <w:r w:rsidR="00B25442" w:rsidRPr="006F225A">
        <w:rPr>
          <w:lang w:val="en-GB"/>
        </w:rPr>
        <w:t>,</w:t>
      </w:r>
      <w:r w:rsidRPr="006F225A">
        <w:rPr>
          <w:lang w:val="en-GB"/>
        </w:rPr>
        <w:t xml:space="preserve"> and if that is the case, tailor it to the specific needs of that patient.</w:t>
      </w:r>
    </w:p>
    <w:p w14:paraId="20F96DA6" w14:textId="57996234" w:rsidR="007D380B" w:rsidRPr="006F225A" w:rsidRDefault="007D380B" w:rsidP="00716A4E">
      <w:pPr>
        <w:pStyle w:val="MDPI31text"/>
        <w:rPr>
          <w:b/>
          <w:lang w:val="en-GB"/>
        </w:rPr>
      </w:pPr>
      <w:r w:rsidRPr="006F225A">
        <w:rPr>
          <w:lang w:val="en-GB"/>
        </w:rPr>
        <w:t xml:space="preserve">The findings of our study should be interpreted within its limitations. First, we had to include highly heterogeneous populations. </w:t>
      </w:r>
      <w:r w:rsidR="00115B3A" w:rsidRPr="006F225A">
        <w:rPr>
          <w:lang w:val="en-GB"/>
        </w:rPr>
        <w:t>Moreover, owing to many original studies included in the review not reporting IV rehydration prevalence by definite age-range groups</w:t>
      </w:r>
      <w:r w:rsidR="00B25442" w:rsidRPr="006F225A">
        <w:rPr>
          <w:lang w:val="en-GB"/>
        </w:rPr>
        <w:t>,</w:t>
      </w:r>
      <w:r w:rsidR="00115B3A" w:rsidRPr="006F225A">
        <w:rPr>
          <w:lang w:val="en-GB"/>
        </w:rPr>
        <w:t xml:space="preserve"> it was not possible to provide accurate data for prevalence by age group. Future studies reporting prevalence of IV rehydration should attempt to report data by definite age-range groups. </w:t>
      </w:r>
      <w:r w:rsidRPr="006F225A">
        <w:rPr>
          <w:lang w:val="en-GB"/>
        </w:rPr>
        <w:t xml:space="preserve">Second, evaluation was made independent of the type, content, and infusion rate of IV rehydration therapy. Third, the prevalence and indications of IV rehydration therapy were assessed, but outcomes could not be evaluated. Nonetheless, our systematic review is the first and included </w:t>
      </w:r>
      <w:proofErr w:type="gramStart"/>
      <w:r w:rsidRPr="006F225A">
        <w:rPr>
          <w:lang w:val="en-GB"/>
        </w:rPr>
        <w:t>a large number of</w:t>
      </w:r>
      <w:proofErr w:type="gramEnd"/>
      <w:r w:rsidRPr="006F225A">
        <w:rPr>
          <w:lang w:val="en-GB"/>
        </w:rPr>
        <w:t xml:space="preserve"> studies regarding important issue on IV rehydration therapy.</w:t>
      </w:r>
      <w:r w:rsidR="00115B3A" w:rsidRPr="006F225A">
        <w:rPr>
          <w:lang w:val="en-GB"/>
        </w:rPr>
        <w:t xml:space="preserve"> Finally, while studies reported the condition for which the populations were hospitalised</w:t>
      </w:r>
      <w:r w:rsidR="00B25442" w:rsidRPr="006F225A">
        <w:rPr>
          <w:lang w:val="en-GB"/>
        </w:rPr>
        <w:t>,</w:t>
      </w:r>
      <w:r w:rsidR="00115B3A" w:rsidRPr="006F225A">
        <w:rPr>
          <w:lang w:val="en-GB"/>
        </w:rPr>
        <w:t xml:space="preserve"> the exact reason</w:t>
      </w:r>
      <w:r w:rsidR="00F97696" w:rsidRPr="006F225A">
        <w:rPr>
          <w:lang w:val="en-GB"/>
        </w:rPr>
        <w:t>s</w:t>
      </w:r>
      <w:r w:rsidR="00115B3A" w:rsidRPr="006F225A">
        <w:rPr>
          <w:lang w:val="en-GB"/>
        </w:rPr>
        <w:t xml:space="preserve"> for hospitalisation (e.g., complications or exacerbations) were not reported.</w:t>
      </w:r>
    </w:p>
    <w:p w14:paraId="1BF02F8E" w14:textId="06A00AEB" w:rsidR="00F538A4" w:rsidRPr="006F225A" w:rsidRDefault="00716A4E" w:rsidP="00716A4E">
      <w:pPr>
        <w:pStyle w:val="MDPI21heading1"/>
        <w:rPr>
          <w:lang w:val="en-GB"/>
        </w:rPr>
      </w:pPr>
      <w:r w:rsidRPr="006F225A">
        <w:rPr>
          <w:lang w:val="en-GB"/>
        </w:rPr>
        <w:t xml:space="preserve">5. </w:t>
      </w:r>
      <w:r w:rsidR="00F538A4" w:rsidRPr="006F225A">
        <w:rPr>
          <w:lang w:val="en-GB"/>
        </w:rPr>
        <w:t>Conclusions</w:t>
      </w:r>
    </w:p>
    <w:p w14:paraId="685D218A" w14:textId="25CB11F8" w:rsidR="007D380B" w:rsidRPr="006F225A" w:rsidRDefault="007D380B" w:rsidP="00716A4E">
      <w:pPr>
        <w:pStyle w:val="MDPI31text"/>
        <w:rPr>
          <w:b/>
          <w:lang w:val="en-GB"/>
        </w:rPr>
      </w:pPr>
      <w:r w:rsidRPr="006F225A">
        <w:rPr>
          <w:lang w:val="en-GB"/>
        </w:rPr>
        <w:t xml:space="preserve">In conclusion, IV rehydration therapy can be applied both as a part of the primary treatment in cases caused by dehydration and as a supportive treatment in some conditions, such as drug intoxication, cancer, and postural tachycardia syndrome. While IV rehydration therapy is often implemented owing to dehydration and </w:t>
      </w:r>
      <w:r w:rsidR="005F4355" w:rsidRPr="006F225A">
        <w:rPr>
          <w:lang w:val="en-GB"/>
        </w:rPr>
        <w:t>diarrhoea</w:t>
      </w:r>
      <w:r w:rsidRPr="006F225A">
        <w:rPr>
          <w:lang w:val="en-GB"/>
        </w:rPr>
        <w:t xml:space="preserve"> in children, it is used in a broader spectrum in adults. While IV rehydration therapy is critical, especially for hospital</w:t>
      </w:r>
      <w:r w:rsidR="00A22CD3" w:rsidRPr="006F225A">
        <w:rPr>
          <w:lang w:val="en-GB"/>
        </w:rPr>
        <w:t>ise</w:t>
      </w:r>
      <w:r w:rsidRPr="006F225A">
        <w:rPr>
          <w:lang w:val="en-GB"/>
        </w:rPr>
        <w:t>d patients, maintenance fluid prescribing practices vary considerably, and guidelines are scarce. Therefore, in some cases, an interprofessional team approach is required to achieve optimum fluid balance for these patients.</w:t>
      </w:r>
    </w:p>
    <w:p w14:paraId="5217EEF0" w14:textId="745C583D" w:rsidR="00716A4E" w:rsidRPr="006F225A" w:rsidRDefault="00716A4E" w:rsidP="00716A4E">
      <w:pPr>
        <w:pStyle w:val="MDPI62BackMatter"/>
        <w:spacing w:before="240"/>
        <w:rPr>
          <w:lang w:val="en-GB"/>
        </w:rPr>
      </w:pPr>
      <w:r w:rsidRPr="006F225A">
        <w:rPr>
          <w:b/>
          <w:lang w:val="en-GB"/>
        </w:rPr>
        <w:t xml:space="preserve">Supplementary Materials: </w:t>
      </w:r>
      <w:r w:rsidRPr="006F225A">
        <w:rPr>
          <w:lang w:val="en-GB"/>
        </w:rPr>
        <w:t xml:space="preserve">The following supporting information can be downloaded at: www.mdpi.com/xxx/s1, Table S1: </w:t>
      </w:r>
      <w:r w:rsidR="00DC6C8F" w:rsidRPr="006F225A">
        <w:rPr>
          <w:lang w:val="en-GB"/>
        </w:rPr>
        <w:t>Database search strategy</w:t>
      </w:r>
      <w:r w:rsidRPr="006F225A">
        <w:rPr>
          <w:lang w:val="en-GB"/>
        </w:rPr>
        <w:t xml:space="preserve">; </w:t>
      </w:r>
      <w:r w:rsidR="00B629D9" w:rsidRPr="006F225A">
        <w:rPr>
          <w:lang w:val="en-GB"/>
        </w:rPr>
        <w:t xml:space="preserve">Table S2: </w:t>
      </w:r>
      <w:r w:rsidR="00DC6C8F" w:rsidRPr="006F225A">
        <w:rPr>
          <w:lang w:val="en-GB"/>
        </w:rPr>
        <w:t>Risk of bias in cohort studies</w:t>
      </w:r>
      <w:r w:rsidR="00B629D9" w:rsidRPr="006F225A">
        <w:rPr>
          <w:lang w:val="en-GB"/>
        </w:rPr>
        <w:t xml:space="preserve">; Table S3: </w:t>
      </w:r>
      <w:r w:rsidR="00DC6C8F" w:rsidRPr="006F225A">
        <w:rPr>
          <w:lang w:val="en-GB"/>
        </w:rPr>
        <w:t>Risk of bias in cross sectional studies</w:t>
      </w:r>
      <w:r w:rsidRPr="006F225A">
        <w:rPr>
          <w:lang w:val="en-GB"/>
        </w:rPr>
        <w:t>.</w:t>
      </w:r>
    </w:p>
    <w:p w14:paraId="57DCABDC" w14:textId="191E0D69" w:rsidR="00F538A4" w:rsidRPr="006F225A" w:rsidRDefault="00C374DF" w:rsidP="00716A4E">
      <w:pPr>
        <w:pStyle w:val="MDPI62BackMatter"/>
        <w:rPr>
          <w:color w:val="auto"/>
          <w:lang w:val="en-GB"/>
        </w:rPr>
      </w:pPr>
      <w:r w:rsidRPr="006F225A">
        <w:rPr>
          <w:b/>
          <w:color w:val="auto"/>
          <w:lang w:val="en-GB"/>
        </w:rPr>
        <w:lastRenderedPageBreak/>
        <w:t>Author Contribution</w:t>
      </w:r>
      <w:r w:rsidR="00F538A4" w:rsidRPr="006F225A">
        <w:rPr>
          <w:b/>
          <w:color w:val="auto"/>
          <w:lang w:val="en-GB"/>
        </w:rPr>
        <w:t xml:space="preserve">s: </w:t>
      </w:r>
      <w:r w:rsidR="009D48B6" w:rsidRPr="006F225A">
        <w:rPr>
          <w:color w:val="auto"/>
          <w:lang w:val="en-GB"/>
        </w:rPr>
        <w:t>Writing—original draft, J.G. and P.S.; Writing</w:t>
      </w:r>
      <w:r w:rsidR="008D298F" w:rsidRPr="006F225A">
        <w:rPr>
          <w:color w:val="auto"/>
          <w:lang w:val="en-GB"/>
        </w:rPr>
        <w:t>—</w:t>
      </w:r>
      <w:r w:rsidR="009D48B6" w:rsidRPr="006F225A">
        <w:rPr>
          <w:color w:val="auto"/>
          <w:lang w:val="en-GB"/>
        </w:rPr>
        <w:t xml:space="preserve">review </w:t>
      </w:r>
      <w:r w:rsidR="008D298F" w:rsidRPr="006F225A">
        <w:rPr>
          <w:color w:val="auto"/>
          <w:lang w:val="en-GB"/>
        </w:rPr>
        <w:t>and</w:t>
      </w:r>
      <w:r w:rsidR="009D48B6" w:rsidRPr="006F225A">
        <w:rPr>
          <w:color w:val="auto"/>
          <w:lang w:val="en-GB"/>
        </w:rPr>
        <w:t xml:space="preserve"> editing, A.K., G.F.L.S., N.V., P</w:t>
      </w:r>
      <w:r w:rsidR="00FC73BC" w:rsidRPr="006F225A">
        <w:rPr>
          <w:color w:val="auto"/>
          <w:lang w:val="en-GB"/>
        </w:rPr>
        <w:t>.</w:t>
      </w:r>
      <w:r w:rsidR="009D48B6" w:rsidRPr="006F225A">
        <w:rPr>
          <w:color w:val="auto"/>
          <w:lang w:val="en-GB"/>
        </w:rPr>
        <w:t>C.I., A.C., and L.S. All authors have read and agreed to the published version of the manuscript.</w:t>
      </w:r>
    </w:p>
    <w:p w14:paraId="47B9F302" w14:textId="1BECCF29" w:rsidR="00F538A4" w:rsidRPr="006F225A" w:rsidRDefault="00F538A4" w:rsidP="00C374DF">
      <w:pPr>
        <w:pStyle w:val="MDPI62BackMatter"/>
        <w:rPr>
          <w:color w:val="auto"/>
          <w:lang w:val="en-GB"/>
        </w:rPr>
      </w:pPr>
      <w:r w:rsidRPr="006F225A">
        <w:rPr>
          <w:b/>
          <w:color w:val="auto"/>
          <w:lang w:val="en-GB"/>
        </w:rPr>
        <w:t>Funding:</w:t>
      </w:r>
      <w:r w:rsidRPr="006F225A">
        <w:rPr>
          <w:color w:val="auto"/>
          <w:lang w:val="en-GB"/>
        </w:rPr>
        <w:t xml:space="preserve"> </w:t>
      </w:r>
      <w:r w:rsidR="001845F2" w:rsidRPr="006F225A">
        <w:rPr>
          <w:color w:val="auto"/>
          <w:lang w:val="en-GB"/>
        </w:rPr>
        <w:t>Guillermo F. López Sánchez is funded by the European Union</w:t>
      </w:r>
      <w:r w:rsidR="00733890" w:rsidRPr="006F225A">
        <w:rPr>
          <w:color w:val="auto"/>
          <w:lang w:val="en-GB"/>
        </w:rPr>
        <w:t>—</w:t>
      </w:r>
      <w:r w:rsidR="001845F2" w:rsidRPr="006F225A">
        <w:rPr>
          <w:color w:val="auto"/>
          <w:lang w:val="en-GB"/>
        </w:rPr>
        <w:t>Next Generation EU.</w:t>
      </w:r>
    </w:p>
    <w:p w14:paraId="43AC76A2" w14:textId="77777777" w:rsidR="003629BD" w:rsidRPr="006F225A" w:rsidRDefault="003629BD" w:rsidP="00C374DF">
      <w:pPr>
        <w:pStyle w:val="MDPI62BackMatter"/>
        <w:rPr>
          <w:color w:val="auto"/>
          <w:lang w:val="en-GB"/>
        </w:rPr>
      </w:pPr>
      <w:bookmarkStart w:id="12" w:name="_Hlk89945590"/>
      <w:bookmarkStart w:id="13" w:name="_Hlk60054323"/>
      <w:r w:rsidRPr="006F225A">
        <w:rPr>
          <w:b/>
          <w:color w:val="auto"/>
          <w:lang w:val="en-GB"/>
        </w:rPr>
        <w:t xml:space="preserve">Institutional Review Board Statement: </w:t>
      </w:r>
      <w:r w:rsidR="009D48B6" w:rsidRPr="006F225A">
        <w:rPr>
          <w:color w:val="auto"/>
          <w:lang w:val="en-GB"/>
        </w:rPr>
        <w:t>Not applicable.</w:t>
      </w:r>
    </w:p>
    <w:bookmarkEnd w:id="12"/>
    <w:p w14:paraId="4A4FF5B3" w14:textId="77777777" w:rsidR="009D48B6" w:rsidRPr="006F225A" w:rsidRDefault="000863C2" w:rsidP="00C374DF">
      <w:pPr>
        <w:pStyle w:val="MDPI62BackMatter"/>
        <w:rPr>
          <w:color w:val="auto"/>
          <w:lang w:val="en-GB"/>
        </w:rPr>
      </w:pPr>
      <w:r w:rsidRPr="006F225A">
        <w:rPr>
          <w:b/>
          <w:color w:val="auto"/>
          <w:lang w:val="en-GB"/>
        </w:rPr>
        <w:t xml:space="preserve">Informed Consent Statement: </w:t>
      </w:r>
      <w:r w:rsidR="009D28A1" w:rsidRPr="006F225A">
        <w:rPr>
          <w:color w:val="auto"/>
          <w:lang w:val="en-GB"/>
        </w:rPr>
        <w:t>Not applicable</w:t>
      </w:r>
      <w:r w:rsidR="009D48B6" w:rsidRPr="006F225A">
        <w:rPr>
          <w:color w:val="auto"/>
          <w:lang w:val="en-GB"/>
        </w:rPr>
        <w:t>.</w:t>
      </w:r>
    </w:p>
    <w:p w14:paraId="7891AD7D" w14:textId="77777777" w:rsidR="009D48B6" w:rsidRPr="006F225A" w:rsidRDefault="000863C2" w:rsidP="00C374DF">
      <w:pPr>
        <w:pStyle w:val="MDPI62BackMatter"/>
        <w:rPr>
          <w:color w:val="auto"/>
          <w:lang w:val="en-GB"/>
        </w:rPr>
      </w:pPr>
      <w:r w:rsidRPr="006F225A">
        <w:rPr>
          <w:b/>
          <w:color w:val="auto"/>
          <w:lang w:val="en-GB"/>
        </w:rPr>
        <w:t xml:space="preserve">Data Availability Statement: </w:t>
      </w:r>
      <w:r w:rsidR="009D48B6" w:rsidRPr="006F225A">
        <w:rPr>
          <w:color w:val="auto"/>
          <w:lang w:val="en-GB"/>
        </w:rPr>
        <w:t>Not applicable</w:t>
      </w:r>
      <w:r w:rsidRPr="006F225A">
        <w:rPr>
          <w:color w:val="auto"/>
          <w:lang w:val="en-GB"/>
        </w:rPr>
        <w:t>.</w:t>
      </w:r>
      <w:bookmarkEnd w:id="13"/>
    </w:p>
    <w:p w14:paraId="07B98FF8" w14:textId="77777777" w:rsidR="00F538A4" w:rsidRPr="006F225A" w:rsidRDefault="00F538A4" w:rsidP="00C374DF">
      <w:pPr>
        <w:pStyle w:val="MDPI62BackMatter"/>
        <w:rPr>
          <w:color w:val="auto"/>
          <w:lang w:val="en-GB"/>
        </w:rPr>
      </w:pPr>
      <w:r w:rsidRPr="006F225A">
        <w:rPr>
          <w:b/>
          <w:color w:val="auto"/>
          <w:lang w:val="en-GB"/>
        </w:rPr>
        <w:t xml:space="preserve">Conflicts of Interest: </w:t>
      </w:r>
      <w:r w:rsidR="00D93548" w:rsidRPr="006F225A">
        <w:rPr>
          <w:color w:val="auto"/>
          <w:lang w:val="en-GB"/>
        </w:rPr>
        <w:t>The authors declare no conflict of interest. The funders had no role in the design of the study; in the collection, analyses, or interpretation of data; in the writing of the manuscript, or in the decision to publish the results.</w:t>
      </w:r>
    </w:p>
    <w:p w14:paraId="22CB747D" w14:textId="77777777" w:rsidR="00EA3A1B" w:rsidRPr="006F225A" w:rsidRDefault="00EA3A1B" w:rsidP="00EA3A1B">
      <w:pPr>
        <w:pStyle w:val="MDPI21heading1"/>
        <w:ind w:left="0"/>
        <w:rPr>
          <w:color w:val="auto"/>
        </w:rPr>
      </w:pPr>
      <w:r w:rsidRPr="006F225A">
        <w:rPr>
          <w:color w:val="auto"/>
        </w:rPr>
        <w:t>References</w:t>
      </w:r>
    </w:p>
    <w:p w14:paraId="7240A637" w14:textId="77777777" w:rsidR="00EA3A1B" w:rsidRPr="006F225A" w:rsidRDefault="00EA3A1B" w:rsidP="00EA3A1B">
      <w:pPr>
        <w:pStyle w:val="ListParagraph"/>
        <w:numPr>
          <w:ilvl w:val="0"/>
          <w:numId w:val="39"/>
        </w:numPr>
        <w:adjustRightInd w:val="0"/>
        <w:snapToGrid w:val="0"/>
        <w:spacing w:line="228" w:lineRule="auto"/>
        <w:ind w:left="425" w:hanging="425"/>
        <w:rPr>
          <w:rFonts w:eastAsia="Times New Roman"/>
          <w:noProof w:val="0"/>
          <w:sz w:val="18"/>
          <w:szCs w:val="18"/>
        </w:rPr>
      </w:pPr>
      <w:r w:rsidRPr="006F225A">
        <w:rPr>
          <w:rFonts w:eastAsia="Times New Roman"/>
          <w:noProof w:val="0"/>
          <w:sz w:val="18"/>
          <w:szCs w:val="18"/>
        </w:rPr>
        <w:t xml:space="preserve">Hoorn, E.J. Intravenous fluids: Balancing solutions. </w:t>
      </w:r>
      <w:r w:rsidRPr="006F225A">
        <w:rPr>
          <w:rFonts w:eastAsia="Times New Roman"/>
          <w:i/>
          <w:iCs/>
          <w:noProof w:val="0"/>
          <w:sz w:val="18"/>
          <w:szCs w:val="18"/>
        </w:rPr>
        <w:t>J. Nephrol.</w:t>
      </w:r>
      <w:r w:rsidRPr="006F225A">
        <w:rPr>
          <w:rFonts w:eastAsia="Times New Roman"/>
          <w:noProof w:val="0"/>
          <w:sz w:val="18"/>
          <w:szCs w:val="18"/>
        </w:rPr>
        <w:t xml:space="preserve"> </w:t>
      </w:r>
      <w:r w:rsidRPr="006F225A">
        <w:rPr>
          <w:rFonts w:eastAsia="Times New Roman"/>
          <w:b/>
          <w:bCs/>
          <w:noProof w:val="0"/>
          <w:sz w:val="18"/>
          <w:szCs w:val="18"/>
        </w:rPr>
        <w:t>2016</w:t>
      </w:r>
      <w:r w:rsidRPr="006F225A">
        <w:rPr>
          <w:rFonts w:eastAsia="Times New Roman"/>
          <w:noProof w:val="0"/>
          <w:sz w:val="18"/>
          <w:szCs w:val="18"/>
        </w:rPr>
        <w:t xml:space="preserve">, </w:t>
      </w:r>
      <w:r w:rsidRPr="006F225A">
        <w:rPr>
          <w:rFonts w:eastAsia="Times New Roman"/>
          <w:i/>
          <w:iCs/>
          <w:noProof w:val="0"/>
          <w:sz w:val="18"/>
          <w:szCs w:val="18"/>
        </w:rPr>
        <w:t>30</w:t>
      </w:r>
      <w:r w:rsidRPr="006F225A">
        <w:rPr>
          <w:rFonts w:eastAsia="Times New Roman"/>
          <w:noProof w:val="0"/>
          <w:sz w:val="18"/>
          <w:szCs w:val="18"/>
        </w:rPr>
        <w:t>, 485–492. https://doi.org/10.1007/s40620-016-0363-9.</w:t>
      </w:r>
    </w:p>
    <w:p w14:paraId="35357EC6" w14:textId="77777777" w:rsidR="00EA3A1B" w:rsidRPr="006F225A" w:rsidRDefault="00EA3A1B" w:rsidP="00EA3A1B">
      <w:pPr>
        <w:pStyle w:val="ListParagraph"/>
        <w:numPr>
          <w:ilvl w:val="0"/>
          <w:numId w:val="39"/>
        </w:numPr>
        <w:adjustRightInd w:val="0"/>
        <w:snapToGrid w:val="0"/>
        <w:spacing w:line="228" w:lineRule="auto"/>
        <w:ind w:left="425" w:hanging="425"/>
        <w:rPr>
          <w:rFonts w:eastAsia="Times New Roman"/>
          <w:noProof w:val="0"/>
          <w:spacing w:val="-2"/>
          <w:sz w:val="18"/>
          <w:szCs w:val="18"/>
        </w:rPr>
      </w:pPr>
      <w:proofErr w:type="spellStart"/>
      <w:r w:rsidRPr="006F225A">
        <w:rPr>
          <w:rFonts w:eastAsia="Times New Roman"/>
          <w:noProof w:val="0"/>
          <w:spacing w:val="-2"/>
          <w:sz w:val="18"/>
          <w:szCs w:val="18"/>
        </w:rPr>
        <w:t>Brossier</w:t>
      </w:r>
      <w:proofErr w:type="spellEnd"/>
      <w:r w:rsidRPr="006F225A">
        <w:rPr>
          <w:rFonts w:eastAsia="Times New Roman"/>
          <w:noProof w:val="0"/>
          <w:spacing w:val="-2"/>
          <w:sz w:val="18"/>
          <w:szCs w:val="18"/>
        </w:rPr>
        <w:t xml:space="preserve">, D.W.; </w:t>
      </w:r>
      <w:proofErr w:type="spellStart"/>
      <w:r w:rsidRPr="006F225A">
        <w:rPr>
          <w:rFonts w:eastAsia="Times New Roman"/>
          <w:noProof w:val="0"/>
          <w:spacing w:val="-2"/>
          <w:sz w:val="18"/>
          <w:szCs w:val="18"/>
        </w:rPr>
        <w:t>Tume</w:t>
      </w:r>
      <w:proofErr w:type="spellEnd"/>
      <w:r w:rsidRPr="006F225A">
        <w:rPr>
          <w:rFonts w:eastAsia="Times New Roman"/>
          <w:noProof w:val="0"/>
          <w:spacing w:val="-2"/>
          <w:sz w:val="18"/>
          <w:szCs w:val="18"/>
        </w:rPr>
        <w:t xml:space="preserve">, L.N.; </w:t>
      </w:r>
      <w:proofErr w:type="spellStart"/>
      <w:r w:rsidRPr="006F225A">
        <w:rPr>
          <w:rFonts w:eastAsia="Times New Roman"/>
          <w:noProof w:val="0"/>
          <w:spacing w:val="-2"/>
          <w:sz w:val="18"/>
          <w:szCs w:val="18"/>
        </w:rPr>
        <w:t>Briant</w:t>
      </w:r>
      <w:proofErr w:type="spellEnd"/>
      <w:r w:rsidRPr="006F225A">
        <w:rPr>
          <w:rFonts w:eastAsia="Times New Roman"/>
          <w:noProof w:val="0"/>
          <w:spacing w:val="-2"/>
          <w:sz w:val="18"/>
          <w:szCs w:val="18"/>
        </w:rPr>
        <w:t xml:space="preserve">, A.R.; Chaparro, C.J.; </w:t>
      </w:r>
      <w:proofErr w:type="spellStart"/>
      <w:r w:rsidRPr="006F225A">
        <w:rPr>
          <w:rFonts w:eastAsia="Times New Roman"/>
          <w:noProof w:val="0"/>
          <w:spacing w:val="-2"/>
          <w:sz w:val="18"/>
          <w:szCs w:val="18"/>
        </w:rPr>
        <w:t>Moullet</w:t>
      </w:r>
      <w:proofErr w:type="spellEnd"/>
      <w:r w:rsidRPr="006F225A">
        <w:rPr>
          <w:rFonts w:eastAsia="Times New Roman"/>
          <w:noProof w:val="0"/>
          <w:spacing w:val="-2"/>
          <w:sz w:val="18"/>
          <w:szCs w:val="18"/>
        </w:rPr>
        <w:t xml:space="preserve">, C.; </w:t>
      </w:r>
      <w:proofErr w:type="spellStart"/>
      <w:r w:rsidRPr="006F225A">
        <w:rPr>
          <w:rFonts w:eastAsia="Times New Roman"/>
          <w:noProof w:val="0"/>
          <w:spacing w:val="-2"/>
          <w:sz w:val="18"/>
          <w:szCs w:val="18"/>
        </w:rPr>
        <w:t>Rooze</w:t>
      </w:r>
      <w:proofErr w:type="spellEnd"/>
      <w:r w:rsidRPr="006F225A">
        <w:rPr>
          <w:rFonts w:eastAsia="Times New Roman"/>
          <w:noProof w:val="0"/>
          <w:spacing w:val="-2"/>
          <w:sz w:val="18"/>
          <w:szCs w:val="18"/>
        </w:rPr>
        <w:t xml:space="preserve">, S.; </w:t>
      </w:r>
      <w:proofErr w:type="spellStart"/>
      <w:r w:rsidRPr="006F225A">
        <w:rPr>
          <w:rFonts w:eastAsia="Times New Roman"/>
          <w:noProof w:val="0"/>
          <w:spacing w:val="-2"/>
          <w:sz w:val="18"/>
          <w:szCs w:val="18"/>
        </w:rPr>
        <w:t>Verbruggen</w:t>
      </w:r>
      <w:proofErr w:type="spellEnd"/>
      <w:r w:rsidRPr="006F225A">
        <w:rPr>
          <w:rFonts w:eastAsia="Times New Roman"/>
          <w:noProof w:val="0"/>
          <w:spacing w:val="-2"/>
          <w:sz w:val="18"/>
          <w:szCs w:val="18"/>
        </w:rPr>
        <w:t xml:space="preserve">, S.C.A.T.; Marino, L.V.; </w:t>
      </w:r>
      <w:proofErr w:type="spellStart"/>
      <w:r w:rsidRPr="006F225A">
        <w:rPr>
          <w:rFonts w:eastAsia="Times New Roman"/>
          <w:noProof w:val="0"/>
          <w:spacing w:val="-2"/>
          <w:sz w:val="18"/>
          <w:szCs w:val="18"/>
        </w:rPr>
        <w:t>Alsohime</w:t>
      </w:r>
      <w:proofErr w:type="spellEnd"/>
      <w:r w:rsidRPr="006F225A">
        <w:rPr>
          <w:rFonts w:eastAsia="Times New Roman"/>
          <w:noProof w:val="0"/>
          <w:spacing w:val="-2"/>
          <w:sz w:val="18"/>
          <w:szCs w:val="18"/>
        </w:rPr>
        <w:t xml:space="preserve">, F.; </w:t>
      </w:r>
      <w:proofErr w:type="spellStart"/>
      <w:r w:rsidRPr="006F225A">
        <w:rPr>
          <w:rFonts w:eastAsia="Times New Roman"/>
          <w:noProof w:val="0"/>
          <w:spacing w:val="-2"/>
          <w:sz w:val="18"/>
          <w:szCs w:val="18"/>
        </w:rPr>
        <w:t>Beldjilali</w:t>
      </w:r>
      <w:proofErr w:type="spellEnd"/>
      <w:r w:rsidRPr="006F225A">
        <w:rPr>
          <w:rFonts w:eastAsia="Times New Roman"/>
          <w:noProof w:val="0"/>
          <w:spacing w:val="-2"/>
          <w:sz w:val="18"/>
          <w:szCs w:val="18"/>
        </w:rPr>
        <w:t xml:space="preserve">, S.; et al. ESPNIC clinical practice guidelines: Intravenous maintenance fluid therapy in acute and critically ill children—A systematic review and meta-analysis. </w:t>
      </w:r>
      <w:proofErr w:type="spellStart"/>
      <w:r w:rsidRPr="006F225A">
        <w:rPr>
          <w:rFonts w:eastAsia="Times New Roman"/>
          <w:i/>
          <w:iCs/>
          <w:noProof w:val="0"/>
          <w:spacing w:val="-2"/>
          <w:sz w:val="18"/>
          <w:szCs w:val="18"/>
        </w:rPr>
        <w:t>Intensiv</w:t>
      </w:r>
      <w:proofErr w:type="spellEnd"/>
      <w:r w:rsidRPr="006F225A">
        <w:rPr>
          <w:rFonts w:eastAsia="Times New Roman"/>
          <w:i/>
          <w:iCs/>
          <w:noProof w:val="0"/>
          <w:spacing w:val="-2"/>
          <w:sz w:val="18"/>
          <w:szCs w:val="18"/>
        </w:rPr>
        <w:t>. Care Med.</w:t>
      </w:r>
      <w:r w:rsidRPr="006F225A">
        <w:rPr>
          <w:rFonts w:eastAsia="Times New Roman"/>
          <w:noProof w:val="0"/>
          <w:spacing w:val="-2"/>
          <w:sz w:val="18"/>
          <w:szCs w:val="18"/>
        </w:rPr>
        <w:t xml:space="preserve"> </w:t>
      </w:r>
      <w:r w:rsidRPr="006F225A">
        <w:rPr>
          <w:rFonts w:eastAsia="Times New Roman"/>
          <w:b/>
          <w:bCs/>
          <w:noProof w:val="0"/>
          <w:spacing w:val="-2"/>
          <w:sz w:val="18"/>
          <w:szCs w:val="18"/>
        </w:rPr>
        <w:t>2022</w:t>
      </w:r>
      <w:r w:rsidRPr="006F225A">
        <w:rPr>
          <w:rFonts w:eastAsia="Times New Roman"/>
          <w:noProof w:val="0"/>
          <w:spacing w:val="-2"/>
          <w:sz w:val="18"/>
          <w:szCs w:val="18"/>
        </w:rPr>
        <w:t xml:space="preserve">, </w:t>
      </w:r>
      <w:r w:rsidRPr="006F225A">
        <w:rPr>
          <w:rFonts w:eastAsia="Times New Roman"/>
          <w:i/>
          <w:iCs/>
          <w:noProof w:val="0"/>
          <w:spacing w:val="-2"/>
          <w:sz w:val="18"/>
          <w:szCs w:val="18"/>
        </w:rPr>
        <w:t>48</w:t>
      </w:r>
      <w:r w:rsidRPr="006F225A">
        <w:rPr>
          <w:rFonts w:eastAsia="Times New Roman"/>
          <w:noProof w:val="0"/>
          <w:spacing w:val="-2"/>
          <w:sz w:val="18"/>
          <w:szCs w:val="18"/>
        </w:rPr>
        <w:t>, 1691–1708. https://doi.org/10.1007/s00134-022-06882-z.</w:t>
      </w:r>
    </w:p>
    <w:p w14:paraId="604D2FE5" w14:textId="77777777" w:rsidR="00EA3A1B" w:rsidRPr="006F225A" w:rsidRDefault="00EA3A1B" w:rsidP="00EA3A1B">
      <w:pPr>
        <w:pStyle w:val="ListParagraph"/>
        <w:numPr>
          <w:ilvl w:val="0"/>
          <w:numId w:val="39"/>
        </w:numPr>
        <w:adjustRightInd w:val="0"/>
        <w:snapToGrid w:val="0"/>
        <w:spacing w:line="228" w:lineRule="auto"/>
        <w:ind w:left="425" w:hanging="425"/>
        <w:rPr>
          <w:rFonts w:eastAsia="Times New Roman"/>
          <w:noProof w:val="0"/>
          <w:sz w:val="18"/>
          <w:szCs w:val="18"/>
        </w:rPr>
      </w:pPr>
      <w:r w:rsidRPr="006F225A">
        <w:rPr>
          <w:rFonts w:eastAsia="Times New Roman"/>
          <w:noProof w:val="0"/>
          <w:sz w:val="18"/>
          <w:szCs w:val="18"/>
        </w:rPr>
        <w:t xml:space="preserve">Rudnick, M.R.; Fay, K.; Wahba, I.M. Fluid administration strategies for the prevention of contrast-associated acute kidney injury. </w:t>
      </w:r>
      <w:proofErr w:type="spellStart"/>
      <w:r w:rsidRPr="006F225A">
        <w:rPr>
          <w:rFonts w:eastAsia="Times New Roman"/>
          <w:i/>
          <w:iCs/>
          <w:noProof w:val="0"/>
          <w:sz w:val="18"/>
          <w:szCs w:val="18"/>
        </w:rPr>
        <w:t>Curr</w:t>
      </w:r>
      <w:proofErr w:type="spellEnd"/>
      <w:r w:rsidRPr="006F225A">
        <w:rPr>
          <w:rFonts w:eastAsia="Times New Roman"/>
          <w:i/>
          <w:iCs/>
          <w:noProof w:val="0"/>
          <w:sz w:val="18"/>
          <w:szCs w:val="18"/>
        </w:rPr>
        <w:t xml:space="preserve">. </w:t>
      </w:r>
      <w:proofErr w:type="spellStart"/>
      <w:r w:rsidRPr="006F225A">
        <w:rPr>
          <w:rFonts w:eastAsia="Times New Roman"/>
          <w:i/>
          <w:iCs/>
          <w:noProof w:val="0"/>
          <w:sz w:val="18"/>
          <w:szCs w:val="18"/>
        </w:rPr>
        <w:t>Opin</w:t>
      </w:r>
      <w:proofErr w:type="spellEnd"/>
      <w:r w:rsidRPr="006F225A">
        <w:rPr>
          <w:rFonts w:eastAsia="Times New Roman"/>
          <w:i/>
          <w:iCs/>
          <w:noProof w:val="0"/>
          <w:sz w:val="18"/>
          <w:szCs w:val="18"/>
        </w:rPr>
        <w:t xml:space="preserve">. Nephrol. </w:t>
      </w:r>
      <w:proofErr w:type="spellStart"/>
      <w:r w:rsidRPr="006F225A">
        <w:rPr>
          <w:rFonts w:eastAsia="Times New Roman"/>
          <w:i/>
          <w:iCs/>
          <w:noProof w:val="0"/>
          <w:sz w:val="18"/>
          <w:szCs w:val="18"/>
        </w:rPr>
        <w:t>Hypertens</w:t>
      </w:r>
      <w:proofErr w:type="spellEnd"/>
      <w:r w:rsidRPr="006F225A">
        <w:rPr>
          <w:rFonts w:eastAsia="Times New Roman"/>
          <w:i/>
          <w:iCs/>
          <w:noProof w:val="0"/>
          <w:sz w:val="18"/>
          <w:szCs w:val="18"/>
        </w:rPr>
        <w:t>.</w:t>
      </w:r>
      <w:r w:rsidRPr="006F225A">
        <w:rPr>
          <w:rFonts w:eastAsia="Times New Roman"/>
          <w:noProof w:val="0"/>
          <w:sz w:val="18"/>
          <w:szCs w:val="18"/>
        </w:rPr>
        <w:t xml:space="preserve"> </w:t>
      </w:r>
      <w:r w:rsidRPr="006F225A">
        <w:rPr>
          <w:rFonts w:eastAsia="Times New Roman"/>
          <w:b/>
          <w:bCs/>
          <w:noProof w:val="0"/>
          <w:sz w:val="18"/>
          <w:szCs w:val="18"/>
        </w:rPr>
        <w:t>2022</w:t>
      </w:r>
      <w:r w:rsidRPr="006F225A">
        <w:rPr>
          <w:rFonts w:eastAsia="Times New Roman"/>
          <w:noProof w:val="0"/>
          <w:sz w:val="18"/>
          <w:szCs w:val="18"/>
        </w:rPr>
        <w:t xml:space="preserve">, </w:t>
      </w:r>
      <w:r w:rsidRPr="006F225A">
        <w:rPr>
          <w:rFonts w:eastAsia="Times New Roman"/>
          <w:i/>
          <w:iCs/>
          <w:noProof w:val="0"/>
          <w:sz w:val="18"/>
          <w:szCs w:val="18"/>
        </w:rPr>
        <w:t>31</w:t>
      </w:r>
      <w:r w:rsidRPr="006F225A">
        <w:rPr>
          <w:rFonts w:eastAsia="Times New Roman"/>
          <w:noProof w:val="0"/>
          <w:sz w:val="18"/>
          <w:szCs w:val="18"/>
        </w:rPr>
        <w:t>, 414–424. https://doi.org/10.1097/mnh.0000000000000815.</w:t>
      </w:r>
    </w:p>
    <w:p w14:paraId="0C33465A" w14:textId="77777777" w:rsidR="00EA3A1B" w:rsidRPr="006F225A" w:rsidRDefault="00EA3A1B" w:rsidP="00EA3A1B">
      <w:pPr>
        <w:pStyle w:val="ListParagraph"/>
        <w:numPr>
          <w:ilvl w:val="0"/>
          <w:numId w:val="39"/>
        </w:numPr>
        <w:adjustRightInd w:val="0"/>
        <w:snapToGrid w:val="0"/>
        <w:spacing w:line="228" w:lineRule="auto"/>
        <w:ind w:left="425" w:hanging="425"/>
        <w:rPr>
          <w:rFonts w:eastAsia="Times New Roman"/>
          <w:noProof w:val="0"/>
          <w:sz w:val="18"/>
          <w:szCs w:val="18"/>
        </w:rPr>
      </w:pPr>
      <w:r w:rsidRPr="006F225A">
        <w:rPr>
          <w:rFonts w:eastAsia="Times New Roman"/>
          <w:noProof w:val="0"/>
          <w:sz w:val="18"/>
          <w:szCs w:val="18"/>
        </w:rPr>
        <w:t xml:space="preserve">Hwa, Y.L.; Kull, M.R. The why and how of maintaining hydration during cancer therapy. </w:t>
      </w:r>
      <w:proofErr w:type="spellStart"/>
      <w:r w:rsidRPr="006F225A">
        <w:rPr>
          <w:rFonts w:eastAsia="Times New Roman"/>
          <w:i/>
          <w:iCs/>
          <w:noProof w:val="0"/>
          <w:sz w:val="18"/>
          <w:szCs w:val="18"/>
        </w:rPr>
        <w:t>Curr</w:t>
      </w:r>
      <w:proofErr w:type="spellEnd"/>
      <w:r w:rsidRPr="006F225A">
        <w:rPr>
          <w:rFonts w:eastAsia="Times New Roman"/>
          <w:i/>
          <w:iCs/>
          <w:noProof w:val="0"/>
          <w:sz w:val="18"/>
          <w:szCs w:val="18"/>
        </w:rPr>
        <w:t xml:space="preserve">. </w:t>
      </w:r>
      <w:proofErr w:type="spellStart"/>
      <w:r w:rsidRPr="006F225A">
        <w:rPr>
          <w:rFonts w:eastAsia="Times New Roman"/>
          <w:i/>
          <w:iCs/>
          <w:noProof w:val="0"/>
          <w:sz w:val="18"/>
          <w:szCs w:val="18"/>
        </w:rPr>
        <w:t>Opin</w:t>
      </w:r>
      <w:proofErr w:type="spellEnd"/>
      <w:r w:rsidRPr="006F225A">
        <w:rPr>
          <w:rFonts w:eastAsia="Times New Roman"/>
          <w:i/>
          <w:iCs/>
          <w:noProof w:val="0"/>
          <w:sz w:val="18"/>
          <w:szCs w:val="18"/>
        </w:rPr>
        <w:t xml:space="preserve">. Support. </w:t>
      </w:r>
      <w:proofErr w:type="spellStart"/>
      <w:r w:rsidRPr="006F225A">
        <w:rPr>
          <w:rFonts w:eastAsia="Times New Roman"/>
          <w:i/>
          <w:iCs/>
          <w:noProof w:val="0"/>
          <w:sz w:val="18"/>
          <w:szCs w:val="18"/>
        </w:rPr>
        <w:t>Palliat</w:t>
      </w:r>
      <w:proofErr w:type="spellEnd"/>
      <w:r w:rsidRPr="006F225A">
        <w:rPr>
          <w:rFonts w:eastAsia="Times New Roman"/>
          <w:i/>
          <w:iCs/>
          <w:noProof w:val="0"/>
          <w:sz w:val="18"/>
          <w:szCs w:val="18"/>
        </w:rPr>
        <w:t>. Care</w:t>
      </w:r>
      <w:r w:rsidRPr="006F225A">
        <w:rPr>
          <w:rFonts w:eastAsia="Times New Roman"/>
          <w:noProof w:val="0"/>
          <w:sz w:val="18"/>
          <w:szCs w:val="18"/>
        </w:rPr>
        <w:t xml:space="preserve"> </w:t>
      </w:r>
      <w:r w:rsidRPr="006F225A">
        <w:rPr>
          <w:rFonts w:eastAsia="Times New Roman"/>
          <w:b/>
          <w:bCs/>
          <w:noProof w:val="0"/>
          <w:sz w:val="18"/>
          <w:szCs w:val="18"/>
        </w:rPr>
        <w:t>2020</w:t>
      </w:r>
      <w:r w:rsidRPr="006F225A">
        <w:rPr>
          <w:rFonts w:eastAsia="Times New Roman"/>
          <w:noProof w:val="0"/>
          <w:sz w:val="18"/>
          <w:szCs w:val="18"/>
        </w:rPr>
        <w:t xml:space="preserve">, </w:t>
      </w:r>
      <w:r w:rsidRPr="006F225A">
        <w:rPr>
          <w:rFonts w:eastAsia="Times New Roman"/>
          <w:i/>
          <w:iCs/>
          <w:noProof w:val="0"/>
          <w:sz w:val="18"/>
          <w:szCs w:val="18"/>
        </w:rPr>
        <w:t>14</w:t>
      </w:r>
      <w:r w:rsidRPr="006F225A">
        <w:rPr>
          <w:rFonts w:eastAsia="Times New Roman"/>
          <w:noProof w:val="0"/>
          <w:sz w:val="18"/>
          <w:szCs w:val="18"/>
        </w:rPr>
        <w:t>, 324–332. https://doi.org/10.1097/spc.0000000000000526.</w:t>
      </w:r>
    </w:p>
    <w:p w14:paraId="261E9C3A" w14:textId="77777777" w:rsidR="00EA3A1B" w:rsidRPr="006F225A" w:rsidRDefault="00EA3A1B" w:rsidP="00EA3A1B">
      <w:pPr>
        <w:pStyle w:val="ListParagraph"/>
        <w:numPr>
          <w:ilvl w:val="0"/>
          <w:numId w:val="39"/>
        </w:numPr>
        <w:adjustRightInd w:val="0"/>
        <w:snapToGrid w:val="0"/>
        <w:spacing w:line="228" w:lineRule="auto"/>
        <w:ind w:left="425" w:hanging="425"/>
        <w:rPr>
          <w:rFonts w:eastAsia="Times New Roman"/>
          <w:noProof w:val="0"/>
          <w:sz w:val="18"/>
          <w:szCs w:val="18"/>
        </w:rPr>
      </w:pPr>
      <w:r w:rsidRPr="006F225A">
        <w:rPr>
          <w:rFonts w:eastAsia="Times New Roman"/>
          <w:noProof w:val="0"/>
          <w:sz w:val="18"/>
          <w:szCs w:val="18"/>
        </w:rPr>
        <w:t xml:space="preserve">Wood, C. Fluid management: An update for perioperative practitioners. </w:t>
      </w:r>
      <w:r w:rsidRPr="006F225A">
        <w:rPr>
          <w:rFonts w:eastAsia="Times New Roman"/>
          <w:i/>
          <w:iCs/>
          <w:noProof w:val="0"/>
          <w:sz w:val="18"/>
          <w:szCs w:val="18"/>
        </w:rPr>
        <w:t xml:space="preserve">J. </w:t>
      </w:r>
      <w:proofErr w:type="spellStart"/>
      <w:r w:rsidRPr="006F225A">
        <w:rPr>
          <w:rFonts w:eastAsia="Times New Roman"/>
          <w:i/>
          <w:iCs/>
          <w:noProof w:val="0"/>
          <w:sz w:val="18"/>
          <w:szCs w:val="18"/>
        </w:rPr>
        <w:t>Perioper</w:t>
      </w:r>
      <w:proofErr w:type="spellEnd"/>
      <w:r w:rsidRPr="006F225A">
        <w:rPr>
          <w:rFonts w:eastAsia="Times New Roman"/>
          <w:i/>
          <w:iCs/>
          <w:noProof w:val="0"/>
          <w:sz w:val="18"/>
          <w:szCs w:val="18"/>
        </w:rPr>
        <w:t>. Pr.</w:t>
      </w:r>
      <w:r w:rsidRPr="006F225A">
        <w:rPr>
          <w:rFonts w:eastAsia="Times New Roman"/>
          <w:noProof w:val="0"/>
          <w:sz w:val="18"/>
          <w:szCs w:val="18"/>
        </w:rPr>
        <w:t xml:space="preserve"> </w:t>
      </w:r>
      <w:r w:rsidRPr="006F225A">
        <w:rPr>
          <w:rFonts w:eastAsia="Times New Roman"/>
          <w:b/>
          <w:bCs/>
          <w:noProof w:val="0"/>
          <w:sz w:val="18"/>
          <w:szCs w:val="18"/>
        </w:rPr>
        <w:t>2021</w:t>
      </w:r>
      <w:r w:rsidRPr="006F225A">
        <w:rPr>
          <w:rFonts w:eastAsia="Times New Roman"/>
          <w:noProof w:val="0"/>
          <w:sz w:val="18"/>
          <w:szCs w:val="18"/>
        </w:rPr>
        <w:t xml:space="preserve">, </w:t>
      </w:r>
      <w:r w:rsidRPr="006F225A">
        <w:rPr>
          <w:rFonts w:eastAsia="Times New Roman"/>
          <w:i/>
          <w:iCs/>
          <w:noProof w:val="0"/>
          <w:sz w:val="18"/>
          <w:szCs w:val="18"/>
        </w:rPr>
        <w:t>31</w:t>
      </w:r>
      <w:r w:rsidRPr="006F225A">
        <w:rPr>
          <w:rFonts w:eastAsia="Times New Roman"/>
          <w:noProof w:val="0"/>
          <w:sz w:val="18"/>
          <w:szCs w:val="18"/>
        </w:rPr>
        <w:t>, 71–79. https://doi.org/10.1177/1750458920964174.</w:t>
      </w:r>
    </w:p>
    <w:p w14:paraId="7F5C1304" w14:textId="77777777" w:rsidR="00EA3A1B" w:rsidRPr="006F225A" w:rsidRDefault="00EA3A1B" w:rsidP="00EA3A1B">
      <w:pPr>
        <w:pStyle w:val="ListParagraph"/>
        <w:numPr>
          <w:ilvl w:val="0"/>
          <w:numId w:val="39"/>
        </w:numPr>
        <w:adjustRightInd w:val="0"/>
        <w:snapToGrid w:val="0"/>
        <w:spacing w:line="228" w:lineRule="auto"/>
        <w:ind w:left="425" w:hanging="425"/>
        <w:rPr>
          <w:rFonts w:eastAsia="Times New Roman"/>
          <w:noProof w:val="0"/>
          <w:sz w:val="18"/>
          <w:szCs w:val="18"/>
        </w:rPr>
      </w:pPr>
      <w:r w:rsidRPr="006F225A">
        <w:rPr>
          <w:rFonts w:eastAsia="Times New Roman"/>
          <w:noProof w:val="0"/>
          <w:sz w:val="18"/>
          <w:szCs w:val="18"/>
        </w:rPr>
        <w:t xml:space="preserve">Frost, P. Intravenous fluid therapy in adult inpatients. </w:t>
      </w:r>
      <w:r w:rsidRPr="006F225A">
        <w:rPr>
          <w:rFonts w:eastAsia="Times New Roman"/>
          <w:i/>
          <w:iCs/>
          <w:noProof w:val="0"/>
          <w:sz w:val="18"/>
          <w:szCs w:val="18"/>
        </w:rPr>
        <w:t>BMJ</w:t>
      </w:r>
      <w:r w:rsidRPr="006F225A">
        <w:rPr>
          <w:rFonts w:eastAsia="Times New Roman"/>
          <w:noProof w:val="0"/>
          <w:sz w:val="18"/>
          <w:szCs w:val="18"/>
        </w:rPr>
        <w:t xml:space="preserve"> </w:t>
      </w:r>
      <w:r w:rsidRPr="006F225A">
        <w:rPr>
          <w:rFonts w:eastAsia="Times New Roman"/>
          <w:b/>
          <w:bCs/>
          <w:noProof w:val="0"/>
          <w:sz w:val="18"/>
          <w:szCs w:val="18"/>
        </w:rPr>
        <w:t>2014</w:t>
      </w:r>
      <w:r w:rsidRPr="006F225A">
        <w:rPr>
          <w:rFonts w:eastAsia="Times New Roman"/>
          <w:noProof w:val="0"/>
          <w:sz w:val="18"/>
          <w:szCs w:val="18"/>
        </w:rPr>
        <w:t xml:space="preserve">, </w:t>
      </w:r>
      <w:r w:rsidRPr="006F225A">
        <w:rPr>
          <w:rFonts w:eastAsia="Times New Roman"/>
          <w:i/>
          <w:iCs/>
          <w:noProof w:val="0"/>
          <w:sz w:val="18"/>
          <w:szCs w:val="18"/>
        </w:rPr>
        <w:t>350</w:t>
      </w:r>
      <w:r w:rsidRPr="006F225A">
        <w:rPr>
          <w:rFonts w:eastAsia="Times New Roman"/>
          <w:noProof w:val="0"/>
          <w:sz w:val="18"/>
          <w:szCs w:val="18"/>
        </w:rPr>
        <w:t>, g7620–g7620. https://doi.org/10.1136/bmj.g7620.</w:t>
      </w:r>
    </w:p>
    <w:p w14:paraId="0A527844" w14:textId="77777777" w:rsidR="00EA3A1B" w:rsidRPr="006F225A" w:rsidRDefault="00EA3A1B" w:rsidP="00EA3A1B">
      <w:pPr>
        <w:pStyle w:val="ListParagraph"/>
        <w:numPr>
          <w:ilvl w:val="0"/>
          <w:numId w:val="39"/>
        </w:numPr>
        <w:adjustRightInd w:val="0"/>
        <w:snapToGrid w:val="0"/>
        <w:spacing w:line="228" w:lineRule="auto"/>
        <w:ind w:left="425" w:hanging="425"/>
        <w:rPr>
          <w:rFonts w:eastAsia="Times New Roman"/>
          <w:noProof w:val="0"/>
          <w:sz w:val="18"/>
          <w:szCs w:val="18"/>
        </w:rPr>
      </w:pPr>
      <w:proofErr w:type="spellStart"/>
      <w:r w:rsidRPr="006F225A">
        <w:rPr>
          <w:rFonts w:eastAsia="Times New Roman"/>
          <w:noProof w:val="0"/>
          <w:sz w:val="18"/>
          <w:szCs w:val="18"/>
        </w:rPr>
        <w:t>Crosignani</w:t>
      </w:r>
      <w:proofErr w:type="spellEnd"/>
      <w:r w:rsidRPr="006F225A">
        <w:rPr>
          <w:rFonts w:eastAsia="Times New Roman"/>
          <w:noProof w:val="0"/>
          <w:sz w:val="18"/>
          <w:szCs w:val="18"/>
        </w:rPr>
        <w:t xml:space="preserve">, A.; Spina, S.; </w:t>
      </w:r>
      <w:proofErr w:type="spellStart"/>
      <w:r w:rsidRPr="006F225A">
        <w:rPr>
          <w:rFonts w:eastAsia="Times New Roman"/>
          <w:noProof w:val="0"/>
          <w:sz w:val="18"/>
          <w:szCs w:val="18"/>
        </w:rPr>
        <w:t>Marrazzo</w:t>
      </w:r>
      <w:proofErr w:type="spellEnd"/>
      <w:r w:rsidRPr="006F225A">
        <w:rPr>
          <w:rFonts w:eastAsia="Times New Roman"/>
          <w:noProof w:val="0"/>
          <w:sz w:val="18"/>
          <w:szCs w:val="18"/>
        </w:rPr>
        <w:t xml:space="preserve">, F.; </w:t>
      </w:r>
      <w:proofErr w:type="spellStart"/>
      <w:r w:rsidRPr="006F225A">
        <w:rPr>
          <w:rFonts w:eastAsia="Times New Roman"/>
          <w:noProof w:val="0"/>
          <w:sz w:val="18"/>
          <w:szCs w:val="18"/>
        </w:rPr>
        <w:t>Cimbanassi</w:t>
      </w:r>
      <w:proofErr w:type="spellEnd"/>
      <w:r w:rsidRPr="006F225A">
        <w:rPr>
          <w:rFonts w:eastAsia="Times New Roman"/>
          <w:noProof w:val="0"/>
          <w:sz w:val="18"/>
          <w:szCs w:val="18"/>
        </w:rPr>
        <w:t xml:space="preserve">, S.; </w:t>
      </w:r>
      <w:proofErr w:type="spellStart"/>
      <w:r w:rsidRPr="006F225A">
        <w:rPr>
          <w:rFonts w:eastAsia="Times New Roman"/>
          <w:noProof w:val="0"/>
          <w:sz w:val="18"/>
          <w:szCs w:val="18"/>
        </w:rPr>
        <w:t>Malbrain</w:t>
      </w:r>
      <w:proofErr w:type="spellEnd"/>
      <w:r w:rsidRPr="006F225A">
        <w:rPr>
          <w:rFonts w:eastAsia="Times New Roman"/>
          <w:noProof w:val="0"/>
          <w:sz w:val="18"/>
          <w:szCs w:val="18"/>
        </w:rPr>
        <w:t xml:space="preserve">, M.L.N.G.; Van </w:t>
      </w:r>
      <w:proofErr w:type="spellStart"/>
      <w:r w:rsidRPr="006F225A">
        <w:rPr>
          <w:rFonts w:eastAsia="Times New Roman"/>
          <w:noProof w:val="0"/>
          <w:sz w:val="18"/>
          <w:szCs w:val="18"/>
        </w:rPr>
        <w:t>Regenemortel</w:t>
      </w:r>
      <w:proofErr w:type="spellEnd"/>
      <w:r w:rsidRPr="006F225A">
        <w:rPr>
          <w:rFonts w:eastAsia="Times New Roman"/>
          <w:noProof w:val="0"/>
          <w:sz w:val="18"/>
          <w:szCs w:val="18"/>
        </w:rPr>
        <w:t xml:space="preserve">, N.; </w:t>
      </w:r>
      <w:proofErr w:type="spellStart"/>
      <w:r w:rsidRPr="006F225A">
        <w:rPr>
          <w:rFonts w:eastAsia="Times New Roman"/>
          <w:noProof w:val="0"/>
          <w:sz w:val="18"/>
          <w:szCs w:val="18"/>
        </w:rPr>
        <w:t>Fumagalli</w:t>
      </w:r>
      <w:proofErr w:type="spellEnd"/>
      <w:r w:rsidRPr="006F225A">
        <w:rPr>
          <w:rFonts w:eastAsia="Times New Roman"/>
          <w:noProof w:val="0"/>
          <w:sz w:val="18"/>
          <w:szCs w:val="18"/>
        </w:rPr>
        <w:t xml:space="preserve">, R.; Langer, T. Intravenous fluid therapy in patients with severe acute pancreatitis admitted to the intensive care unit: A narrative review. </w:t>
      </w:r>
      <w:r w:rsidRPr="006F225A">
        <w:rPr>
          <w:rFonts w:eastAsia="Times New Roman"/>
          <w:i/>
          <w:iCs/>
          <w:noProof w:val="0"/>
          <w:sz w:val="18"/>
          <w:szCs w:val="18"/>
        </w:rPr>
        <w:t xml:space="preserve">Ann. </w:t>
      </w:r>
      <w:proofErr w:type="spellStart"/>
      <w:r w:rsidRPr="006F225A">
        <w:rPr>
          <w:rFonts w:eastAsia="Times New Roman"/>
          <w:i/>
          <w:iCs/>
          <w:noProof w:val="0"/>
          <w:sz w:val="18"/>
          <w:szCs w:val="18"/>
        </w:rPr>
        <w:t>Intensiv</w:t>
      </w:r>
      <w:proofErr w:type="spellEnd"/>
      <w:r w:rsidRPr="006F225A">
        <w:rPr>
          <w:rFonts w:eastAsia="Times New Roman"/>
          <w:i/>
          <w:iCs/>
          <w:noProof w:val="0"/>
          <w:sz w:val="18"/>
          <w:szCs w:val="18"/>
        </w:rPr>
        <w:t>. Care</w:t>
      </w:r>
      <w:r w:rsidRPr="006F225A">
        <w:rPr>
          <w:rFonts w:eastAsia="Times New Roman"/>
          <w:noProof w:val="0"/>
          <w:sz w:val="18"/>
          <w:szCs w:val="18"/>
        </w:rPr>
        <w:t xml:space="preserve"> </w:t>
      </w:r>
      <w:r w:rsidRPr="006F225A">
        <w:rPr>
          <w:rFonts w:eastAsia="Times New Roman"/>
          <w:b/>
          <w:bCs/>
          <w:noProof w:val="0"/>
          <w:sz w:val="18"/>
          <w:szCs w:val="18"/>
        </w:rPr>
        <w:t>2022</w:t>
      </w:r>
      <w:r w:rsidRPr="006F225A">
        <w:rPr>
          <w:rFonts w:eastAsia="Times New Roman"/>
          <w:noProof w:val="0"/>
          <w:sz w:val="18"/>
          <w:szCs w:val="18"/>
        </w:rPr>
        <w:t xml:space="preserve">, </w:t>
      </w:r>
      <w:r w:rsidRPr="006F225A">
        <w:rPr>
          <w:rFonts w:eastAsia="Times New Roman"/>
          <w:i/>
          <w:iCs/>
          <w:noProof w:val="0"/>
          <w:sz w:val="18"/>
          <w:szCs w:val="18"/>
        </w:rPr>
        <w:t>12</w:t>
      </w:r>
      <w:r w:rsidRPr="006F225A">
        <w:rPr>
          <w:rFonts w:eastAsia="Times New Roman"/>
          <w:noProof w:val="0"/>
          <w:sz w:val="18"/>
          <w:szCs w:val="18"/>
        </w:rPr>
        <w:t>, 1–15. https://doi.org/10.1186/s13613-022-01072-y.</w:t>
      </w:r>
    </w:p>
    <w:p w14:paraId="18DC8D44" w14:textId="77777777" w:rsidR="00EA3A1B" w:rsidRPr="006F225A" w:rsidRDefault="00EA3A1B" w:rsidP="00EA3A1B">
      <w:pPr>
        <w:pStyle w:val="ListParagraph"/>
        <w:numPr>
          <w:ilvl w:val="0"/>
          <w:numId w:val="39"/>
        </w:numPr>
        <w:adjustRightInd w:val="0"/>
        <w:snapToGrid w:val="0"/>
        <w:spacing w:line="228" w:lineRule="auto"/>
        <w:ind w:left="425" w:hanging="425"/>
        <w:rPr>
          <w:rFonts w:eastAsia="Times New Roman"/>
          <w:noProof w:val="0"/>
          <w:sz w:val="18"/>
          <w:szCs w:val="18"/>
        </w:rPr>
      </w:pPr>
      <w:r w:rsidRPr="006F225A">
        <w:rPr>
          <w:rFonts w:eastAsia="Times New Roman"/>
          <w:noProof w:val="0"/>
          <w:sz w:val="18"/>
          <w:szCs w:val="18"/>
        </w:rPr>
        <w:t xml:space="preserve">Bruno, C.; Collier, A.; Holyday, M.; Lambert, K. Interventions to Improve Hydration in Older Adults: A Systematic Review and Meta-Analysis. </w:t>
      </w:r>
      <w:r w:rsidRPr="006F225A">
        <w:rPr>
          <w:rFonts w:eastAsia="Times New Roman"/>
          <w:i/>
          <w:iCs/>
          <w:noProof w:val="0"/>
          <w:sz w:val="18"/>
          <w:szCs w:val="18"/>
        </w:rPr>
        <w:t>Nutrients</w:t>
      </w:r>
      <w:r w:rsidRPr="006F225A">
        <w:rPr>
          <w:rFonts w:eastAsia="Times New Roman"/>
          <w:noProof w:val="0"/>
          <w:sz w:val="18"/>
          <w:szCs w:val="18"/>
        </w:rPr>
        <w:t xml:space="preserve"> </w:t>
      </w:r>
      <w:r w:rsidRPr="006F225A">
        <w:rPr>
          <w:rFonts w:eastAsia="Times New Roman"/>
          <w:b/>
          <w:bCs/>
          <w:noProof w:val="0"/>
          <w:sz w:val="18"/>
          <w:szCs w:val="18"/>
        </w:rPr>
        <w:t>2021</w:t>
      </w:r>
      <w:r w:rsidRPr="006F225A">
        <w:rPr>
          <w:rFonts w:eastAsia="Times New Roman"/>
          <w:noProof w:val="0"/>
          <w:sz w:val="18"/>
          <w:szCs w:val="18"/>
        </w:rPr>
        <w:t xml:space="preserve">, </w:t>
      </w:r>
      <w:r w:rsidRPr="006F225A">
        <w:rPr>
          <w:rFonts w:eastAsia="Times New Roman"/>
          <w:i/>
          <w:iCs/>
          <w:noProof w:val="0"/>
          <w:sz w:val="18"/>
          <w:szCs w:val="18"/>
        </w:rPr>
        <w:t>13</w:t>
      </w:r>
      <w:r w:rsidRPr="006F225A">
        <w:rPr>
          <w:rFonts w:eastAsia="Times New Roman"/>
          <w:noProof w:val="0"/>
          <w:sz w:val="18"/>
          <w:szCs w:val="18"/>
        </w:rPr>
        <w:t>, 3640. https://doi.org/10.3390/nu13103640.</w:t>
      </w:r>
    </w:p>
    <w:p w14:paraId="602424E5" w14:textId="77777777" w:rsidR="00EA3A1B" w:rsidRPr="006F225A" w:rsidRDefault="00EA3A1B" w:rsidP="00EA3A1B">
      <w:pPr>
        <w:pStyle w:val="ListParagraph"/>
        <w:numPr>
          <w:ilvl w:val="0"/>
          <w:numId w:val="39"/>
        </w:numPr>
        <w:adjustRightInd w:val="0"/>
        <w:snapToGrid w:val="0"/>
        <w:spacing w:line="228" w:lineRule="auto"/>
        <w:ind w:left="425" w:hanging="425"/>
        <w:rPr>
          <w:rFonts w:eastAsia="Times New Roman"/>
          <w:noProof w:val="0"/>
          <w:sz w:val="18"/>
          <w:szCs w:val="18"/>
        </w:rPr>
      </w:pPr>
      <w:r w:rsidRPr="006F225A">
        <w:rPr>
          <w:rFonts w:eastAsia="Times New Roman"/>
          <w:noProof w:val="0"/>
          <w:sz w:val="18"/>
          <w:szCs w:val="18"/>
        </w:rPr>
        <w:t xml:space="preserve">Xiao, H.; Barber, J.; Campbell, E.S. Economic burden of dehydration among hospitalized elderly patients. </w:t>
      </w:r>
      <w:r w:rsidRPr="006F225A">
        <w:rPr>
          <w:rFonts w:eastAsia="Times New Roman"/>
          <w:i/>
          <w:iCs/>
          <w:noProof w:val="0"/>
          <w:sz w:val="18"/>
          <w:szCs w:val="18"/>
        </w:rPr>
        <w:t>Am. J. Health Pharm.</w:t>
      </w:r>
      <w:r w:rsidRPr="006F225A">
        <w:rPr>
          <w:rFonts w:eastAsia="Times New Roman"/>
          <w:noProof w:val="0"/>
          <w:sz w:val="18"/>
          <w:szCs w:val="18"/>
        </w:rPr>
        <w:t xml:space="preserve"> </w:t>
      </w:r>
      <w:r w:rsidRPr="006F225A">
        <w:rPr>
          <w:rFonts w:eastAsia="Times New Roman"/>
          <w:b/>
          <w:bCs/>
          <w:noProof w:val="0"/>
          <w:sz w:val="18"/>
          <w:szCs w:val="18"/>
        </w:rPr>
        <w:t>2004</w:t>
      </w:r>
      <w:r w:rsidRPr="006F225A">
        <w:rPr>
          <w:rFonts w:eastAsia="Times New Roman"/>
          <w:noProof w:val="0"/>
          <w:sz w:val="18"/>
          <w:szCs w:val="18"/>
        </w:rPr>
        <w:t xml:space="preserve">, </w:t>
      </w:r>
      <w:r w:rsidRPr="006F225A">
        <w:rPr>
          <w:rFonts w:eastAsia="Times New Roman"/>
          <w:i/>
          <w:iCs/>
          <w:noProof w:val="0"/>
          <w:sz w:val="18"/>
          <w:szCs w:val="18"/>
        </w:rPr>
        <w:t>61</w:t>
      </w:r>
      <w:r w:rsidRPr="006F225A">
        <w:rPr>
          <w:rFonts w:eastAsia="Times New Roman"/>
          <w:noProof w:val="0"/>
          <w:sz w:val="18"/>
          <w:szCs w:val="18"/>
        </w:rPr>
        <w:t>, 2534–2540. https://doi.org/10.1093/ajhp/61.23.2534.</w:t>
      </w:r>
    </w:p>
    <w:p w14:paraId="65A8520F" w14:textId="77777777" w:rsidR="00EA3A1B" w:rsidRPr="006F225A" w:rsidRDefault="00EA3A1B" w:rsidP="00EA3A1B">
      <w:pPr>
        <w:pStyle w:val="ListParagraph"/>
        <w:numPr>
          <w:ilvl w:val="0"/>
          <w:numId w:val="39"/>
        </w:numPr>
        <w:adjustRightInd w:val="0"/>
        <w:snapToGrid w:val="0"/>
        <w:spacing w:line="228" w:lineRule="auto"/>
        <w:ind w:left="425" w:hanging="425"/>
        <w:rPr>
          <w:rFonts w:eastAsia="Times New Roman"/>
          <w:noProof w:val="0"/>
          <w:sz w:val="18"/>
          <w:szCs w:val="18"/>
        </w:rPr>
      </w:pPr>
      <w:r w:rsidRPr="006F225A">
        <w:rPr>
          <w:rFonts w:eastAsia="Times New Roman"/>
          <w:noProof w:val="0"/>
          <w:sz w:val="18"/>
          <w:szCs w:val="18"/>
        </w:rPr>
        <w:t xml:space="preserve">Page, M.J.; McKenzie, J.E.; </w:t>
      </w:r>
      <w:proofErr w:type="spellStart"/>
      <w:r w:rsidRPr="006F225A">
        <w:rPr>
          <w:rFonts w:eastAsia="Times New Roman"/>
          <w:noProof w:val="0"/>
          <w:sz w:val="18"/>
          <w:szCs w:val="18"/>
        </w:rPr>
        <w:t>Bossuyt</w:t>
      </w:r>
      <w:proofErr w:type="spellEnd"/>
      <w:r w:rsidRPr="006F225A">
        <w:rPr>
          <w:rFonts w:eastAsia="Times New Roman"/>
          <w:noProof w:val="0"/>
          <w:sz w:val="18"/>
          <w:szCs w:val="18"/>
        </w:rPr>
        <w:t xml:space="preserve">, P.M.; </w:t>
      </w:r>
      <w:proofErr w:type="spellStart"/>
      <w:r w:rsidRPr="006F225A">
        <w:rPr>
          <w:rFonts w:eastAsia="Times New Roman"/>
          <w:noProof w:val="0"/>
          <w:sz w:val="18"/>
          <w:szCs w:val="18"/>
        </w:rPr>
        <w:t>Boutron</w:t>
      </w:r>
      <w:proofErr w:type="spellEnd"/>
      <w:r w:rsidRPr="006F225A">
        <w:rPr>
          <w:rFonts w:eastAsia="Times New Roman"/>
          <w:noProof w:val="0"/>
          <w:sz w:val="18"/>
          <w:szCs w:val="18"/>
        </w:rPr>
        <w:t xml:space="preserve">, I.; Hoffmann, T.C.; Mulrow, C.D.; </w:t>
      </w:r>
      <w:proofErr w:type="spellStart"/>
      <w:r w:rsidRPr="006F225A">
        <w:rPr>
          <w:rFonts w:eastAsia="Times New Roman"/>
          <w:noProof w:val="0"/>
          <w:sz w:val="18"/>
          <w:szCs w:val="18"/>
        </w:rPr>
        <w:t>Shamseer</w:t>
      </w:r>
      <w:proofErr w:type="spellEnd"/>
      <w:r w:rsidRPr="006F225A">
        <w:rPr>
          <w:rFonts w:eastAsia="Times New Roman"/>
          <w:noProof w:val="0"/>
          <w:sz w:val="18"/>
          <w:szCs w:val="18"/>
        </w:rPr>
        <w:t xml:space="preserve">, L.; </w:t>
      </w:r>
      <w:proofErr w:type="spellStart"/>
      <w:r w:rsidRPr="006F225A">
        <w:rPr>
          <w:rFonts w:eastAsia="Times New Roman"/>
          <w:noProof w:val="0"/>
          <w:sz w:val="18"/>
          <w:szCs w:val="18"/>
        </w:rPr>
        <w:t>Tetzlaff</w:t>
      </w:r>
      <w:proofErr w:type="spellEnd"/>
      <w:r w:rsidRPr="006F225A">
        <w:rPr>
          <w:rFonts w:eastAsia="Times New Roman"/>
          <w:noProof w:val="0"/>
          <w:sz w:val="18"/>
          <w:szCs w:val="18"/>
        </w:rPr>
        <w:t xml:space="preserve">, J.M.; </w:t>
      </w:r>
      <w:proofErr w:type="spellStart"/>
      <w:r w:rsidRPr="006F225A">
        <w:rPr>
          <w:rFonts w:eastAsia="Times New Roman"/>
          <w:noProof w:val="0"/>
          <w:sz w:val="18"/>
          <w:szCs w:val="18"/>
        </w:rPr>
        <w:t>Akl</w:t>
      </w:r>
      <w:proofErr w:type="spellEnd"/>
      <w:r w:rsidRPr="006F225A">
        <w:rPr>
          <w:rFonts w:eastAsia="Times New Roman"/>
          <w:noProof w:val="0"/>
          <w:sz w:val="18"/>
          <w:szCs w:val="18"/>
        </w:rPr>
        <w:t xml:space="preserve">, E.A.; Brennan, S.E.; et al. The PRISMA 2020 Statement: An Updated Guideline for Reporting Systematic Reviews. </w:t>
      </w:r>
      <w:r w:rsidRPr="006F225A">
        <w:rPr>
          <w:rFonts w:eastAsia="Times New Roman"/>
          <w:i/>
          <w:iCs/>
          <w:noProof w:val="0"/>
          <w:sz w:val="18"/>
          <w:szCs w:val="18"/>
        </w:rPr>
        <w:t>BMJ Br. Med. J.</w:t>
      </w:r>
      <w:r w:rsidRPr="006F225A">
        <w:rPr>
          <w:rFonts w:eastAsia="Times New Roman"/>
          <w:noProof w:val="0"/>
          <w:sz w:val="18"/>
          <w:szCs w:val="18"/>
        </w:rPr>
        <w:t xml:space="preserve"> </w:t>
      </w:r>
      <w:r w:rsidRPr="006F225A">
        <w:rPr>
          <w:rFonts w:eastAsia="Times New Roman"/>
          <w:b/>
          <w:bCs/>
          <w:noProof w:val="0"/>
          <w:sz w:val="18"/>
          <w:szCs w:val="18"/>
        </w:rPr>
        <w:t>2021</w:t>
      </w:r>
      <w:r w:rsidRPr="006F225A">
        <w:rPr>
          <w:rFonts w:eastAsia="Times New Roman"/>
          <w:noProof w:val="0"/>
          <w:sz w:val="18"/>
          <w:szCs w:val="18"/>
        </w:rPr>
        <w:t xml:space="preserve">, </w:t>
      </w:r>
      <w:r w:rsidRPr="006F225A">
        <w:rPr>
          <w:rFonts w:eastAsia="Times New Roman"/>
          <w:i/>
          <w:iCs/>
          <w:noProof w:val="0"/>
          <w:sz w:val="18"/>
          <w:szCs w:val="18"/>
        </w:rPr>
        <w:t>372</w:t>
      </w:r>
      <w:r w:rsidRPr="006F225A">
        <w:rPr>
          <w:rFonts w:eastAsia="Times New Roman"/>
          <w:noProof w:val="0"/>
          <w:sz w:val="18"/>
          <w:szCs w:val="18"/>
        </w:rPr>
        <w:t>, n71. https://doi.org/10.1136/bmj.n71.</w:t>
      </w:r>
    </w:p>
    <w:p w14:paraId="056106BC" w14:textId="77777777" w:rsidR="00EA3A1B" w:rsidRPr="006F225A" w:rsidRDefault="00EA3A1B" w:rsidP="00EA3A1B">
      <w:pPr>
        <w:pStyle w:val="ListParagraph"/>
        <w:numPr>
          <w:ilvl w:val="0"/>
          <w:numId w:val="39"/>
        </w:numPr>
        <w:adjustRightInd w:val="0"/>
        <w:snapToGrid w:val="0"/>
        <w:spacing w:line="228" w:lineRule="auto"/>
        <w:ind w:left="425" w:hanging="425"/>
        <w:rPr>
          <w:rFonts w:eastAsia="Times New Roman"/>
          <w:noProof w:val="0"/>
          <w:sz w:val="18"/>
          <w:szCs w:val="18"/>
        </w:rPr>
      </w:pPr>
      <w:r w:rsidRPr="006F225A">
        <w:rPr>
          <w:rFonts w:eastAsia="Times New Roman"/>
          <w:noProof w:val="0"/>
          <w:sz w:val="18"/>
          <w:szCs w:val="18"/>
        </w:rPr>
        <w:t xml:space="preserve">Critical Appraisal Skills </w:t>
      </w:r>
      <w:proofErr w:type="spellStart"/>
      <w:r w:rsidRPr="006F225A">
        <w:rPr>
          <w:rFonts w:eastAsia="Times New Roman"/>
          <w:noProof w:val="0"/>
          <w:sz w:val="18"/>
          <w:szCs w:val="18"/>
        </w:rPr>
        <w:t>Programme</w:t>
      </w:r>
      <w:proofErr w:type="spellEnd"/>
      <w:r w:rsidRPr="006F225A">
        <w:rPr>
          <w:rFonts w:eastAsia="Times New Roman"/>
          <w:noProof w:val="0"/>
          <w:sz w:val="18"/>
          <w:szCs w:val="18"/>
        </w:rPr>
        <w:t>. CASP Checklists. 2022. Available online: https://casp-uk.net/ (accessed on 15 September 2022).</w:t>
      </w:r>
    </w:p>
    <w:p w14:paraId="764C0261" w14:textId="77777777" w:rsidR="00EA3A1B" w:rsidRPr="006F225A" w:rsidRDefault="00EA3A1B" w:rsidP="00EA3A1B">
      <w:pPr>
        <w:pStyle w:val="ListParagraph"/>
        <w:numPr>
          <w:ilvl w:val="0"/>
          <w:numId w:val="39"/>
        </w:numPr>
        <w:adjustRightInd w:val="0"/>
        <w:snapToGrid w:val="0"/>
        <w:spacing w:line="228" w:lineRule="auto"/>
        <w:ind w:left="425" w:hanging="425"/>
        <w:rPr>
          <w:rFonts w:eastAsia="Times New Roman"/>
          <w:noProof w:val="0"/>
          <w:sz w:val="18"/>
          <w:szCs w:val="18"/>
        </w:rPr>
      </w:pPr>
      <w:r w:rsidRPr="006F225A">
        <w:rPr>
          <w:rFonts w:eastAsia="Times New Roman"/>
          <w:noProof w:val="0"/>
          <w:sz w:val="18"/>
          <w:szCs w:val="18"/>
        </w:rPr>
        <w:t xml:space="preserve">Critical Appraisal Skills </w:t>
      </w:r>
      <w:proofErr w:type="spellStart"/>
      <w:r w:rsidRPr="006F225A">
        <w:rPr>
          <w:rFonts w:eastAsia="Times New Roman"/>
          <w:noProof w:val="0"/>
          <w:sz w:val="18"/>
          <w:szCs w:val="18"/>
        </w:rPr>
        <w:t>Programme</w:t>
      </w:r>
      <w:proofErr w:type="spellEnd"/>
      <w:r w:rsidRPr="006F225A">
        <w:rPr>
          <w:rFonts w:eastAsia="Times New Roman"/>
          <w:noProof w:val="0"/>
          <w:sz w:val="18"/>
          <w:szCs w:val="18"/>
        </w:rPr>
        <w:t>. CASP Cohort Study Checklist. 2022. Available online: https://casp-uk.net/images/checklist/documents/CASP-Cohort-Study-Checklist/CASP-Cohort-Study-Checklist_2018.pdf (accessed on 15 September 2022).</w:t>
      </w:r>
    </w:p>
    <w:p w14:paraId="5D044A42" w14:textId="77777777" w:rsidR="00EA3A1B" w:rsidRPr="006F225A" w:rsidRDefault="00EA3A1B" w:rsidP="00EA3A1B">
      <w:pPr>
        <w:pStyle w:val="ListParagraph"/>
        <w:numPr>
          <w:ilvl w:val="0"/>
          <w:numId w:val="39"/>
        </w:numPr>
        <w:adjustRightInd w:val="0"/>
        <w:snapToGrid w:val="0"/>
        <w:spacing w:line="228" w:lineRule="auto"/>
        <w:ind w:left="425" w:hanging="425"/>
        <w:rPr>
          <w:rFonts w:eastAsia="Times New Roman"/>
          <w:noProof w:val="0"/>
          <w:sz w:val="18"/>
          <w:szCs w:val="18"/>
        </w:rPr>
      </w:pPr>
      <w:r w:rsidRPr="006F225A">
        <w:rPr>
          <w:rFonts w:eastAsia="Times New Roman"/>
          <w:noProof w:val="0"/>
          <w:sz w:val="18"/>
          <w:szCs w:val="18"/>
        </w:rPr>
        <w:t xml:space="preserve">Akech, S.; </w:t>
      </w:r>
      <w:proofErr w:type="spellStart"/>
      <w:r w:rsidRPr="006F225A">
        <w:rPr>
          <w:rFonts w:eastAsia="Times New Roman"/>
          <w:noProof w:val="0"/>
          <w:sz w:val="18"/>
          <w:szCs w:val="18"/>
        </w:rPr>
        <w:t>Ayieko</w:t>
      </w:r>
      <w:proofErr w:type="spellEnd"/>
      <w:r w:rsidRPr="006F225A">
        <w:rPr>
          <w:rFonts w:eastAsia="Times New Roman"/>
          <w:noProof w:val="0"/>
          <w:sz w:val="18"/>
          <w:szCs w:val="18"/>
        </w:rPr>
        <w:t xml:space="preserve">, P.; </w:t>
      </w:r>
      <w:proofErr w:type="spellStart"/>
      <w:r w:rsidRPr="006F225A">
        <w:rPr>
          <w:rFonts w:eastAsia="Times New Roman"/>
          <w:noProof w:val="0"/>
          <w:sz w:val="18"/>
          <w:szCs w:val="18"/>
        </w:rPr>
        <w:t>Gathara</w:t>
      </w:r>
      <w:proofErr w:type="spellEnd"/>
      <w:r w:rsidRPr="006F225A">
        <w:rPr>
          <w:rFonts w:eastAsia="Times New Roman"/>
          <w:noProof w:val="0"/>
          <w:sz w:val="18"/>
          <w:szCs w:val="18"/>
        </w:rPr>
        <w:t xml:space="preserve">, D.; </w:t>
      </w:r>
      <w:proofErr w:type="spellStart"/>
      <w:r w:rsidRPr="006F225A">
        <w:rPr>
          <w:rFonts w:eastAsia="Times New Roman"/>
          <w:noProof w:val="0"/>
          <w:sz w:val="18"/>
          <w:szCs w:val="18"/>
        </w:rPr>
        <w:t>Agweyu</w:t>
      </w:r>
      <w:proofErr w:type="spellEnd"/>
      <w:r w:rsidRPr="006F225A">
        <w:rPr>
          <w:rFonts w:eastAsia="Times New Roman"/>
          <w:noProof w:val="0"/>
          <w:sz w:val="18"/>
          <w:szCs w:val="18"/>
        </w:rPr>
        <w:t xml:space="preserve">, A.; </w:t>
      </w:r>
      <w:proofErr w:type="spellStart"/>
      <w:r w:rsidRPr="006F225A">
        <w:rPr>
          <w:rFonts w:eastAsia="Times New Roman"/>
          <w:noProof w:val="0"/>
          <w:sz w:val="18"/>
          <w:szCs w:val="18"/>
        </w:rPr>
        <w:t>Irimu</w:t>
      </w:r>
      <w:proofErr w:type="spellEnd"/>
      <w:r w:rsidRPr="006F225A">
        <w:rPr>
          <w:rFonts w:eastAsia="Times New Roman"/>
          <w:noProof w:val="0"/>
          <w:sz w:val="18"/>
          <w:szCs w:val="18"/>
        </w:rPr>
        <w:t xml:space="preserve">, G.; </w:t>
      </w:r>
      <w:proofErr w:type="spellStart"/>
      <w:r w:rsidRPr="006F225A">
        <w:rPr>
          <w:rFonts w:eastAsia="Times New Roman"/>
          <w:noProof w:val="0"/>
          <w:sz w:val="18"/>
          <w:szCs w:val="18"/>
        </w:rPr>
        <w:t>Stepniewska</w:t>
      </w:r>
      <w:proofErr w:type="spellEnd"/>
      <w:r w:rsidRPr="006F225A">
        <w:rPr>
          <w:rFonts w:eastAsia="Times New Roman"/>
          <w:noProof w:val="0"/>
          <w:sz w:val="18"/>
          <w:szCs w:val="18"/>
        </w:rPr>
        <w:t xml:space="preserve">, K.; English, M.; </w:t>
      </w:r>
      <w:proofErr w:type="spellStart"/>
      <w:r w:rsidRPr="006F225A">
        <w:rPr>
          <w:rFonts w:eastAsia="Times New Roman"/>
          <w:noProof w:val="0"/>
          <w:sz w:val="18"/>
          <w:szCs w:val="18"/>
        </w:rPr>
        <w:t>Ngarngar</w:t>
      </w:r>
      <w:proofErr w:type="spellEnd"/>
      <w:r w:rsidRPr="006F225A">
        <w:rPr>
          <w:rFonts w:eastAsia="Times New Roman"/>
          <w:noProof w:val="0"/>
          <w:sz w:val="18"/>
          <w:szCs w:val="18"/>
        </w:rPr>
        <w:t xml:space="preserve">, S.; </w:t>
      </w:r>
      <w:proofErr w:type="spellStart"/>
      <w:r w:rsidRPr="006F225A">
        <w:rPr>
          <w:rFonts w:eastAsia="Times New Roman"/>
          <w:noProof w:val="0"/>
          <w:sz w:val="18"/>
          <w:szCs w:val="18"/>
        </w:rPr>
        <w:t>Aduro</w:t>
      </w:r>
      <w:proofErr w:type="spellEnd"/>
      <w:r w:rsidRPr="006F225A">
        <w:rPr>
          <w:rFonts w:eastAsia="Times New Roman"/>
          <w:noProof w:val="0"/>
          <w:sz w:val="18"/>
          <w:szCs w:val="18"/>
        </w:rPr>
        <w:t xml:space="preserve">, N.; Mutai, L.; et </w:t>
      </w:r>
      <w:r w:rsidRPr="006F225A">
        <w:rPr>
          <w:rFonts w:eastAsia="Times New Roman"/>
          <w:noProof w:val="0"/>
          <w:spacing w:val="-2"/>
          <w:sz w:val="18"/>
          <w:szCs w:val="18"/>
        </w:rPr>
        <w:t xml:space="preserve">al. Risk factors for mortality and effect of correct fluid prescription in children with </w:t>
      </w:r>
      <w:proofErr w:type="spellStart"/>
      <w:r w:rsidRPr="006F225A">
        <w:rPr>
          <w:rFonts w:eastAsia="Times New Roman"/>
          <w:noProof w:val="0"/>
          <w:spacing w:val="-2"/>
          <w:sz w:val="18"/>
          <w:szCs w:val="18"/>
        </w:rPr>
        <w:t>diarrhoea</w:t>
      </w:r>
      <w:proofErr w:type="spellEnd"/>
      <w:r w:rsidRPr="006F225A">
        <w:rPr>
          <w:rFonts w:eastAsia="Times New Roman"/>
          <w:noProof w:val="0"/>
          <w:spacing w:val="-2"/>
          <w:sz w:val="18"/>
          <w:szCs w:val="18"/>
        </w:rPr>
        <w:t xml:space="preserve"> and dehydration without severe acute malnutrition admitted to Kenyan hospitals: An observational, association study. </w:t>
      </w:r>
      <w:r w:rsidRPr="006F225A">
        <w:rPr>
          <w:rFonts w:eastAsia="Times New Roman"/>
          <w:i/>
          <w:iCs/>
          <w:noProof w:val="0"/>
          <w:spacing w:val="-2"/>
          <w:sz w:val="18"/>
          <w:szCs w:val="18"/>
        </w:rPr>
        <w:t xml:space="preserve">Lancet Child </w:t>
      </w:r>
      <w:proofErr w:type="spellStart"/>
      <w:r w:rsidRPr="006F225A">
        <w:rPr>
          <w:rFonts w:eastAsia="Times New Roman"/>
          <w:i/>
          <w:iCs/>
          <w:noProof w:val="0"/>
          <w:spacing w:val="-2"/>
          <w:sz w:val="18"/>
          <w:szCs w:val="18"/>
        </w:rPr>
        <w:t>Adolesc</w:t>
      </w:r>
      <w:proofErr w:type="spellEnd"/>
      <w:r w:rsidRPr="006F225A">
        <w:rPr>
          <w:rFonts w:eastAsia="Times New Roman"/>
          <w:i/>
          <w:iCs/>
          <w:noProof w:val="0"/>
          <w:spacing w:val="-2"/>
          <w:sz w:val="18"/>
          <w:szCs w:val="18"/>
        </w:rPr>
        <w:t>. Health</w:t>
      </w:r>
      <w:r w:rsidRPr="006F225A">
        <w:rPr>
          <w:rFonts w:eastAsia="Times New Roman"/>
          <w:noProof w:val="0"/>
          <w:spacing w:val="-2"/>
          <w:sz w:val="18"/>
          <w:szCs w:val="18"/>
        </w:rPr>
        <w:t xml:space="preserve"> </w:t>
      </w:r>
      <w:r w:rsidRPr="006F225A">
        <w:rPr>
          <w:rFonts w:eastAsia="Times New Roman"/>
          <w:b/>
          <w:bCs/>
          <w:noProof w:val="0"/>
          <w:spacing w:val="-2"/>
          <w:sz w:val="18"/>
          <w:szCs w:val="18"/>
        </w:rPr>
        <w:t>2018</w:t>
      </w:r>
      <w:r w:rsidRPr="006F225A">
        <w:rPr>
          <w:rFonts w:eastAsia="Times New Roman"/>
          <w:noProof w:val="0"/>
          <w:spacing w:val="-2"/>
          <w:sz w:val="18"/>
          <w:szCs w:val="18"/>
        </w:rPr>
        <w:t xml:space="preserve">, </w:t>
      </w:r>
      <w:r w:rsidRPr="006F225A">
        <w:rPr>
          <w:rFonts w:eastAsia="Times New Roman"/>
          <w:i/>
          <w:iCs/>
          <w:noProof w:val="0"/>
          <w:spacing w:val="-2"/>
          <w:sz w:val="18"/>
          <w:szCs w:val="18"/>
        </w:rPr>
        <w:t>2</w:t>
      </w:r>
      <w:r w:rsidRPr="006F225A">
        <w:rPr>
          <w:rFonts w:eastAsia="Times New Roman"/>
          <w:noProof w:val="0"/>
          <w:spacing w:val="-2"/>
          <w:sz w:val="18"/>
          <w:szCs w:val="18"/>
        </w:rPr>
        <w:t>, 516–524. https://doi.org/10.1016/s2352-4642(18)30130-5.</w:t>
      </w:r>
    </w:p>
    <w:p w14:paraId="08A1AC1C" w14:textId="77777777" w:rsidR="00EA3A1B" w:rsidRPr="006F225A" w:rsidRDefault="00EA3A1B" w:rsidP="00EA3A1B">
      <w:pPr>
        <w:pStyle w:val="ListParagraph"/>
        <w:numPr>
          <w:ilvl w:val="0"/>
          <w:numId w:val="39"/>
        </w:numPr>
        <w:adjustRightInd w:val="0"/>
        <w:snapToGrid w:val="0"/>
        <w:spacing w:line="228" w:lineRule="auto"/>
        <w:ind w:left="425" w:hanging="425"/>
        <w:rPr>
          <w:rFonts w:eastAsia="Times New Roman"/>
          <w:noProof w:val="0"/>
          <w:sz w:val="18"/>
          <w:szCs w:val="18"/>
        </w:rPr>
      </w:pPr>
      <w:r w:rsidRPr="006F225A">
        <w:rPr>
          <w:rFonts w:eastAsia="Times New Roman"/>
          <w:noProof w:val="0"/>
          <w:sz w:val="18"/>
          <w:szCs w:val="18"/>
        </w:rPr>
        <w:t xml:space="preserve">Chow, C.; Choi, K.; Nelson, E.A.S.; Chan, P.; Mast, T.C.; Distefano, D.; Tam, J.S.; </w:t>
      </w:r>
      <w:proofErr w:type="spellStart"/>
      <w:r w:rsidRPr="006F225A">
        <w:rPr>
          <w:rFonts w:eastAsia="Times New Roman"/>
          <w:noProof w:val="0"/>
          <w:sz w:val="18"/>
          <w:szCs w:val="18"/>
        </w:rPr>
        <w:t>Bresee</w:t>
      </w:r>
      <w:proofErr w:type="spellEnd"/>
      <w:r w:rsidRPr="006F225A">
        <w:rPr>
          <w:rFonts w:eastAsia="Times New Roman"/>
          <w:noProof w:val="0"/>
          <w:sz w:val="18"/>
          <w:szCs w:val="18"/>
        </w:rPr>
        <w:t xml:space="preserve">, J.S. Use of intravenous fluids in Hong Kong children </w:t>
      </w:r>
      <w:proofErr w:type="spellStart"/>
      <w:r w:rsidRPr="006F225A">
        <w:rPr>
          <w:rFonts w:eastAsia="Times New Roman"/>
          <w:noProof w:val="0"/>
          <w:sz w:val="18"/>
          <w:szCs w:val="18"/>
        </w:rPr>
        <w:t>hospitalised</w:t>
      </w:r>
      <w:proofErr w:type="spellEnd"/>
      <w:r w:rsidRPr="006F225A">
        <w:rPr>
          <w:rFonts w:eastAsia="Times New Roman"/>
          <w:noProof w:val="0"/>
          <w:sz w:val="18"/>
          <w:szCs w:val="18"/>
        </w:rPr>
        <w:t xml:space="preserve"> for </w:t>
      </w:r>
      <w:proofErr w:type="spellStart"/>
      <w:r w:rsidRPr="006F225A">
        <w:rPr>
          <w:rFonts w:eastAsia="Times New Roman"/>
          <w:noProof w:val="0"/>
          <w:sz w:val="18"/>
          <w:szCs w:val="18"/>
        </w:rPr>
        <w:t>diarrhoea</w:t>
      </w:r>
      <w:proofErr w:type="spellEnd"/>
      <w:r w:rsidRPr="006F225A">
        <w:rPr>
          <w:rFonts w:eastAsia="Times New Roman"/>
          <w:noProof w:val="0"/>
          <w:sz w:val="18"/>
          <w:szCs w:val="18"/>
        </w:rPr>
        <w:t xml:space="preserve"> and relationship to severity and </w:t>
      </w:r>
      <w:proofErr w:type="spellStart"/>
      <w:r w:rsidRPr="006F225A">
        <w:rPr>
          <w:rFonts w:eastAsia="Times New Roman"/>
          <w:noProof w:val="0"/>
          <w:sz w:val="18"/>
          <w:szCs w:val="18"/>
        </w:rPr>
        <w:t>aetiology</w:t>
      </w:r>
      <w:proofErr w:type="spellEnd"/>
      <w:r w:rsidRPr="006F225A">
        <w:rPr>
          <w:rFonts w:eastAsia="Times New Roman"/>
          <w:noProof w:val="0"/>
          <w:sz w:val="18"/>
          <w:szCs w:val="18"/>
        </w:rPr>
        <w:t xml:space="preserve">. </w:t>
      </w:r>
      <w:r w:rsidRPr="006F225A">
        <w:rPr>
          <w:rFonts w:eastAsia="Times New Roman"/>
          <w:i/>
          <w:iCs/>
          <w:noProof w:val="0"/>
          <w:sz w:val="18"/>
          <w:szCs w:val="18"/>
        </w:rPr>
        <w:t>Vaccine</w:t>
      </w:r>
      <w:r w:rsidRPr="006F225A">
        <w:rPr>
          <w:rFonts w:eastAsia="Times New Roman"/>
          <w:noProof w:val="0"/>
          <w:sz w:val="18"/>
          <w:szCs w:val="18"/>
        </w:rPr>
        <w:t xml:space="preserve"> </w:t>
      </w:r>
      <w:r w:rsidRPr="006F225A">
        <w:rPr>
          <w:rFonts w:eastAsia="Times New Roman"/>
          <w:b/>
          <w:bCs/>
          <w:noProof w:val="0"/>
          <w:sz w:val="18"/>
          <w:szCs w:val="18"/>
        </w:rPr>
        <w:t>2009</w:t>
      </w:r>
      <w:r w:rsidRPr="006F225A">
        <w:rPr>
          <w:rFonts w:eastAsia="Times New Roman"/>
          <w:noProof w:val="0"/>
          <w:sz w:val="18"/>
          <w:szCs w:val="18"/>
        </w:rPr>
        <w:t xml:space="preserve">, </w:t>
      </w:r>
      <w:r w:rsidRPr="006F225A">
        <w:rPr>
          <w:rFonts w:eastAsia="Times New Roman"/>
          <w:i/>
          <w:iCs/>
          <w:noProof w:val="0"/>
          <w:sz w:val="18"/>
          <w:szCs w:val="18"/>
        </w:rPr>
        <w:t>27</w:t>
      </w:r>
      <w:r w:rsidRPr="006F225A">
        <w:rPr>
          <w:rFonts w:eastAsia="Times New Roman"/>
          <w:noProof w:val="0"/>
          <w:sz w:val="18"/>
          <w:szCs w:val="18"/>
        </w:rPr>
        <w:t>, F55–F60. https://doi.org/10.1016/j.vaccine.2009.08.062.</w:t>
      </w:r>
    </w:p>
    <w:p w14:paraId="3D545163" w14:textId="77777777" w:rsidR="00EA3A1B" w:rsidRPr="006F225A" w:rsidRDefault="00EA3A1B" w:rsidP="00EA3A1B">
      <w:pPr>
        <w:pStyle w:val="ListParagraph"/>
        <w:numPr>
          <w:ilvl w:val="0"/>
          <w:numId w:val="39"/>
        </w:numPr>
        <w:adjustRightInd w:val="0"/>
        <w:snapToGrid w:val="0"/>
        <w:spacing w:line="228" w:lineRule="auto"/>
        <w:ind w:left="425" w:hanging="425"/>
        <w:rPr>
          <w:rFonts w:eastAsia="Times New Roman"/>
          <w:noProof w:val="0"/>
          <w:sz w:val="18"/>
          <w:szCs w:val="18"/>
        </w:rPr>
      </w:pPr>
      <w:proofErr w:type="spellStart"/>
      <w:r w:rsidRPr="006F225A">
        <w:rPr>
          <w:rFonts w:eastAsia="Times New Roman"/>
          <w:noProof w:val="0"/>
          <w:sz w:val="18"/>
          <w:szCs w:val="18"/>
        </w:rPr>
        <w:t>Heymann</w:t>
      </w:r>
      <w:proofErr w:type="spellEnd"/>
      <w:r w:rsidRPr="006F225A">
        <w:rPr>
          <w:rFonts w:eastAsia="Times New Roman"/>
          <w:noProof w:val="0"/>
          <w:sz w:val="18"/>
          <w:szCs w:val="18"/>
        </w:rPr>
        <w:t xml:space="preserve">, D.L.; </w:t>
      </w:r>
      <w:proofErr w:type="spellStart"/>
      <w:r w:rsidRPr="006F225A">
        <w:rPr>
          <w:rFonts w:eastAsia="Times New Roman"/>
          <w:noProof w:val="0"/>
          <w:sz w:val="18"/>
          <w:szCs w:val="18"/>
        </w:rPr>
        <w:t>Mbvundula</w:t>
      </w:r>
      <w:proofErr w:type="spellEnd"/>
      <w:r w:rsidRPr="006F225A">
        <w:rPr>
          <w:rFonts w:eastAsia="Times New Roman"/>
          <w:noProof w:val="0"/>
          <w:sz w:val="18"/>
          <w:szCs w:val="18"/>
        </w:rPr>
        <w:t xml:space="preserve">, M.; </w:t>
      </w:r>
      <w:proofErr w:type="spellStart"/>
      <w:r w:rsidRPr="006F225A">
        <w:rPr>
          <w:rFonts w:eastAsia="Times New Roman"/>
          <w:noProof w:val="0"/>
          <w:sz w:val="18"/>
          <w:szCs w:val="18"/>
        </w:rPr>
        <w:t>Macheso</w:t>
      </w:r>
      <w:proofErr w:type="spellEnd"/>
      <w:r w:rsidRPr="006F225A">
        <w:rPr>
          <w:rFonts w:eastAsia="Times New Roman"/>
          <w:noProof w:val="0"/>
          <w:sz w:val="18"/>
          <w:szCs w:val="18"/>
        </w:rPr>
        <w:t>, A.; McFarland, D.A.; Hawkins, R.V. Oral rehydration therapy in Ma-</w:t>
      </w:r>
      <w:proofErr w:type="spellStart"/>
      <w:r w:rsidRPr="006F225A">
        <w:rPr>
          <w:rFonts w:eastAsia="Times New Roman"/>
          <w:noProof w:val="0"/>
          <w:sz w:val="18"/>
          <w:szCs w:val="18"/>
        </w:rPr>
        <w:t>lawi</w:t>
      </w:r>
      <w:proofErr w:type="spellEnd"/>
      <w:r w:rsidRPr="006F225A">
        <w:rPr>
          <w:rFonts w:eastAsia="Times New Roman"/>
          <w:noProof w:val="0"/>
          <w:sz w:val="18"/>
          <w:szCs w:val="18"/>
        </w:rPr>
        <w:t xml:space="preserve">: Impact on the severity of disease and on hospital admissions, treatment practices, and recurrent costs. </w:t>
      </w:r>
      <w:r w:rsidRPr="006F225A">
        <w:rPr>
          <w:rFonts w:eastAsia="Times New Roman"/>
          <w:i/>
          <w:noProof w:val="0"/>
          <w:sz w:val="18"/>
          <w:szCs w:val="18"/>
        </w:rPr>
        <w:t xml:space="preserve">Bull. World Health Organ. </w:t>
      </w:r>
      <w:r w:rsidRPr="006F225A">
        <w:rPr>
          <w:rFonts w:eastAsia="Times New Roman"/>
          <w:b/>
          <w:bCs/>
          <w:noProof w:val="0"/>
          <w:sz w:val="18"/>
          <w:szCs w:val="18"/>
        </w:rPr>
        <w:t>1990</w:t>
      </w:r>
      <w:r w:rsidRPr="006F225A">
        <w:rPr>
          <w:rFonts w:eastAsia="Times New Roman"/>
          <w:noProof w:val="0"/>
          <w:sz w:val="18"/>
          <w:szCs w:val="18"/>
        </w:rPr>
        <w:t xml:space="preserve">, </w:t>
      </w:r>
      <w:r w:rsidRPr="006F225A">
        <w:rPr>
          <w:rFonts w:eastAsia="Times New Roman"/>
          <w:i/>
          <w:iCs/>
          <w:noProof w:val="0"/>
          <w:sz w:val="18"/>
          <w:szCs w:val="18"/>
        </w:rPr>
        <w:t>68</w:t>
      </w:r>
      <w:r w:rsidRPr="006F225A">
        <w:rPr>
          <w:rFonts w:eastAsia="Times New Roman"/>
          <w:noProof w:val="0"/>
          <w:sz w:val="18"/>
          <w:szCs w:val="18"/>
        </w:rPr>
        <w:t>, 193-197.</w:t>
      </w:r>
    </w:p>
    <w:p w14:paraId="66C32B0A" w14:textId="77777777" w:rsidR="00EA3A1B" w:rsidRPr="006F225A" w:rsidRDefault="00EA3A1B" w:rsidP="00EA3A1B">
      <w:pPr>
        <w:pStyle w:val="ListParagraph"/>
        <w:numPr>
          <w:ilvl w:val="0"/>
          <w:numId w:val="39"/>
        </w:numPr>
        <w:adjustRightInd w:val="0"/>
        <w:snapToGrid w:val="0"/>
        <w:spacing w:line="228" w:lineRule="auto"/>
        <w:ind w:left="425" w:hanging="425"/>
        <w:rPr>
          <w:rFonts w:eastAsia="Times New Roman"/>
          <w:noProof w:val="0"/>
          <w:sz w:val="18"/>
          <w:szCs w:val="18"/>
        </w:rPr>
      </w:pPr>
      <w:r w:rsidRPr="006F225A">
        <w:rPr>
          <w:rFonts w:eastAsia="Times New Roman"/>
          <w:noProof w:val="0"/>
          <w:sz w:val="18"/>
          <w:szCs w:val="18"/>
        </w:rPr>
        <w:t xml:space="preserve">Patwari, A.K.; Kumar, H.; Anand, V.K.; </w:t>
      </w:r>
      <w:proofErr w:type="spellStart"/>
      <w:r w:rsidRPr="006F225A">
        <w:rPr>
          <w:rFonts w:eastAsia="Times New Roman"/>
          <w:noProof w:val="0"/>
          <w:sz w:val="18"/>
          <w:szCs w:val="18"/>
        </w:rPr>
        <w:t>Aneja</w:t>
      </w:r>
      <w:proofErr w:type="spellEnd"/>
      <w:r w:rsidRPr="006F225A">
        <w:rPr>
          <w:rFonts w:eastAsia="Times New Roman"/>
          <w:noProof w:val="0"/>
          <w:sz w:val="18"/>
          <w:szCs w:val="18"/>
        </w:rPr>
        <w:t xml:space="preserve">, S.; Sharma, D. Diarrhea training and treatment unit: Experience from a teaching hospital. </w:t>
      </w:r>
      <w:r w:rsidRPr="006F225A">
        <w:rPr>
          <w:rFonts w:eastAsia="Times New Roman"/>
          <w:i/>
          <w:iCs/>
          <w:noProof w:val="0"/>
          <w:sz w:val="18"/>
          <w:szCs w:val="18"/>
        </w:rPr>
        <w:t xml:space="preserve">Indian J. </w:t>
      </w:r>
      <w:proofErr w:type="spellStart"/>
      <w:r w:rsidRPr="006F225A">
        <w:rPr>
          <w:rFonts w:eastAsia="Times New Roman"/>
          <w:i/>
          <w:iCs/>
          <w:noProof w:val="0"/>
          <w:sz w:val="18"/>
          <w:szCs w:val="18"/>
        </w:rPr>
        <w:t>Pediatr</w:t>
      </w:r>
      <w:proofErr w:type="spellEnd"/>
      <w:r w:rsidRPr="006F225A">
        <w:rPr>
          <w:rFonts w:eastAsia="Times New Roman"/>
          <w:i/>
          <w:iCs/>
          <w:noProof w:val="0"/>
          <w:sz w:val="18"/>
          <w:szCs w:val="18"/>
        </w:rPr>
        <w:t>.</w:t>
      </w:r>
      <w:r w:rsidRPr="006F225A">
        <w:rPr>
          <w:rFonts w:eastAsia="Times New Roman"/>
          <w:noProof w:val="0"/>
          <w:sz w:val="18"/>
          <w:szCs w:val="18"/>
        </w:rPr>
        <w:t xml:space="preserve"> </w:t>
      </w:r>
      <w:r w:rsidRPr="006F225A">
        <w:rPr>
          <w:rFonts w:eastAsia="Times New Roman"/>
          <w:b/>
          <w:bCs/>
          <w:noProof w:val="0"/>
          <w:sz w:val="18"/>
          <w:szCs w:val="18"/>
        </w:rPr>
        <w:t>1991</w:t>
      </w:r>
      <w:r w:rsidRPr="006F225A">
        <w:rPr>
          <w:rFonts w:eastAsia="Times New Roman"/>
          <w:noProof w:val="0"/>
          <w:sz w:val="18"/>
          <w:szCs w:val="18"/>
        </w:rPr>
        <w:t xml:space="preserve">, </w:t>
      </w:r>
      <w:r w:rsidRPr="006F225A">
        <w:rPr>
          <w:rFonts w:eastAsia="Times New Roman"/>
          <w:i/>
          <w:iCs/>
          <w:noProof w:val="0"/>
          <w:sz w:val="18"/>
          <w:szCs w:val="18"/>
        </w:rPr>
        <w:t>58</w:t>
      </w:r>
      <w:r w:rsidRPr="006F225A">
        <w:rPr>
          <w:rFonts w:eastAsia="Times New Roman"/>
          <w:noProof w:val="0"/>
          <w:sz w:val="18"/>
          <w:szCs w:val="18"/>
        </w:rPr>
        <w:t>, 775–781. https://doi.org/10.1007/bf02825434.</w:t>
      </w:r>
    </w:p>
    <w:p w14:paraId="685703EF" w14:textId="77777777" w:rsidR="00EA3A1B" w:rsidRPr="006F225A" w:rsidRDefault="00EA3A1B" w:rsidP="00EA3A1B">
      <w:pPr>
        <w:pStyle w:val="ListParagraph"/>
        <w:numPr>
          <w:ilvl w:val="0"/>
          <w:numId w:val="39"/>
        </w:numPr>
        <w:adjustRightInd w:val="0"/>
        <w:snapToGrid w:val="0"/>
        <w:spacing w:line="228" w:lineRule="auto"/>
        <w:ind w:left="425" w:hanging="425"/>
        <w:rPr>
          <w:rFonts w:eastAsia="Times New Roman"/>
          <w:noProof w:val="0"/>
          <w:sz w:val="18"/>
          <w:szCs w:val="18"/>
        </w:rPr>
      </w:pPr>
      <w:r w:rsidRPr="006F225A">
        <w:rPr>
          <w:rFonts w:eastAsia="Times New Roman"/>
          <w:noProof w:val="0"/>
          <w:sz w:val="18"/>
          <w:szCs w:val="18"/>
        </w:rPr>
        <w:t>Abdul-</w:t>
      </w:r>
      <w:proofErr w:type="spellStart"/>
      <w:r w:rsidRPr="006F225A">
        <w:rPr>
          <w:rFonts w:eastAsia="Times New Roman"/>
          <w:noProof w:val="0"/>
          <w:sz w:val="18"/>
          <w:szCs w:val="18"/>
        </w:rPr>
        <w:t>Mumin</w:t>
      </w:r>
      <w:proofErr w:type="spellEnd"/>
      <w:r w:rsidRPr="006F225A">
        <w:rPr>
          <w:rFonts w:eastAsia="Times New Roman"/>
          <w:noProof w:val="0"/>
          <w:sz w:val="18"/>
          <w:szCs w:val="18"/>
        </w:rPr>
        <w:t xml:space="preserve">, A.; Ervin, S.; Halvorson, E.E. Clinical characteristics associated with increased resource utilization of hospitalized children under 5 years with acute gastroenteritis at a tertiary hospital in the northern region of Ghana: A retrospective study. </w:t>
      </w:r>
      <w:r w:rsidRPr="006F225A">
        <w:rPr>
          <w:rFonts w:eastAsia="Times New Roman"/>
          <w:i/>
          <w:iCs/>
          <w:noProof w:val="0"/>
          <w:sz w:val="18"/>
          <w:szCs w:val="18"/>
        </w:rPr>
        <w:t>Pan Afr. Med. J.</w:t>
      </w:r>
      <w:r w:rsidRPr="006F225A">
        <w:rPr>
          <w:rFonts w:eastAsia="Times New Roman"/>
          <w:noProof w:val="0"/>
          <w:sz w:val="18"/>
          <w:szCs w:val="18"/>
        </w:rPr>
        <w:t xml:space="preserve"> </w:t>
      </w:r>
      <w:r w:rsidRPr="006F225A">
        <w:rPr>
          <w:rFonts w:eastAsia="Times New Roman"/>
          <w:b/>
          <w:bCs/>
          <w:noProof w:val="0"/>
          <w:sz w:val="18"/>
          <w:szCs w:val="18"/>
        </w:rPr>
        <w:t>2019</w:t>
      </w:r>
      <w:r w:rsidRPr="006F225A">
        <w:rPr>
          <w:rFonts w:eastAsia="Times New Roman"/>
          <w:noProof w:val="0"/>
          <w:sz w:val="18"/>
          <w:szCs w:val="18"/>
        </w:rPr>
        <w:t xml:space="preserve">, </w:t>
      </w:r>
      <w:r w:rsidRPr="006F225A">
        <w:rPr>
          <w:rFonts w:eastAsia="Times New Roman"/>
          <w:i/>
          <w:iCs/>
          <w:noProof w:val="0"/>
          <w:sz w:val="18"/>
          <w:szCs w:val="18"/>
        </w:rPr>
        <w:t>33</w:t>
      </w:r>
      <w:r w:rsidRPr="006F225A">
        <w:rPr>
          <w:rFonts w:eastAsia="Times New Roman"/>
          <w:noProof w:val="0"/>
          <w:sz w:val="18"/>
          <w:szCs w:val="18"/>
        </w:rPr>
        <w:t>, 186. https://doi.org/10.11604/pamj.2019.33.186.13133.</w:t>
      </w:r>
    </w:p>
    <w:p w14:paraId="6D3ED7D7" w14:textId="77777777" w:rsidR="00EA3A1B" w:rsidRPr="006F225A" w:rsidRDefault="00EA3A1B" w:rsidP="00EA3A1B">
      <w:pPr>
        <w:pStyle w:val="ListParagraph"/>
        <w:numPr>
          <w:ilvl w:val="0"/>
          <w:numId w:val="39"/>
        </w:numPr>
        <w:adjustRightInd w:val="0"/>
        <w:snapToGrid w:val="0"/>
        <w:spacing w:line="228" w:lineRule="auto"/>
        <w:ind w:left="425" w:hanging="425"/>
        <w:rPr>
          <w:rFonts w:eastAsia="Times New Roman"/>
          <w:noProof w:val="0"/>
          <w:sz w:val="18"/>
          <w:szCs w:val="18"/>
        </w:rPr>
      </w:pPr>
      <w:proofErr w:type="spellStart"/>
      <w:r w:rsidRPr="006F225A">
        <w:rPr>
          <w:rFonts w:eastAsia="Times New Roman"/>
          <w:noProof w:val="0"/>
          <w:sz w:val="18"/>
          <w:szCs w:val="18"/>
        </w:rPr>
        <w:t>Dbaibo</w:t>
      </w:r>
      <w:proofErr w:type="spellEnd"/>
      <w:r w:rsidRPr="006F225A">
        <w:rPr>
          <w:rFonts w:eastAsia="Times New Roman"/>
          <w:noProof w:val="0"/>
          <w:sz w:val="18"/>
          <w:szCs w:val="18"/>
        </w:rPr>
        <w:t xml:space="preserve">, G.; Rajab, M.; </w:t>
      </w:r>
      <w:proofErr w:type="spellStart"/>
      <w:r w:rsidRPr="006F225A">
        <w:rPr>
          <w:rFonts w:eastAsia="Times New Roman"/>
          <w:noProof w:val="0"/>
          <w:sz w:val="18"/>
          <w:szCs w:val="18"/>
        </w:rPr>
        <w:t>Inati</w:t>
      </w:r>
      <w:proofErr w:type="spellEnd"/>
      <w:r w:rsidRPr="006F225A">
        <w:rPr>
          <w:rFonts w:eastAsia="Times New Roman"/>
          <w:noProof w:val="0"/>
          <w:sz w:val="18"/>
          <w:szCs w:val="18"/>
        </w:rPr>
        <w:t xml:space="preserve">, A.; </w:t>
      </w:r>
      <w:proofErr w:type="spellStart"/>
      <w:r w:rsidRPr="006F225A">
        <w:rPr>
          <w:rFonts w:eastAsia="Times New Roman"/>
          <w:noProof w:val="0"/>
          <w:sz w:val="18"/>
          <w:szCs w:val="18"/>
        </w:rPr>
        <w:t>Mikhael</w:t>
      </w:r>
      <w:proofErr w:type="spellEnd"/>
      <w:r w:rsidRPr="006F225A">
        <w:rPr>
          <w:rFonts w:eastAsia="Times New Roman"/>
          <w:noProof w:val="0"/>
          <w:sz w:val="18"/>
          <w:szCs w:val="18"/>
        </w:rPr>
        <w:t xml:space="preserve">, R.; </w:t>
      </w:r>
      <w:proofErr w:type="spellStart"/>
      <w:r w:rsidRPr="006F225A">
        <w:rPr>
          <w:rFonts w:eastAsia="Times New Roman"/>
          <w:noProof w:val="0"/>
          <w:sz w:val="18"/>
          <w:szCs w:val="18"/>
        </w:rPr>
        <w:t>Choueiry</w:t>
      </w:r>
      <w:proofErr w:type="spellEnd"/>
      <w:r w:rsidRPr="006F225A">
        <w:rPr>
          <w:rFonts w:eastAsia="Times New Roman"/>
          <w:noProof w:val="0"/>
          <w:sz w:val="18"/>
          <w:szCs w:val="18"/>
        </w:rPr>
        <w:t>, E.; Al-</w:t>
      </w:r>
      <w:proofErr w:type="spellStart"/>
      <w:r w:rsidRPr="006F225A">
        <w:rPr>
          <w:rFonts w:eastAsia="Times New Roman"/>
          <w:noProof w:val="0"/>
          <w:sz w:val="18"/>
          <w:szCs w:val="18"/>
        </w:rPr>
        <w:t>Tannir</w:t>
      </w:r>
      <w:proofErr w:type="spellEnd"/>
      <w:r w:rsidRPr="006F225A">
        <w:rPr>
          <w:rFonts w:eastAsia="Times New Roman"/>
          <w:noProof w:val="0"/>
          <w:sz w:val="18"/>
          <w:szCs w:val="18"/>
        </w:rPr>
        <w:t xml:space="preserve">, M.; Salam, O.; Ramakrishnan, G.; </w:t>
      </w:r>
      <w:proofErr w:type="spellStart"/>
      <w:r w:rsidRPr="006F225A">
        <w:rPr>
          <w:rFonts w:eastAsia="Times New Roman"/>
          <w:noProof w:val="0"/>
          <w:sz w:val="18"/>
          <w:szCs w:val="18"/>
        </w:rPr>
        <w:t>DeAntonio</w:t>
      </w:r>
      <w:proofErr w:type="spellEnd"/>
      <w:r w:rsidRPr="006F225A">
        <w:rPr>
          <w:rFonts w:eastAsia="Times New Roman"/>
          <w:noProof w:val="0"/>
          <w:sz w:val="18"/>
          <w:szCs w:val="18"/>
        </w:rPr>
        <w:t xml:space="preserve">, R. Hospital-based surveillance study of rotavirus gastroenteritis in children under 5 years of age in Lebanon. </w:t>
      </w:r>
      <w:r w:rsidRPr="006F225A">
        <w:rPr>
          <w:rFonts w:eastAsia="Times New Roman"/>
          <w:i/>
          <w:iCs/>
          <w:noProof w:val="0"/>
          <w:sz w:val="18"/>
          <w:szCs w:val="18"/>
        </w:rPr>
        <w:t xml:space="preserve">Trials </w:t>
      </w:r>
      <w:proofErr w:type="spellStart"/>
      <w:r w:rsidRPr="006F225A">
        <w:rPr>
          <w:rFonts w:eastAsia="Times New Roman"/>
          <w:i/>
          <w:iCs/>
          <w:noProof w:val="0"/>
          <w:sz w:val="18"/>
          <w:szCs w:val="18"/>
        </w:rPr>
        <w:t>Vaccinol</w:t>
      </w:r>
      <w:proofErr w:type="spellEnd"/>
      <w:r w:rsidRPr="006F225A">
        <w:rPr>
          <w:rFonts w:eastAsia="Times New Roman"/>
          <w:i/>
          <w:iCs/>
          <w:noProof w:val="0"/>
          <w:sz w:val="18"/>
          <w:szCs w:val="18"/>
        </w:rPr>
        <w:t>.</w:t>
      </w:r>
      <w:r w:rsidRPr="006F225A">
        <w:rPr>
          <w:rFonts w:eastAsia="Times New Roman"/>
          <w:noProof w:val="0"/>
          <w:sz w:val="18"/>
          <w:szCs w:val="18"/>
        </w:rPr>
        <w:t xml:space="preserve"> </w:t>
      </w:r>
      <w:r w:rsidRPr="006F225A">
        <w:rPr>
          <w:rFonts w:eastAsia="Times New Roman"/>
          <w:b/>
          <w:bCs/>
          <w:noProof w:val="0"/>
          <w:sz w:val="18"/>
          <w:szCs w:val="18"/>
        </w:rPr>
        <w:t>2013</w:t>
      </w:r>
      <w:r w:rsidRPr="006F225A">
        <w:rPr>
          <w:rFonts w:eastAsia="Times New Roman"/>
          <w:noProof w:val="0"/>
          <w:sz w:val="18"/>
          <w:szCs w:val="18"/>
        </w:rPr>
        <w:t xml:space="preserve">, </w:t>
      </w:r>
      <w:r w:rsidRPr="006F225A">
        <w:rPr>
          <w:rFonts w:eastAsia="Times New Roman"/>
          <w:i/>
          <w:iCs/>
          <w:noProof w:val="0"/>
          <w:sz w:val="18"/>
          <w:szCs w:val="18"/>
        </w:rPr>
        <w:t>2</w:t>
      </w:r>
      <w:r w:rsidRPr="006F225A">
        <w:rPr>
          <w:rFonts w:eastAsia="Times New Roman"/>
          <w:noProof w:val="0"/>
          <w:sz w:val="18"/>
          <w:szCs w:val="18"/>
        </w:rPr>
        <w:t>, 25–30. https://doi.org/10.1016/j.trivac.2013.08.002.</w:t>
      </w:r>
    </w:p>
    <w:p w14:paraId="1EEB4227" w14:textId="77777777" w:rsidR="00EA3A1B" w:rsidRPr="006F225A" w:rsidRDefault="00EA3A1B" w:rsidP="00EA3A1B">
      <w:pPr>
        <w:pStyle w:val="ListParagraph"/>
        <w:numPr>
          <w:ilvl w:val="0"/>
          <w:numId w:val="39"/>
        </w:numPr>
        <w:adjustRightInd w:val="0"/>
        <w:snapToGrid w:val="0"/>
        <w:spacing w:line="228" w:lineRule="auto"/>
        <w:ind w:left="425" w:hanging="425"/>
        <w:rPr>
          <w:rFonts w:eastAsia="Times New Roman"/>
          <w:noProof w:val="0"/>
          <w:spacing w:val="-2"/>
          <w:sz w:val="18"/>
          <w:szCs w:val="18"/>
        </w:rPr>
      </w:pPr>
      <w:r w:rsidRPr="006F225A">
        <w:rPr>
          <w:rFonts w:eastAsia="Times New Roman"/>
          <w:noProof w:val="0"/>
          <w:spacing w:val="-2"/>
          <w:sz w:val="18"/>
          <w:szCs w:val="18"/>
        </w:rPr>
        <w:lastRenderedPageBreak/>
        <w:t xml:space="preserve">Freedman, S.B.; Hall, M.; Shah, S.S.; Kharbanda, A.B.; Aronson, P.L.; Florin, T.A.; Mistry, R.D.; Macias, C.G.; Neuman, M.I. Impact of Increasing Ondansetron Use on Clinical Outcomes in Children </w:t>
      </w:r>
      <w:proofErr w:type="gramStart"/>
      <w:r w:rsidRPr="006F225A">
        <w:rPr>
          <w:rFonts w:eastAsia="Times New Roman"/>
          <w:noProof w:val="0"/>
          <w:spacing w:val="-2"/>
          <w:sz w:val="18"/>
          <w:szCs w:val="18"/>
        </w:rPr>
        <w:t>With</w:t>
      </w:r>
      <w:proofErr w:type="gramEnd"/>
      <w:r w:rsidRPr="006F225A">
        <w:rPr>
          <w:rFonts w:eastAsia="Times New Roman"/>
          <w:noProof w:val="0"/>
          <w:spacing w:val="-2"/>
          <w:sz w:val="18"/>
          <w:szCs w:val="18"/>
        </w:rPr>
        <w:t xml:space="preserve"> Gastroenteritis. </w:t>
      </w:r>
      <w:r w:rsidRPr="006F225A">
        <w:rPr>
          <w:rFonts w:eastAsia="Times New Roman"/>
          <w:i/>
          <w:iCs/>
          <w:noProof w:val="0"/>
          <w:spacing w:val="-2"/>
          <w:sz w:val="18"/>
          <w:szCs w:val="18"/>
        </w:rPr>
        <w:t xml:space="preserve">JAMA </w:t>
      </w:r>
      <w:proofErr w:type="spellStart"/>
      <w:r w:rsidRPr="006F225A">
        <w:rPr>
          <w:rFonts w:eastAsia="Times New Roman"/>
          <w:i/>
          <w:iCs/>
          <w:noProof w:val="0"/>
          <w:spacing w:val="-2"/>
          <w:sz w:val="18"/>
          <w:szCs w:val="18"/>
        </w:rPr>
        <w:t>Pediatr</w:t>
      </w:r>
      <w:proofErr w:type="spellEnd"/>
      <w:r w:rsidRPr="006F225A">
        <w:rPr>
          <w:rFonts w:eastAsia="Times New Roman"/>
          <w:i/>
          <w:iCs/>
          <w:noProof w:val="0"/>
          <w:spacing w:val="-2"/>
          <w:sz w:val="18"/>
          <w:szCs w:val="18"/>
        </w:rPr>
        <w:t>.</w:t>
      </w:r>
      <w:r w:rsidRPr="006F225A">
        <w:rPr>
          <w:rFonts w:eastAsia="Times New Roman"/>
          <w:noProof w:val="0"/>
          <w:spacing w:val="-2"/>
          <w:sz w:val="18"/>
          <w:szCs w:val="18"/>
        </w:rPr>
        <w:t xml:space="preserve"> </w:t>
      </w:r>
      <w:r w:rsidRPr="006F225A">
        <w:rPr>
          <w:rFonts w:eastAsia="Times New Roman"/>
          <w:b/>
          <w:bCs/>
          <w:noProof w:val="0"/>
          <w:spacing w:val="-2"/>
          <w:sz w:val="18"/>
          <w:szCs w:val="18"/>
        </w:rPr>
        <w:t>2014</w:t>
      </w:r>
      <w:r w:rsidRPr="006F225A">
        <w:rPr>
          <w:rFonts w:eastAsia="Times New Roman"/>
          <w:noProof w:val="0"/>
          <w:spacing w:val="-2"/>
          <w:sz w:val="18"/>
          <w:szCs w:val="18"/>
        </w:rPr>
        <w:t xml:space="preserve">, </w:t>
      </w:r>
      <w:r w:rsidRPr="006F225A">
        <w:rPr>
          <w:rFonts w:eastAsia="Times New Roman"/>
          <w:i/>
          <w:iCs/>
          <w:noProof w:val="0"/>
          <w:spacing w:val="-2"/>
          <w:sz w:val="18"/>
          <w:szCs w:val="18"/>
        </w:rPr>
        <w:t>168</w:t>
      </w:r>
      <w:r w:rsidRPr="006F225A">
        <w:rPr>
          <w:rFonts w:eastAsia="Times New Roman"/>
          <w:noProof w:val="0"/>
          <w:spacing w:val="-2"/>
          <w:sz w:val="18"/>
          <w:szCs w:val="18"/>
        </w:rPr>
        <w:t>, 321–329. https://doi.org/10.1001/jamapediatrics.2013.4906.</w:t>
      </w:r>
    </w:p>
    <w:p w14:paraId="42558D23" w14:textId="77777777" w:rsidR="00EA3A1B" w:rsidRPr="006F225A" w:rsidRDefault="00EA3A1B" w:rsidP="00EA3A1B">
      <w:pPr>
        <w:pStyle w:val="ListParagraph"/>
        <w:numPr>
          <w:ilvl w:val="0"/>
          <w:numId w:val="39"/>
        </w:numPr>
        <w:adjustRightInd w:val="0"/>
        <w:snapToGrid w:val="0"/>
        <w:spacing w:line="228" w:lineRule="auto"/>
        <w:ind w:left="425" w:hanging="425"/>
        <w:rPr>
          <w:rFonts w:eastAsia="Times New Roman"/>
          <w:noProof w:val="0"/>
          <w:sz w:val="18"/>
          <w:szCs w:val="18"/>
        </w:rPr>
      </w:pPr>
      <w:proofErr w:type="spellStart"/>
      <w:r w:rsidRPr="006F225A">
        <w:rPr>
          <w:rFonts w:eastAsia="Times New Roman"/>
          <w:noProof w:val="0"/>
          <w:sz w:val="18"/>
          <w:szCs w:val="18"/>
        </w:rPr>
        <w:t>Moineau</w:t>
      </w:r>
      <w:proofErr w:type="spellEnd"/>
      <w:r w:rsidRPr="006F225A">
        <w:rPr>
          <w:rFonts w:eastAsia="Times New Roman"/>
          <w:noProof w:val="0"/>
          <w:sz w:val="18"/>
          <w:szCs w:val="18"/>
        </w:rPr>
        <w:t xml:space="preserve">, G.; Newman, J. Rapid intravenous rehydration in the pediatric emergency department. </w:t>
      </w:r>
      <w:proofErr w:type="spellStart"/>
      <w:r w:rsidRPr="006F225A">
        <w:rPr>
          <w:rFonts w:eastAsia="Times New Roman"/>
          <w:i/>
          <w:iCs/>
          <w:noProof w:val="0"/>
          <w:sz w:val="18"/>
          <w:szCs w:val="18"/>
        </w:rPr>
        <w:t>Pediatr</w:t>
      </w:r>
      <w:proofErr w:type="spellEnd"/>
      <w:r w:rsidRPr="006F225A">
        <w:rPr>
          <w:rFonts w:eastAsia="Times New Roman"/>
          <w:i/>
          <w:iCs/>
          <w:noProof w:val="0"/>
          <w:sz w:val="18"/>
          <w:szCs w:val="18"/>
        </w:rPr>
        <w:t xml:space="preserve">. </w:t>
      </w:r>
      <w:proofErr w:type="spellStart"/>
      <w:r w:rsidRPr="006F225A">
        <w:rPr>
          <w:rFonts w:eastAsia="Times New Roman"/>
          <w:i/>
          <w:iCs/>
          <w:noProof w:val="0"/>
          <w:sz w:val="18"/>
          <w:szCs w:val="18"/>
        </w:rPr>
        <w:t>Emerg</w:t>
      </w:r>
      <w:proofErr w:type="spellEnd"/>
      <w:r w:rsidRPr="006F225A">
        <w:rPr>
          <w:rFonts w:eastAsia="Times New Roman"/>
          <w:i/>
          <w:iCs/>
          <w:noProof w:val="0"/>
          <w:sz w:val="18"/>
          <w:szCs w:val="18"/>
        </w:rPr>
        <w:t>. Care</w:t>
      </w:r>
      <w:r w:rsidRPr="006F225A">
        <w:rPr>
          <w:rFonts w:eastAsia="Times New Roman"/>
          <w:noProof w:val="0"/>
          <w:sz w:val="18"/>
          <w:szCs w:val="18"/>
        </w:rPr>
        <w:t xml:space="preserve"> </w:t>
      </w:r>
      <w:r w:rsidRPr="006F225A">
        <w:rPr>
          <w:rFonts w:eastAsia="Times New Roman"/>
          <w:b/>
          <w:bCs/>
          <w:noProof w:val="0"/>
          <w:sz w:val="18"/>
          <w:szCs w:val="18"/>
        </w:rPr>
        <w:t>1990</w:t>
      </w:r>
      <w:r w:rsidRPr="006F225A">
        <w:rPr>
          <w:rFonts w:eastAsia="Times New Roman"/>
          <w:noProof w:val="0"/>
          <w:sz w:val="18"/>
          <w:szCs w:val="18"/>
        </w:rPr>
        <w:t xml:space="preserve">, </w:t>
      </w:r>
      <w:r w:rsidRPr="006F225A">
        <w:rPr>
          <w:rFonts w:eastAsia="Times New Roman"/>
          <w:i/>
          <w:iCs/>
          <w:noProof w:val="0"/>
          <w:sz w:val="18"/>
          <w:szCs w:val="18"/>
        </w:rPr>
        <w:t>6</w:t>
      </w:r>
      <w:r w:rsidRPr="006F225A">
        <w:rPr>
          <w:rFonts w:eastAsia="Times New Roman"/>
          <w:noProof w:val="0"/>
          <w:sz w:val="18"/>
          <w:szCs w:val="18"/>
        </w:rPr>
        <w:t>, 186–188. https://doi.org/10.1097/00006565-199009000-00005.</w:t>
      </w:r>
    </w:p>
    <w:p w14:paraId="67144FAE" w14:textId="77777777" w:rsidR="00EA3A1B" w:rsidRPr="006F225A" w:rsidRDefault="00EA3A1B" w:rsidP="00EA3A1B">
      <w:pPr>
        <w:pStyle w:val="ListParagraph"/>
        <w:numPr>
          <w:ilvl w:val="0"/>
          <w:numId w:val="39"/>
        </w:numPr>
        <w:adjustRightInd w:val="0"/>
        <w:snapToGrid w:val="0"/>
        <w:spacing w:line="228" w:lineRule="auto"/>
        <w:ind w:left="425" w:hanging="425"/>
        <w:rPr>
          <w:rFonts w:eastAsia="Times New Roman"/>
          <w:noProof w:val="0"/>
          <w:sz w:val="18"/>
          <w:szCs w:val="18"/>
        </w:rPr>
      </w:pPr>
      <w:proofErr w:type="spellStart"/>
      <w:r w:rsidRPr="006F225A">
        <w:rPr>
          <w:rFonts w:eastAsia="Times New Roman"/>
          <w:noProof w:val="0"/>
          <w:sz w:val="18"/>
          <w:szCs w:val="18"/>
        </w:rPr>
        <w:t>Myat</w:t>
      </w:r>
      <w:proofErr w:type="spellEnd"/>
      <w:r w:rsidRPr="006F225A">
        <w:rPr>
          <w:rFonts w:eastAsia="Times New Roman"/>
          <w:noProof w:val="0"/>
          <w:sz w:val="18"/>
          <w:szCs w:val="18"/>
        </w:rPr>
        <w:t xml:space="preserve">, T.W.; Thu, H.M.; Tate, J.E.; Burnett, E.; Cates, J.E.; Parashar, U.D.; Kyaw, Y.M.; </w:t>
      </w:r>
      <w:proofErr w:type="spellStart"/>
      <w:r w:rsidRPr="006F225A">
        <w:rPr>
          <w:rFonts w:eastAsia="Times New Roman"/>
          <w:noProof w:val="0"/>
          <w:sz w:val="18"/>
          <w:szCs w:val="18"/>
        </w:rPr>
        <w:t>Khaing</w:t>
      </w:r>
      <w:proofErr w:type="spellEnd"/>
      <w:r w:rsidRPr="006F225A">
        <w:rPr>
          <w:rFonts w:eastAsia="Times New Roman"/>
          <w:noProof w:val="0"/>
          <w:sz w:val="18"/>
          <w:szCs w:val="18"/>
        </w:rPr>
        <w:t xml:space="preserve">, T.E.E.; </w:t>
      </w:r>
      <w:proofErr w:type="spellStart"/>
      <w:r w:rsidRPr="006F225A">
        <w:rPr>
          <w:rFonts w:eastAsia="Times New Roman"/>
          <w:noProof w:val="0"/>
          <w:sz w:val="18"/>
          <w:szCs w:val="18"/>
        </w:rPr>
        <w:t>Moh</w:t>
      </w:r>
      <w:proofErr w:type="spellEnd"/>
      <w:r w:rsidRPr="006F225A">
        <w:rPr>
          <w:rFonts w:eastAsia="Times New Roman"/>
          <w:noProof w:val="0"/>
          <w:sz w:val="18"/>
          <w:szCs w:val="18"/>
        </w:rPr>
        <w:t>, K.M.; Win, N.N.; et al. Rotavirus infection among children under five years of age hospitalized with acute gastroenteritis in Myanmar during 2018–2020—</w:t>
      </w:r>
      <w:proofErr w:type="spellStart"/>
      <w:r w:rsidRPr="006F225A">
        <w:rPr>
          <w:rFonts w:eastAsia="Times New Roman"/>
          <w:noProof w:val="0"/>
          <w:sz w:val="18"/>
          <w:szCs w:val="18"/>
        </w:rPr>
        <w:t>Multicentre</w:t>
      </w:r>
      <w:proofErr w:type="spellEnd"/>
      <w:r w:rsidRPr="006F225A">
        <w:rPr>
          <w:rFonts w:eastAsia="Times New Roman"/>
          <w:noProof w:val="0"/>
          <w:sz w:val="18"/>
          <w:szCs w:val="18"/>
        </w:rPr>
        <w:t xml:space="preserve"> surveillance before rotavirus vaccine introduction. </w:t>
      </w:r>
      <w:r w:rsidRPr="006F225A">
        <w:rPr>
          <w:rFonts w:eastAsia="Times New Roman"/>
          <w:i/>
          <w:iCs/>
          <w:noProof w:val="0"/>
          <w:sz w:val="18"/>
          <w:szCs w:val="18"/>
        </w:rPr>
        <w:t>Vaccine</w:t>
      </w:r>
      <w:r w:rsidRPr="006F225A">
        <w:rPr>
          <w:rFonts w:eastAsia="Times New Roman"/>
          <w:noProof w:val="0"/>
          <w:sz w:val="18"/>
          <w:szCs w:val="18"/>
        </w:rPr>
        <w:t xml:space="preserve"> </w:t>
      </w:r>
      <w:r w:rsidRPr="006F225A">
        <w:rPr>
          <w:rFonts w:eastAsia="Times New Roman"/>
          <w:b/>
          <w:bCs/>
          <w:noProof w:val="0"/>
          <w:sz w:val="18"/>
          <w:szCs w:val="18"/>
        </w:rPr>
        <w:t>2021</w:t>
      </w:r>
      <w:r w:rsidRPr="006F225A">
        <w:rPr>
          <w:rFonts w:eastAsia="Times New Roman"/>
          <w:noProof w:val="0"/>
          <w:sz w:val="18"/>
          <w:szCs w:val="18"/>
        </w:rPr>
        <w:t xml:space="preserve">, </w:t>
      </w:r>
      <w:r w:rsidRPr="006F225A">
        <w:rPr>
          <w:rFonts w:eastAsia="Times New Roman"/>
          <w:i/>
          <w:iCs/>
          <w:noProof w:val="0"/>
          <w:sz w:val="18"/>
          <w:szCs w:val="18"/>
        </w:rPr>
        <w:t>39</w:t>
      </w:r>
      <w:r w:rsidRPr="006F225A">
        <w:rPr>
          <w:rFonts w:eastAsia="Times New Roman"/>
          <w:noProof w:val="0"/>
          <w:sz w:val="18"/>
          <w:szCs w:val="18"/>
        </w:rPr>
        <w:t>, 6907–6912. https://doi.org/10.1016/j.vaccine.2021.10.014.</w:t>
      </w:r>
    </w:p>
    <w:p w14:paraId="1141A97E" w14:textId="77777777" w:rsidR="00EA3A1B" w:rsidRPr="006F225A" w:rsidRDefault="00EA3A1B" w:rsidP="00EA3A1B">
      <w:pPr>
        <w:pStyle w:val="ListParagraph"/>
        <w:numPr>
          <w:ilvl w:val="0"/>
          <w:numId w:val="39"/>
        </w:numPr>
        <w:adjustRightInd w:val="0"/>
        <w:snapToGrid w:val="0"/>
        <w:spacing w:line="228" w:lineRule="auto"/>
        <w:ind w:left="425" w:hanging="425"/>
        <w:rPr>
          <w:rFonts w:eastAsia="Times New Roman"/>
          <w:noProof w:val="0"/>
          <w:sz w:val="18"/>
          <w:szCs w:val="18"/>
        </w:rPr>
      </w:pPr>
      <w:proofErr w:type="spellStart"/>
      <w:r w:rsidRPr="006F225A">
        <w:rPr>
          <w:rFonts w:eastAsia="Times New Roman"/>
          <w:noProof w:val="0"/>
          <w:sz w:val="18"/>
          <w:szCs w:val="18"/>
        </w:rPr>
        <w:t>Nazurdinov</w:t>
      </w:r>
      <w:proofErr w:type="spellEnd"/>
      <w:r w:rsidRPr="006F225A">
        <w:rPr>
          <w:rFonts w:eastAsia="Times New Roman"/>
          <w:noProof w:val="0"/>
          <w:sz w:val="18"/>
          <w:szCs w:val="18"/>
        </w:rPr>
        <w:t xml:space="preserve">, A.B.; </w:t>
      </w:r>
      <w:proofErr w:type="spellStart"/>
      <w:r w:rsidRPr="006F225A">
        <w:rPr>
          <w:rFonts w:eastAsia="Times New Roman"/>
          <w:noProof w:val="0"/>
          <w:sz w:val="18"/>
          <w:szCs w:val="18"/>
        </w:rPr>
        <w:t>Azizov</w:t>
      </w:r>
      <w:proofErr w:type="spellEnd"/>
      <w:r w:rsidRPr="006F225A">
        <w:rPr>
          <w:rFonts w:eastAsia="Times New Roman"/>
          <w:noProof w:val="0"/>
          <w:sz w:val="18"/>
          <w:szCs w:val="18"/>
        </w:rPr>
        <w:t xml:space="preserve">, Z.A.; </w:t>
      </w:r>
      <w:proofErr w:type="spellStart"/>
      <w:r w:rsidRPr="006F225A">
        <w:rPr>
          <w:rFonts w:eastAsia="Times New Roman"/>
          <w:noProof w:val="0"/>
          <w:sz w:val="18"/>
          <w:szCs w:val="18"/>
        </w:rPr>
        <w:t>Tishkova</w:t>
      </w:r>
      <w:proofErr w:type="spellEnd"/>
      <w:r w:rsidRPr="006F225A">
        <w:rPr>
          <w:rFonts w:eastAsia="Times New Roman"/>
          <w:noProof w:val="0"/>
          <w:sz w:val="18"/>
          <w:szCs w:val="18"/>
        </w:rPr>
        <w:t xml:space="preserve">, F.; </w:t>
      </w:r>
      <w:proofErr w:type="spellStart"/>
      <w:r w:rsidRPr="006F225A">
        <w:rPr>
          <w:rFonts w:eastAsia="Times New Roman"/>
          <w:noProof w:val="0"/>
          <w:sz w:val="18"/>
          <w:szCs w:val="18"/>
        </w:rPr>
        <w:t>Turkov</w:t>
      </w:r>
      <w:proofErr w:type="spellEnd"/>
      <w:r w:rsidRPr="006F225A">
        <w:rPr>
          <w:rFonts w:eastAsia="Times New Roman"/>
          <w:noProof w:val="0"/>
          <w:sz w:val="18"/>
          <w:szCs w:val="18"/>
        </w:rPr>
        <w:t xml:space="preserve">, S.M.; Daniels, D.S.; </w:t>
      </w:r>
      <w:proofErr w:type="spellStart"/>
      <w:r w:rsidRPr="006F225A">
        <w:rPr>
          <w:rFonts w:eastAsia="Times New Roman"/>
          <w:noProof w:val="0"/>
          <w:sz w:val="18"/>
          <w:szCs w:val="18"/>
        </w:rPr>
        <w:t>Leshem</w:t>
      </w:r>
      <w:proofErr w:type="spellEnd"/>
      <w:r w:rsidRPr="006F225A">
        <w:rPr>
          <w:rFonts w:eastAsia="Times New Roman"/>
          <w:noProof w:val="0"/>
          <w:sz w:val="18"/>
          <w:szCs w:val="18"/>
        </w:rPr>
        <w:t>, E. Rotavirus hospitalizations among children &lt;5</w:t>
      </w:r>
      <w:r w:rsidRPr="006F225A">
        <w:rPr>
          <w:rFonts w:ascii="Times New Roman" w:eastAsia="Times New Roman" w:hAnsi="Times New Roman"/>
          <w:noProof w:val="0"/>
          <w:sz w:val="18"/>
          <w:szCs w:val="18"/>
        </w:rPr>
        <w:t> </w:t>
      </w:r>
      <w:r w:rsidRPr="006F225A">
        <w:rPr>
          <w:rFonts w:eastAsia="Times New Roman"/>
          <w:noProof w:val="0"/>
          <w:sz w:val="18"/>
          <w:szCs w:val="18"/>
        </w:rPr>
        <w:t xml:space="preserve">years of age-Tajikistan, 2013–2014. </w:t>
      </w:r>
      <w:r w:rsidRPr="006F225A">
        <w:rPr>
          <w:rFonts w:eastAsia="Times New Roman"/>
          <w:i/>
          <w:iCs/>
          <w:noProof w:val="0"/>
          <w:sz w:val="18"/>
          <w:szCs w:val="18"/>
        </w:rPr>
        <w:t>Vaccine</w:t>
      </w:r>
      <w:r w:rsidRPr="006F225A">
        <w:rPr>
          <w:rFonts w:eastAsia="Times New Roman"/>
          <w:noProof w:val="0"/>
          <w:sz w:val="18"/>
          <w:szCs w:val="18"/>
        </w:rPr>
        <w:t xml:space="preserve"> </w:t>
      </w:r>
      <w:r w:rsidRPr="006F225A">
        <w:rPr>
          <w:rFonts w:eastAsia="Times New Roman"/>
          <w:b/>
          <w:bCs/>
          <w:noProof w:val="0"/>
          <w:sz w:val="18"/>
          <w:szCs w:val="18"/>
        </w:rPr>
        <w:t>2018</w:t>
      </w:r>
      <w:r w:rsidRPr="006F225A">
        <w:rPr>
          <w:rFonts w:eastAsia="Times New Roman"/>
          <w:noProof w:val="0"/>
          <w:sz w:val="18"/>
          <w:szCs w:val="18"/>
        </w:rPr>
        <w:t xml:space="preserve">, </w:t>
      </w:r>
      <w:r w:rsidRPr="006F225A">
        <w:rPr>
          <w:rFonts w:eastAsia="Times New Roman"/>
          <w:i/>
          <w:iCs/>
          <w:noProof w:val="0"/>
          <w:sz w:val="18"/>
          <w:szCs w:val="18"/>
        </w:rPr>
        <w:t>36</w:t>
      </w:r>
      <w:r w:rsidRPr="006F225A">
        <w:rPr>
          <w:rFonts w:eastAsia="Times New Roman"/>
          <w:noProof w:val="0"/>
          <w:sz w:val="18"/>
          <w:szCs w:val="18"/>
        </w:rPr>
        <w:t xml:space="preserve">, 7794-7797. </w:t>
      </w:r>
    </w:p>
    <w:p w14:paraId="1F10141A" w14:textId="77777777" w:rsidR="00EA3A1B" w:rsidRPr="006F225A" w:rsidRDefault="00EA3A1B" w:rsidP="00EA3A1B">
      <w:pPr>
        <w:pStyle w:val="ListParagraph"/>
        <w:numPr>
          <w:ilvl w:val="0"/>
          <w:numId w:val="39"/>
        </w:numPr>
        <w:adjustRightInd w:val="0"/>
        <w:snapToGrid w:val="0"/>
        <w:spacing w:line="228" w:lineRule="auto"/>
        <w:ind w:left="425" w:hanging="425"/>
        <w:rPr>
          <w:rFonts w:eastAsia="Times New Roman"/>
          <w:noProof w:val="0"/>
          <w:sz w:val="18"/>
          <w:szCs w:val="18"/>
        </w:rPr>
      </w:pPr>
      <w:r w:rsidRPr="006F225A">
        <w:rPr>
          <w:rFonts w:eastAsia="Times New Roman"/>
          <w:noProof w:val="0"/>
          <w:sz w:val="18"/>
          <w:szCs w:val="18"/>
        </w:rPr>
        <w:t xml:space="preserve">Perl, S.; Goldman, M.; </w:t>
      </w:r>
      <w:proofErr w:type="spellStart"/>
      <w:r w:rsidRPr="006F225A">
        <w:rPr>
          <w:rFonts w:eastAsia="Times New Roman"/>
          <w:noProof w:val="0"/>
          <w:sz w:val="18"/>
          <w:szCs w:val="18"/>
        </w:rPr>
        <w:t>Berkovitch</w:t>
      </w:r>
      <w:proofErr w:type="spellEnd"/>
      <w:r w:rsidRPr="006F225A">
        <w:rPr>
          <w:rFonts w:eastAsia="Times New Roman"/>
          <w:noProof w:val="0"/>
          <w:sz w:val="18"/>
          <w:szCs w:val="18"/>
        </w:rPr>
        <w:t xml:space="preserve">, M.; </w:t>
      </w:r>
      <w:proofErr w:type="spellStart"/>
      <w:r w:rsidRPr="006F225A">
        <w:rPr>
          <w:rFonts w:eastAsia="Times New Roman"/>
          <w:noProof w:val="0"/>
          <w:sz w:val="18"/>
          <w:szCs w:val="18"/>
        </w:rPr>
        <w:t>Kozer</w:t>
      </w:r>
      <w:proofErr w:type="spellEnd"/>
      <w:r w:rsidRPr="006F225A">
        <w:rPr>
          <w:rFonts w:eastAsia="Times New Roman"/>
          <w:noProof w:val="0"/>
          <w:sz w:val="18"/>
          <w:szCs w:val="18"/>
        </w:rPr>
        <w:t xml:space="preserve">, E. Characteristics of rotavirus gastroenteritis in hospitalized children in Israel. </w:t>
      </w:r>
      <w:r w:rsidRPr="006F225A">
        <w:rPr>
          <w:rFonts w:eastAsia="Times New Roman"/>
          <w:i/>
          <w:iCs/>
          <w:noProof w:val="0"/>
          <w:sz w:val="18"/>
          <w:szCs w:val="18"/>
        </w:rPr>
        <w:t>Isr. Med. Assoc. J. IMAJ</w:t>
      </w:r>
      <w:r w:rsidRPr="006F225A">
        <w:rPr>
          <w:rFonts w:eastAsia="Times New Roman"/>
          <w:noProof w:val="0"/>
          <w:sz w:val="18"/>
          <w:szCs w:val="18"/>
        </w:rPr>
        <w:t xml:space="preserve"> </w:t>
      </w:r>
      <w:r w:rsidRPr="006F225A">
        <w:rPr>
          <w:rFonts w:eastAsia="Times New Roman"/>
          <w:b/>
          <w:bCs/>
          <w:noProof w:val="0"/>
          <w:sz w:val="18"/>
          <w:szCs w:val="18"/>
        </w:rPr>
        <w:t>2011</w:t>
      </w:r>
      <w:r w:rsidRPr="006F225A">
        <w:rPr>
          <w:rFonts w:eastAsia="Times New Roman"/>
          <w:noProof w:val="0"/>
          <w:sz w:val="18"/>
          <w:szCs w:val="18"/>
        </w:rPr>
        <w:t xml:space="preserve">, </w:t>
      </w:r>
      <w:r w:rsidRPr="006F225A">
        <w:rPr>
          <w:rFonts w:eastAsia="Times New Roman"/>
          <w:i/>
          <w:iCs/>
          <w:noProof w:val="0"/>
          <w:sz w:val="18"/>
          <w:szCs w:val="18"/>
        </w:rPr>
        <w:t>13</w:t>
      </w:r>
      <w:r w:rsidRPr="006F225A">
        <w:rPr>
          <w:rFonts w:eastAsia="Times New Roman"/>
          <w:noProof w:val="0"/>
          <w:sz w:val="18"/>
          <w:szCs w:val="18"/>
        </w:rPr>
        <w:t>, 274–277.</w:t>
      </w:r>
    </w:p>
    <w:p w14:paraId="46DFEE4E" w14:textId="77777777" w:rsidR="00EA3A1B" w:rsidRPr="006F225A" w:rsidRDefault="00EA3A1B" w:rsidP="00EA3A1B">
      <w:pPr>
        <w:pStyle w:val="ListParagraph"/>
        <w:numPr>
          <w:ilvl w:val="0"/>
          <w:numId w:val="39"/>
        </w:numPr>
        <w:adjustRightInd w:val="0"/>
        <w:snapToGrid w:val="0"/>
        <w:spacing w:line="228" w:lineRule="auto"/>
        <w:ind w:left="425" w:hanging="425"/>
        <w:rPr>
          <w:rFonts w:eastAsia="Times New Roman"/>
          <w:noProof w:val="0"/>
          <w:sz w:val="18"/>
          <w:szCs w:val="18"/>
        </w:rPr>
      </w:pPr>
      <w:r w:rsidRPr="006F225A">
        <w:rPr>
          <w:rFonts w:eastAsia="Times New Roman"/>
          <w:noProof w:val="0"/>
          <w:sz w:val="18"/>
          <w:szCs w:val="18"/>
        </w:rPr>
        <w:t xml:space="preserve">Redondo-González, O.; </w:t>
      </w:r>
      <w:proofErr w:type="spellStart"/>
      <w:r w:rsidRPr="006F225A">
        <w:rPr>
          <w:rFonts w:eastAsia="Times New Roman"/>
          <w:noProof w:val="0"/>
          <w:sz w:val="18"/>
          <w:szCs w:val="18"/>
        </w:rPr>
        <w:t>Tenías-Burillo</w:t>
      </w:r>
      <w:proofErr w:type="spellEnd"/>
      <w:r w:rsidRPr="006F225A">
        <w:rPr>
          <w:rFonts w:eastAsia="Times New Roman"/>
          <w:noProof w:val="0"/>
          <w:sz w:val="18"/>
          <w:szCs w:val="18"/>
        </w:rPr>
        <w:t xml:space="preserve">, J.M. A multifactorial regression analysis of the features of community-acquired rotavirus requiring hospitalization in Spain as represented in the Minimum Basic Data Set. </w:t>
      </w:r>
      <w:r w:rsidRPr="006F225A">
        <w:rPr>
          <w:rFonts w:eastAsia="Times New Roman"/>
          <w:i/>
          <w:iCs/>
          <w:noProof w:val="0"/>
          <w:sz w:val="18"/>
          <w:szCs w:val="18"/>
        </w:rPr>
        <w:t>Epidemiol. Infect.</w:t>
      </w:r>
      <w:r w:rsidRPr="006F225A">
        <w:rPr>
          <w:rFonts w:eastAsia="Times New Roman"/>
          <w:noProof w:val="0"/>
          <w:sz w:val="18"/>
          <w:szCs w:val="18"/>
        </w:rPr>
        <w:t xml:space="preserve"> </w:t>
      </w:r>
      <w:r w:rsidRPr="006F225A">
        <w:rPr>
          <w:rFonts w:eastAsia="Times New Roman"/>
          <w:b/>
          <w:bCs/>
          <w:noProof w:val="0"/>
          <w:sz w:val="18"/>
          <w:szCs w:val="18"/>
        </w:rPr>
        <w:t>2016</w:t>
      </w:r>
      <w:r w:rsidRPr="006F225A">
        <w:rPr>
          <w:rFonts w:eastAsia="Times New Roman"/>
          <w:noProof w:val="0"/>
          <w:sz w:val="18"/>
          <w:szCs w:val="18"/>
        </w:rPr>
        <w:t xml:space="preserve">, </w:t>
      </w:r>
      <w:r w:rsidRPr="006F225A">
        <w:rPr>
          <w:rFonts w:eastAsia="Times New Roman"/>
          <w:i/>
          <w:iCs/>
          <w:noProof w:val="0"/>
          <w:sz w:val="18"/>
          <w:szCs w:val="18"/>
        </w:rPr>
        <w:t>144</w:t>
      </w:r>
      <w:r w:rsidRPr="006F225A">
        <w:rPr>
          <w:rFonts w:eastAsia="Times New Roman"/>
          <w:noProof w:val="0"/>
          <w:sz w:val="18"/>
          <w:szCs w:val="18"/>
        </w:rPr>
        <w:t>, 2509–2516. https://doi.org/10.1017/s0950268816000881.</w:t>
      </w:r>
    </w:p>
    <w:p w14:paraId="17C5FD68" w14:textId="77777777" w:rsidR="00EA3A1B" w:rsidRPr="006F225A" w:rsidRDefault="00EA3A1B" w:rsidP="00EA3A1B">
      <w:pPr>
        <w:pStyle w:val="ListParagraph"/>
        <w:numPr>
          <w:ilvl w:val="0"/>
          <w:numId w:val="39"/>
        </w:numPr>
        <w:adjustRightInd w:val="0"/>
        <w:snapToGrid w:val="0"/>
        <w:spacing w:line="228" w:lineRule="auto"/>
        <w:ind w:left="425" w:hanging="425"/>
        <w:rPr>
          <w:rFonts w:eastAsia="Times New Roman"/>
          <w:noProof w:val="0"/>
          <w:sz w:val="18"/>
          <w:szCs w:val="18"/>
        </w:rPr>
      </w:pPr>
      <w:proofErr w:type="spellStart"/>
      <w:r w:rsidRPr="006F225A">
        <w:rPr>
          <w:rFonts w:eastAsia="Times New Roman"/>
          <w:noProof w:val="0"/>
          <w:sz w:val="18"/>
          <w:szCs w:val="18"/>
        </w:rPr>
        <w:t>Waisbourd-Zinman</w:t>
      </w:r>
      <w:proofErr w:type="spellEnd"/>
      <w:r w:rsidRPr="006F225A">
        <w:rPr>
          <w:rFonts w:eastAsia="Times New Roman"/>
          <w:noProof w:val="0"/>
          <w:sz w:val="18"/>
          <w:szCs w:val="18"/>
        </w:rPr>
        <w:t>, O.; Ben-</w:t>
      </w:r>
      <w:proofErr w:type="spellStart"/>
      <w:r w:rsidRPr="006F225A">
        <w:rPr>
          <w:rFonts w:eastAsia="Times New Roman"/>
          <w:noProof w:val="0"/>
          <w:sz w:val="18"/>
          <w:szCs w:val="18"/>
        </w:rPr>
        <w:t>Ziony</w:t>
      </w:r>
      <w:proofErr w:type="spellEnd"/>
      <w:r w:rsidRPr="006F225A">
        <w:rPr>
          <w:rFonts w:eastAsia="Times New Roman"/>
          <w:noProof w:val="0"/>
          <w:sz w:val="18"/>
          <w:szCs w:val="18"/>
        </w:rPr>
        <w:t xml:space="preserve">, S.; </w:t>
      </w:r>
      <w:proofErr w:type="spellStart"/>
      <w:r w:rsidRPr="006F225A">
        <w:rPr>
          <w:rFonts w:eastAsia="Times New Roman"/>
          <w:noProof w:val="0"/>
          <w:sz w:val="18"/>
          <w:szCs w:val="18"/>
        </w:rPr>
        <w:t>Solter</w:t>
      </w:r>
      <w:proofErr w:type="spellEnd"/>
      <w:r w:rsidRPr="006F225A">
        <w:rPr>
          <w:rFonts w:eastAsia="Times New Roman"/>
          <w:noProof w:val="0"/>
          <w:sz w:val="18"/>
          <w:szCs w:val="18"/>
        </w:rPr>
        <w:t xml:space="preserve">, E.; </w:t>
      </w:r>
      <w:proofErr w:type="spellStart"/>
      <w:r w:rsidRPr="006F225A">
        <w:rPr>
          <w:rFonts w:eastAsia="Times New Roman"/>
          <w:noProof w:val="0"/>
          <w:sz w:val="18"/>
          <w:szCs w:val="18"/>
        </w:rPr>
        <w:t>Scherf</w:t>
      </w:r>
      <w:proofErr w:type="spellEnd"/>
      <w:r w:rsidRPr="006F225A">
        <w:rPr>
          <w:rFonts w:eastAsia="Times New Roman"/>
          <w:noProof w:val="0"/>
          <w:sz w:val="18"/>
          <w:szCs w:val="18"/>
        </w:rPr>
        <w:t xml:space="preserve">, E.; Samra, Z.; Ashkenazi, S. Hospitalizations for nosocomial rotavirus gastroenteritis in a tertiary pediatric center: A 4-year prospective study. </w:t>
      </w:r>
      <w:r w:rsidRPr="006F225A">
        <w:rPr>
          <w:rFonts w:eastAsia="Times New Roman"/>
          <w:i/>
          <w:iCs/>
          <w:noProof w:val="0"/>
          <w:sz w:val="18"/>
          <w:szCs w:val="18"/>
        </w:rPr>
        <w:t>Am. J. Infect. Control</w:t>
      </w:r>
      <w:r w:rsidRPr="006F225A">
        <w:rPr>
          <w:rFonts w:eastAsia="Times New Roman"/>
          <w:noProof w:val="0"/>
          <w:sz w:val="18"/>
          <w:szCs w:val="18"/>
        </w:rPr>
        <w:t xml:space="preserve"> </w:t>
      </w:r>
      <w:r w:rsidRPr="006F225A">
        <w:rPr>
          <w:rFonts w:eastAsia="Times New Roman"/>
          <w:b/>
          <w:bCs/>
          <w:noProof w:val="0"/>
          <w:sz w:val="18"/>
          <w:szCs w:val="18"/>
        </w:rPr>
        <w:t>2009</w:t>
      </w:r>
      <w:r w:rsidRPr="006F225A">
        <w:rPr>
          <w:rFonts w:eastAsia="Times New Roman"/>
          <w:noProof w:val="0"/>
          <w:sz w:val="18"/>
          <w:szCs w:val="18"/>
        </w:rPr>
        <w:t xml:space="preserve">, </w:t>
      </w:r>
      <w:r w:rsidRPr="006F225A">
        <w:rPr>
          <w:rFonts w:eastAsia="Times New Roman"/>
          <w:i/>
          <w:iCs/>
          <w:noProof w:val="0"/>
          <w:sz w:val="18"/>
          <w:szCs w:val="18"/>
        </w:rPr>
        <w:t>37</w:t>
      </w:r>
      <w:r w:rsidRPr="006F225A">
        <w:rPr>
          <w:rFonts w:eastAsia="Times New Roman"/>
          <w:noProof w:val="0"/>
          <w:sz w:val="18"/>
          <w:szCs w:val="18"/>
        </w:rPr>
        <w:t>, 465–469. https://doi.org/10.1016/j.ajic.2008.09.017.</w:t>
      </w:r>
    </w:p>
    <w:p w14:paraId="219734CF" w14:textId="77777777" w:rsidR="00EA3A1B" w:rsidRPr="006F225A" w:rsidRDefault="00EA3A1B" w:rsidP="00EA3A1B">
      <w:pPr>
        <w:pStyle w:val="ListParagraph"/>
        <w:numPr>
          <w:ilvl w:val="0"/>
          <w:numId w:val="39"/>
        </w:numPr>
        <w:adjustRightInd w:val="0"/>
        <w:snapToGrid w:val="0"/>
        <w:spacing w:line="228" w:lineRule="auto"/>
        <w:ind w:left="425" w:hanging="425"/>
        <w:rPr>
          <w:rFonts w:eastAsia="Times New Roman"/>
          <w:noProof w:val="0"/>
          <w:sz w:val="18"/>
          <w:szCs w:val="18"/>
        </w:rPr>
      </w:pPr>
      <w:proofErr w:type="spellStart"/>
      <w:r w:rsidRPr="006F225A">
        <w:rPr>
          <w:rFonts w:eastAsia="Times New Roman"/>
          <w:noProof w:val="0"/>
          <w:sz w:val="18"/>
          <w:szCs w:val="18"/>
        </w:rPr>
        <w:t>Wildi</w:t>
      </w:r>
      <w:proofErr w:type="spellEnd"/>
      <w:r w:rsidRPr="006F225A">
        <w:rPr>
          <w:rFonts w:eastAsia="Times New Roman"/>
          <w:noProof w:val="0"/>
          <w:sz w:val="18"/>
          <w:szCs w:val="18"/>
        </w:rPr>
        <w:t xml:space="preserve">-Runge, S.; </w:t>
      </w:r>
      <w:proofErr w:type="spellStart"/>
      <w:r w:rsidRPr="006F225A">
        <w:rPr>
          <w:rFonts w:eastAsia="Times New Roman"/>
          <w:noProof w:val="0"/>
          <w:sz w:val="18"/>
          <w:szCs w:val="18"/>
        </w:rPr>
        <w:t>Allemann</w:t>
      </w:r>
      <w:proofErr w:type="spellEnd"/>
      <w:r w:rsidRPr="006F225A">
        <w:rPr>
          <w:rFonts w:eastAsia="Times New Roman"/>
          <w:noProof w:val="0"/>
          <w:sz w:val="18"/>
          <w:szCs w:val="18"/>
        </w:rPr>
        <w:t xml:space="preserve">, S.; Schaad, U.B.; </w:t>
      </w:r>
      <w:proofErr w:type="spellStart"/>
      <w:r w:rsidRPr="006F225A">
        <w:rPr>
          <w:rFonts w:eastAsia="Times New Roman"/>
          <w:noProof w:val="0"/>
          <w:sz w:val="18"/>
          <w:szCs w:val="18"/>
        </w:rPr>
        <w:t>Heininger</w:t>
      </w:r>
      <w:proofErr w:type="spellEnd"/>
      <w:r w:rsidRPr="006F225A">
        <w:rPr>
          <w:rFonts w:eastAsia="Times New Roman"/>
          <w:noProof w:val="0"/>
          <w:sz w:val="18"/>
          <w:szCs w:val="18"/>
        </w:rPr>
        <w:t xml:space="preserve">, U. A 4-year study on clinical characteristics of children hospitalized with rotavirus gastroenteritis. </w:t>
      </w:r>
      <w:r w:rsidRPr="006F225A">
        <w:rPr>
          <w:rFonts w:eastAsia="Times New Roman"/>
          <w:i/>
          <w:iCs/>
          <w:noProof w:val="0"/>
          <w:sz w:val="18"/>
          <w:szCs w:val="18"/>
        </w:rPr>
        <w:t xml:space="preserve">Eur. J. </w:t>
      </w:r>
      <w:proofErr w:type="spellStart"/>
      <w:r w:rsidRPr="006F225A">
        <w:rPr>
          <w:rFonts w:eastAsia="Times New Roman"/>
          <w:i/>
          <w:iCs/>
          <w:noProof w:val="0"/>
          <w:sz w:val="18"/>
          <w:szCs w:val="18"/>
        </w:rPr>
        <w:t>Pediatr</w:t>
      </w:r>
      <w:proofErr w:type="spellEnd"/>
      <w:r w:rsidRPr="006F225A">
        <w:rPr>
          <w:rFonts w:eastAsia="Times New Roman"/>
          <w:i/>
          <w:iCs/>
          <w:noProof w:val="0"/>
          <w:sz w:val="18"/>
          <w:szCs w:val="18"/>
        </w:rPr>
        <w:t>.</w:t>
      </w:r>
      <w:r w:rsidRPr="006F225A">
        <w:rPr>
          <w:rFonts w:eastAsia="Times New Roman"/>
          <w:noProof w:val="0"/>
          <w:sz w:val="18"/>
          <w:szCs w:val="18"/>
        </w:rPr>
        <w:t xml:space="preserve"> </w:t>
      </w:r>
      <w:r w:rsidRPr="006F225A">
        <w:rPr>
          <w:rFonts w:eastAsia="Times New Roman"/>
          <w:b/>
          <w:bCs/>
          <w:noProof w:val="0"/>
          <w:sz w:val="18"/>
          <w:szCs w:val="18"/>
        </w:rPr>
        <w:t>2009</w:t>
      </w:r>
      <w:r w:rsidRPr="006F225A">
        <w:rPr>
          <w:rFonts w:eastAsia="Times New Roman"/>
          <w:noProof w:val="0"/>
          <w:sz w:val="18"/>
          <w:szCs w:val="18"/>
        </w:rPr>
        <w:t xml:space="preserve">, </w:t>
      </w:r>
      <w:r w:rsidRPr="006F225A">
        <w:rPr>
          <w:rFonts w:eastAsia="Times New Roman"/>
          <w:i/>
          <w:iCs/>
          <w:noProof w:val="0"/>
          <w:sz w:val="18"/>
          <w:szCs w:val="18"/>
        </w:rPr>
        <w:t>168</w:t>
      </w:r>
      <w:r w:rsidRPr="006F225A">
        <w:rPr>
          <w:rFonts w:eastAsia="Times New Roman"/>
          <w:noProof w:val="0"/>
          <w:sz w:val="18"/>
          <w:szCs w:val="18"/>
        </w:rPr>
        <w:t>, 1343–1348. https://doi.org/10.1007/s00431-009-0934-z.</w:t>
      </w:r>
    </w:p>
    <w:p w14:paraId="40D19B40" w14:textId="77777777" w:rsidR="00EA3A1B" w:rsidRPr="006F225A" w:rsidRDefault="00EA3A1B" w:rsidP="00EA3A1B">
      <w:pPr>
        <w:pStyle w:val="ListParagraph"/>
        <w:numPr>
          <w:ilvl w:val="0"/>
          <w:numId w:val="39"/>
        </w:numPr>
        <w:adjustRightInd w:val="0"/>
        <w:snapToGrid w:val="0"/>
        <w:spacing w:line="228" w:lineRule="auto"/>
        <w:ind w:left="425" w:hanging="425"/>
        <w:rPr>
          <w:rFonts w:eastAsia="Times New Roman"/>
          <w:noProof w:val="0"/>
          <w:sz w:val="18"/>
          <w:szCs w:val="18"/>
        </w:rPr>
      </w:pPr>
      <w:proofErr w:type="spellStart"/>
      <w:r w:rsidRPr="006F225A">
        <w:rPr>
          <w:rFonts w:eastAsia="Times New Roman"/>
          <w:noProof w:val="0"/>
          <w:sz w:val="18"/>
          <w:szCs w:val="18"/>
        </w:rPr>
        <w:t>Wathen</w:t>
      </w:r>
      <w:proofErr w:type="spellEnd"/>
      <w:r w:rsidRPr="006F225A">
        <w:rPr>
          <w:rFonts w:eastAsia="Times New Roman"/>
          <w:noProof w:val="0"/>
          <w:sz w:val="18"/>
          <w:szCs w:val="18"/>
        </w:rPr>
        <w:t xml:space="preserve">, J.E.; </w:t>
      </w:r>
      <w:proofErr w:type="spellStart"/>
      <w:r w:rsidRPr="006F225A">
        <w:rPr>
          <w:rFonts w:eastAsia="Times New Roman"/>
          <w:noProof w:val="0"/>
          <w:sz w:val="18"/>
          <w:szCs w:val="18"/>
        </w:rPr>
        <w:t>MacKenzie</w:t>
      </w:r>
      <w:proofErr w:type="spellEnd"/>
      <w:r w:rsidRPr="006F225A">
        <w:rPr>
          <w:rFonts w:eastAsia="Times New Roman"/>
          <w:noProof w:val="0"/>
          <w:sz w:val="18"/>
          <w:szCs w:val="18"/>
        </w:rPr>
        <w:t xml:space="preserve">, T.; Bothner, J.P. Usefulness of the Serum Electrolyte Panel in the Management of Pediatric Dehydration Treated </w:t>
      </w:r>
      <w:proofErr w:type="gramStart"/>
      <w:r w:rsidRPr="006F225A">
        <w:rPr>
          <w:rFonts w:eastAsia="Times New Roman"/>
          <w:noProof w:val="0"/>
          <w:sz w:val="18"/>
          <w:szCs w:val="18"/>
        </w:rPr>
        <w:t>With</w:t>
      </w:r>
      <w:proofErr w:type="gramEnd"/>
      <w:r w:rsidRPr="006F225A">
        <w:rPr>
          <w:rFonts w:eastAsia="Times New Roman"/>
          <w:noProof w:val="0"/>
          <w:sz w:val="18"/>
          <w:szCs w:val="18"/>
        </w:rPr>
        <w:t xml:space="preserve"> Intravenously Administered Fluids. </w:t>
      </w:r>
      <w:r w:rsidRPr="006F225A">
        <w:rPr>
          <w:rFonts w:eastAsia="Times New Roman"/>
          <w:i/>
          <w:iCs/>
          <w:noProof w:val="0"/>
          <w:sz w:val="18"/>
          <w:szCs w:val="18"/>
        </w:rPr>
        <w:t>Pediatrics</w:t>
      </w:r>
      <w:r w:rsidRPr="006F225A">
        <w:rPr>
          <w:rFonts w:eastAsia="Times New Roman"/>
          <w:noProof w:val="0"/>
          <w:sz w:val="18"/>
          <w:szCs w:val="18"/>
        </w:rPr>
        <w:t xml:space="preserve"> </w:t>
      </w:r>
      <w:r w:rsidRPr="006F225A">
        <w:rPr>
          <w:rFonts w:eastAsia="Times New Roman"/>
          <w:b/>
          <w:bCs/>
          <w:noProof w:val="0"/>
          <w:sz w:val="18"/>
          <w:szCs w:val="18"/>
        </w:rPr>
        <w:t>2004</w:t>
      </w:r>
      <w:r w:rsidRPr="006F225A">
        <w:rPr>
          <w:rFonts w:eastAsia="Times New Roman"/>
          <w:noProof w:val="0"/>
          <w:sz w:val="18"/>
          <w:szCs w:val="18"/>
        </w:rPr>
        <w:t xml:space="preserve">, </w:t>
      </w:r>
      <w:r w:rsidRPr="006F225A">
        <w:rPr>
          <w:rFonts w:eastAsia="Times New Roman"/>
          <w:i/>
          <w:iCs/>
          <w:noProof w:val="0"/>
          <w:sz w:val="18"/>
          <w:szCs w:val="18"/>
        </w:rPr>
        <w:t>114</w:t>
      </w:r>
      <w:r w:rsidRPr="006F225A">
        <w:rPr>
          <w:rFonts w:eastAsia="Times New Roman"/>
          <w:noProof w:val="0"/>
          <w:sz w:val="18"/>
          <w:szCs w:val="18"/>
        </w:rPr>
        <w:t>, 1227–1234. https://doi.org/10.1542/peds.2004-0457.</w:t>
      </w:r>
    </w:p>
    <w:p w14:paraId="443DCCFA" w14:textId="77777777" w:rsidR="00EA3A1B" w:rsidRPr="006F225A" w:rsidRDefault="00EA3A1B" w:rsidP="00EA3A1B">
      <w:pPr>
        <w:pStyle w:val="ListParagraph"/>
        <w:numPr>
          <w:ilvl w:val="0"/>
          <w:numId w:val="39"/>
        </w:numPr>
        <w:adjustRightInd w:val="0"/>
        <w:snapToGrid w:val="0"/>
        <w:spacing w:line="228" w:lineRule="auto"/>
        <w:ind w:left="425" w:hanging="425"/>
        <w:rPr>
          <w:rFonts w:eastAsia="Times New Roman"/>
          <w:noProof w:val="0"/>
          <w:sz w:val="18"/>
          <w:szCs w:val="18"/>
        </w:rPr>
      </w:pPr>
      <w:r w:rsidRPr="006F225A">
        <w:rPr>
          <w:rFonts w:eastAsia="Times New Roman"/>
          <w:noProof w:val="0"/>
          <w:sz w:val="18"/>
          <w:szCs w:val="18"/>
        </w:rPr>
        <w:t xml:space="preserve">Ben-Shalom, E.; </w:t>
      </w:r>
      <w:proofErr w:type="spellStart"/>
      <w:r w:rsidRPr="006F225A">
        <w:rPr>
          <w:rFonts w:eastAsia="Times New Roman"/>
          <w:noProof w:val="0"/>
          <w:sz w:val="18"/>
          <w:szCs w:val="18"/>
        </w:rPr>
        <w:t>Toker</w:t>
      </w:r>
      <w:proofErr w:type="spellEnd"/>
      <w:r w:rsidRPr="006F225A">
        <w:rPr>
          <w:rFonts w:eastAsia="Times New Roman"/>
          <w:noProof w:val="0"/>
          <w:sz w:val="18"/>
          <w:szCs w:val="18"/>
        </w:rPr>
        <w:t xml:space="preserve">, O. and Schwartz, S. </w:t>
      </w:r>
      <w:proofErr w:type="spellStart"/>
      <w:r w:rsidRPr="006F225A">
        <w:rPr>
          <w:rFonts w:eastAsia="Times New Roman"/>
          <w:noProof w:val="0"/>
          <w:sz w:val="18"/>
          <w:szCs w:val="18"/>
        </w:rPr>
        <w:t>Hypernatremic</w:t>
      </w:r>
      <w:proofErr w:type="spellEnd"/>
      <w:r w:rsidRPr="006F225A">
        <w:rPr>
          <w:rFonts w:eastAsia="Times New Roman"/>
          <w:noProof w:val="0"/>
          <w:sz w:val="18"/>
          <w:szCs w:val="18"/>
        </w:rPr>
        <w:t xml:space="preserve"> Dehydration in Young Children: Is There a Solution? </w:t>
      </w:r>
      <w:r w:rsidRPr="006F225A">
        <w:rPr>
          <w:rFonts w:eastAsia="Times New Roman"/>
          <w:i/>
          <w:noProof w:val="0"/>
          <w:sz w:val="18"/>
          <w:szCs w:val="18"/>
        </w:rPr>
        <w:t>Isr. Med. Assoc. J. IMAJ</w:t>
      </w:r>
      <w:r w:rsidRPr="006F225A">
        <w:rPr>
          <w:rFonts w:eastAsia="Times New Roman"/>
          <w:noProof w:val="0"/>
          <w:sz w:val="18"/>
          <w:szCs w:val="18"/>
        </w:rPr>
        <w:t xml:space="preserve"> </w:t>
      </w:r>
      <w:r w:rsidRPr="006F225A">
        <w:rPr>
          <w:rFonts w:eastAsia="Times New Roman"/>
          <w:b/>
          <w:bCs/>
          <w:noProof w:val="0"/>
          <w:sz w:val="18"/>
          <w:szCs w:val="18"/>
        </w:rPr>
        <w:t>2016</w:t>
      </w:r>
      <w:r w:rsidRPr="006F225A">
        <w:rPr>
          <w:rFonts w:eastAsia="Times New Roman"/>
          <w:noProof w:val="0"/>
          <w:sz w:val="18"/>
          <w:szCs w:val="18"/>
        </w:rPr>
        <w:t xml:space="preserve">, </w:t>
      </w:r>
      <w:r w:rsidRPr="006F225A">
        <w:rPr>
          <w:rFonts w:eastAsia="Times New Roman"/>
          <w:i/>
          <w:iCs/>
          <w:noProof w:val="0"/>
          <w:sz w:val="18"/>
          <w:szCs w:val="18"/>
        </w:rPr>
        <w:t>18</w:t>
      </w:r>
      <w:r w:rsidRPr="006F225A">
        <w:rPr>
          <w:rFonts w:eastAsia="Times New Roman"/>
          <w:noProof w:val="0"/>
          <w:sz w:val="18"/>
          <w:szCs w:val="18"/>
        </w:rPr>
        <w:t>, 95–99.</w:t>
      </w:r>
    </w:p>
    <w:p w14:paraId="11ED6DC9" w14:textId="77777777" w:rsidR="00EA3A1B" w:rsidRPr="006F225A" w:rsidRDefault="00EA3A1B" w:rsidP="00EA3A1B">
      <w:pPr>
        <w:pStyle w:val="ListParagraph"/>
        <w:numPr>
          <w:ilvl w:val="0"/>
          <w:numId w:val="39"/>
        </w:numPr>
        <w:adjustRightInd w:val="0"/>
        <w:snapToGrid w:val="0"/>
        <w:spacing w:line="228" w:lineRule="auto"/>
        <w:ind w:left="425" w:hanging="425"/>
        <w:rPr>
          <w:rFonts w:eastAsia="Times New Roman"/>
          <w:noProof w:val="0"/>
          <w:sz w:val="18"/>
          <w:szCs w:val="18"/>
        </w:rPr>
      </w:pPr>
      <w:r w:rsidRPr="006F225A">
        <w:rPr>
          <w:rFonts w:eastAsia="Times New Roman"/>
          <w:noProof w:val="0"/>
          <w:sz w:val="18"/>
          <w:szCs w:val="18"/>
        </w:rPr>
        <w:t xml:space="preserve">Janet, S.; Molina, J.C.; </w:t>
      </w:r>
      <w:proofErr w:type="spellStart"/>
      <w:r w:rsidRPr="006F225A">
        <w:rPr>
          <w:rFonts w:eastAsia="Times New Roman"/>
          <w:noProof w:val="0"/>
          <w:sz w:val="18"/>
          <w:szCs w:val="18"/>
        </w:rPr>
        <w:t>Marañon</w:t>
      </w:r>
      <w:proofErr w:type="spellEnd"/>
      <w:r w:rsidRPr="006F225A">
        <w:rPr>
          <w:rFonts w:eastAsia="Times New Roman"/>
          <w:noProof w:val="0"/>
          <w:sz w:val="18"/>
          <w:szCs w:val="18"/>
        </w:rPr>
        <w:t xml:space="preserve">, R.; García-Ros, M. Effects of Rapid Intravenous Rehydration in Children </w:t>
      </w:r>
      <w:proofErr w:type="gramStart"/>
      <w:r w:rsidRPr="006F225A">
        <w:rPr>
          <w:rFonts w:eastAsia="Times New Roman"/>
          <w:noProof w:val="0"/>
          <w:sz w:val="18"/>
          <w:szCs w:val="18"/>
        </w:rPr>
        <w:t>With</w:t>
      </w:r>
      <w:proofErr w:type="gramEnd"/>
      <w:r w:rsidRPr="006F225A">
        <w:rPr>
          <w:rFonts w:eastAsia="Times New Roman"/>
          <w:noProof w:val="0"/>
          <w:sz w:val="18"/>
          <w:szCs w:val="18"/>
        </w:rPr>
        <w:t xml:space="preserve"> Mild-to-Moderate Dehydration. </w:t>
      </w:r>
      <w:proofErr w:type="spellStart"/>
      <w:r w:rsidRPr="006F225A">
        <w:rPr>
          <w:rFonts w:eastAsia="Times New Roman"/>
          <w:i/>
          <w:iCs/>
          <w:noProof w:val="0"/>
          <w:sz w:val="18"/>
          <w:szCs w:val="18"/>
        </w:rPr>
        <w:t>Pediatr</w:t>
      </w:r>
      <w:proofErr w:type="spellEnd"/>
      <w:r w:rsidRPr="006F225A">
        <w:rPr>
          <w:rFonts w:eastAsia="Times New Roman"/>
          <w:i/>
          <w:iCs/>
          <w:noProof w:val="0"/>
          <w:sz w:val="18"/>
          <w:szCs w:val="18"/>
        </w:rPr>
        <w:t xml:space="preserve">. </w:t>
      </w:r>
      <w:proofErr w:type="spellStart"/>
      <w:r w:rsidRPr="006F225A">
        <w:rPr>
          <w:rFonts w:eastAsia="Times New Roman"/>
          <w:i/>
          <w:iCs/>
          <w:noProof w:val="0"/>
          <w:sz w:val="18"/>
          <w:szCs w:val="18"/>
        </w:rPr>
        <w:t>Emerg</w:t>
      </w:r>
      <w:proofErr w:type="spellEnd"/>
      <w:r w:rsidRPr="006F225A">
        <w:rPr>
          <w:rFonts w:eastAsia="Times New Roman"/>
          <w:i/>
          <w:iCs/>
          <w:noProof w:val="0"/>
          <w:sz w:val="18"/>
          <w:szCs w:val="18"/>
        </w:rPr>
        <w:t>. Care</w:t>
      </w:r>
      <w:r w:rsidRPr="006F225A">
        <w:rPr>
          <w:rFonts w:eastAsia="Times New Roman"/>
          <w:noProof w:val="0"/>
          <w:sz w:val="18"/>
          <w:szCs w:val="18"/>
        </w:rPr>
        <w:t xml:space="preserve"> </w:t>
      </w:r>
      <w:r w:rsidRPr="006F225A">
        <w:rPr>
          <w:rFonts w:eastAsia="Times New Roman"/>
          <w:b/>
          <w:bCs/>
          <w:noProof w:val="0"/>
          <w:sz w:val="18"/>
          <w:szCs w:val="18"/>
        </w:rPr>
        <w:t>2015</w:t>
      </w:r>
      <w:r w:rsidRPr="006F225A">
        <w:rPr>
          <w:rFonts w:eastAsia="Times New Roman"/>
          <w:noProof w:val="0"/>
          <w:sz w:val="18"/>
          <w:szCs w:val="18"/>
        </w:rPr>
        <w:t xml:space="preserve">, </w:t>
      </w:r>
      <w:r w:rsidRPr="006F225A">
        <w:rPr>
          <w:rFonts w:eastAsia="Times New Roman"/>
          <w:i/>
          <w:iCs/>
          <w:noProof w:val="0"/>
          <w:sz w:val="18"/>
          <w:szCs w:val="18"/>
        </w:rPr>
        <w:t>31</w:t>
      </w:r>
      <w:r w:rsidRPr="006F225A">
        <w:rPr>
          <w:rFonts w:eastAsia="Times New Roman"/>
          <w:noProof w:val="0"/>
          <w:sz w:val="18"/>
          <w:szCs w:val="18"/>
        </w:rPr>
        <w:t>, 564–567. https://doi.org/10.1097/pec.0000000000000386.</w:t>
      </w:r>
    </w:p>
    <w:p w14:paraId="5C997F20" w14:textId="77777777" w:rsidR="00EA3A1B" w:rsidRPr="006F225A" w:rsidRDefault="00EA3A1B" w:rsidP="00EA3A1B">
      <w:pPr>
        <w:pStyle w:val="ListParagraph"/>
        <w:numPr>
          <w:ilvl w:val="0"/>
          <w:numId w:val="39"/>
        </w:numPr>
        <w:adjustRightInd w:val="0"/>
        <w:snapToGrid w:val="0"/>
        <w:spacing w:line="228" w:lineRule="auto"/>
        <w:ind w:left="425" w:hanging="425"/>
        <w:rPr>
          <w:rFonts w:eastAsia="Times New Roman"/>
          <w:noProof w:val="0"/>
          <w:sz w:val="18"/>
          <w:szCs w:val="18"/>
        </w:rPr>
      </w:pPr>
      <w:r w:rsidRPr="006F225A">
        <w:rPr>
          <w:rFonts w:eastAsia="Times New Roman"/>
          <w:noProof w:val="0"/>
          <w:sz w:val="18"/>
          <w:szCs w:val="18"/>
        </w:rPr>
        <w:t xml:space="preserve">Kao, W.-T.; Tseng, Y.-H.; Jong, Y.-J.; Chen, T.-H. Emergency room visits and admission rates of children with neuromuscular disorders: A 10-year experience in a medical center in Taiwan. </w:t>
      </w:r>
      <w:proofErr w:type="spellStart"/>
      <w:r w:rsidRPr="006F225A">
        <w:rPr>
          <w:rFonts w:eastAsia="Times New Roman"/>
          <w:i/>
          <w:iCs/>
          <w:noProof w:val="0"/>
          <w:sz w:val="18"/>
          <w:szCs w:val="18"/>
        </w:rPr>
        <w:t>Pediatr</w:t>
      </w:r>
      <w:proofErr w:type="spellEnd"/>
      <w:r w:rsidRPr="006F225A">
        <w:rPr>
          <w:rFonts w:eastAsia="Times New Roman"/>
          <w:i/>
          <w:iCs/>
          <w:noProof w:val="0"/>
          <w:sz w:val="18"/>
          <w:szCs w:val="18"/>
        </w:rPr>
        <w:t xml:space="preserve">. </w:t>
      </w:r>
      <w:proofErr w:type="spellStart"/>
      <w:r w:rsidRPr="006F225A">
        <w:rPr>
          <w:rFonts w:eastAsia="Times New Roman"/>
          <w:i/>
          <w:iCs/>
          <w:noProof w:val="0"/>
          <w:sz w:val="18"/>
          <w:szCs w:val="18"/>
        </w:rPr>
        <w:t>Neonatol</w:t>
      </w:r>
      <w:proofErr w:type="spellEnd"/>
      <w:r w:rsidRPr="006F225A">
        <w:rPr>
          <w:rFonts w:eastAsia="Times New Roman"/>
          <w:i/>
          <w:iCs/>
          <w:noProof w:val="0"/>
          <w:sz w:val="18"/>
          <w:szCs w:val="18"/>
        </w:rPr>
        <w:t>.</w:t>
      </w:r>
      <w:r w:rsidRPr="006F225A">
        <w:rPr>
          <w:rFonts w:eastAsia="Times New Roman"/>
          <w:noProof w:val="0"/>
          <w:sz w:val="18"/>
          <w:szCs w:val="18"/>
        </w:rPr>
        <w:t xml:space="preserve"> </w:t>
      </w:r>
      <w:r w:rsidRPr="006F225A">
        <w:rPr>
          <w:rFonts w:eastAsia="Times New Roman"/>
          <w:b/>
          <w:bCs/>
          <w:noProof w:val="0"/>
          <w:sz w:val="18"/>
          <w:szCs w:val="18"/>
        </w:rPr>
        <w:t>2019</w:t>
      </w:r>
      <w:r w:rsidRPr="006F225A">
        <w:rPr>
          <w:rFonts w:eastAsia="Times New Roman"/>
          <w:noProof w:val="0"/>
          <w:sz w:val="18"/>
          <w:szCs w:val="18"/>
        </w:rPr>
        <w:t xml:space="preserve">, </w:t>
      </w:r>
      <w:r w:rsidRPr="006F225A">
        <w:rPr>
          <w:rFonts w:eastAsia="Times New Roman"/>
          <w:i/>
          <w:iCs/>
          <w:noProof w:val="0"/>
          <w:sz w:val="18"/>
          <w:szCs w:val="18"/>
        </w:rPr>
        <w:t>60</w:t>
      </w:r>
      <w:r w:rsidRPr="006F225A">
        <w:rPr>
          <w:rFonts w:eastAsia="Times New Roman"/>
          <w:noProof w:val="0"/>
          <w:sz w:val="18"/>
          <w:szCs w:val="18"/>
        </w:rPr>
        <w:t>, 405–410. https://doi.org/10.1016/j.pedneo.2018.09.008.</w:t>
      </w:r>
    </w:p>
    <w:p w14:paraId="07AED6EE" w14:textId="77777777" w:rsidR="00EA3A1B" w:rsidRPr="006F225A" w:rsidRDefault="00EA3A1B" w:rsidP="00EA3A1B">
      <w:pPr>
        <w:pStyle w:val="ListParagraph"/>
        <w:numPr>
          <w:ilvl w:val="0"/>
          <w:numId w:val="39"/>
        </w:numPr>
        <w:adjustRightInd w:val="0"/>
        <w:snapToGrid w:val="0"/>
        <w:spacing w:line="228" w:lineRule="auto"/>
        <w:ind w:left="425" w:hanging="425"/>
        <w:rPr>
          <w:rFonts w:eastAsia="Times New Roman"/>
          <w:noProof w:val="0"/>
          <w:sz w:val="18"/>
          <w:szCs w:val="18"/>
        </w:rPr>
      </w:pPr>
      <w:proofErr w:type="spellStart"/>
      <w:r w:rsidRPr="006F225A">
        <w:rPr>
          <w:rFonts w:eastAsia="Times New Roman"/>
          <w:noProof w:val="0"/>
          <w:sz w:val="18"/>
          <w:szCs w:val="18"/>
        </w:rPr>
        <w:t>Fikrie</w:t>
      </w:r>
      <w:proofErr w:type="spellEnd"/>
      <w:r w:rsidRPr="006F225A">
        <w:rPr>
          <w:rFonts w:eastAsia="Times New Roman"/>
          <w:noProof w:val="0"/>
          <w:sz w:val="18"/>
          <w:szCs w:val="18"/>
        </w:rPr>
        <w:t xml:space="preserve">, A.; Alemayehu, A.; Gebremedhin, S. Treatment outcomes and factors affecting time-to-recovery from severe acute malnutrition in 6–59 months old children admitted to a stabilization center in Southern Ethiopia: A retrospective cohort study. </w:t>
      </w:r>
      <w:r w:rsidRPr="006F225A">
        <w:rPr>
          <w:rFonts w:eastAsia="Times New Roman"/>
          <w:i/>
          <w:iCs/>
          <w:noProof w:val="0"/>
          <w:sz w:val="18"/>
          <w:szCs w:val="18"/>
        </w:rPr>
        <w:t xml:space="preserve">Ital. J. </w:t>
      </w:r>
      <w:proofErr w:type="spellStart"/>
      <w:r w:rsidRPr="006F225A">
        <w:rPr>
          <w:rFonts w:eastAsia="Times New Roman"/>
          <w:i/>
          <w:iCs/>
          <w:noProof w:val="0"/>
          <w:sz w:val="18"/>
          <w:szCs w:val="18"/>
        </w:rPr>
        <w:t>Pediatr</w:t>
      </w:r>
      <w:proofErr w:type="spellEnd"/>
      <w:r w:rsidRPr="006F225A">
        <w:rPr>
          <w:rFonts w:eastAsia="Times New Roman"/>
          <w:i/>
          <w:iCs/>
          <w:noProof w:val="0"/>
          <w:sz w:val="18"/>
          <w:szCs w:val="18"/>
        </w:rPr>
        <w:t>.</w:t>
      </w:r>
      <w:r w:rsidRPr="006F225A">
        <w:rPr>
          <w:rFonts w:eastAsia="Times New Roman"/>
          <w:noProof w:val="0"/>
          <w:sz w:val="18"/>
          <w:szCs w:val="18"/>
        </w:rPr>
        <w:t xml:space="preserve"> </w:t>
      </w:r>
      <w:r w:rsidRPr="006F225A">
        <w:rPr>
          <w:rFonts w:eastAsia="Times New Roman"/>
          <w:b/>
          <w:bCs/>
          <w:noProof w:val="0"/>
          <w:sz w:val="18"/>
          <w:szCs w:val="18"/>
        </w:rPr>
        <w:t>2019</w:t>
      </w:r>
      <w:r w:rsidRPr="006F225A">
        <w:rPr>
          <w:rFonts w:eastAsia="Times New Roman"/>
          <w:noProof w:val="0"/>
          <w:sz w:val="18"/>
          <w:szCs w:val="18"/>
        </w:rPr>
        <w:t xml:space="preserve">, </w:t>
      </w:r>
      <w:r w:rsidRPr="006F225A">
        <w:rPr>
          <w:rFonts w:eastAsia="Times New Roman"/>
          <w:i/>
          <w:iCs/>
          <w:noProof w:val="0"/>
          <w:sz w:val="18"/>
          <w:szCs w:val="18"/>
        </w:rPr>
        <w:t>45</w:t>
      </w:r>
      <w:r w:rsidRPr="006F225A">
        <w:rPr>
          <w:rFonts w:eastAsia="Times New Roman"/>
          <w:noProof w:val="0"/>
          <w:sz w:val="18"/>
          <w:szCs w:val="18"/>
        </w:rPr>
        <w:t>, 46. https://doi.org/10.1186/s13052-019-0642-x.</w:t>
      </w:r>
    </w:p>
    <w:p w14:paraId="597815F1" w14:textId="77777777" w:rsidR="00EA3A1B" w:rsidRPr="006F225A" w:rsidRDefault="00EA3A1B" w:rsidP="00EA3A1B">
      <w:pPr>
        <w:pStyle w:val="ListParagraph"/>
        <w:numPr>
          <w:ilvl w:val="0"/>
          <w:numId w:val="39"/>
        </w:numPr>
        <w:adjustRightInd w:val="0"/>
        <w:snapToGrid w:val="0"/>
        <w:spacing w:line="228" w:lineRule="auto"/>
        <w:ind w:left="425" w:hanging="425"/>
        <w:rPr>
          <w:rFonts w:eastAsia="Times New Roman"/>
          <w:noProof w:val="0"/>
          <w:sz w:val="18"/>
          <w:szCs w:val="18"/>
        </w:rPr>
      </w:pPr>
      <w:proofErr w:type="gramStart"/>
      <w:r w:rsidRPr="006F225A">
        <w:rPr>
          <w:rFonts w:eastAsia="Times New Roman"/>
          <w:noProof w:val="0"/>
          <w:sz w:val="18"/>
          <w:szCs w:val="18"/>
        </w:rPr>
        <w:t>Lopez-Medina</w:t>
      </w:r>
      <w:proofErr w:type="gramEnd"/>
      <w:r w:rsidRPr="006F225A">
        <w:rPr>
          <w:rFonts w:eastAsia="Times New Roman"/>
          <w:noProof w:val="0"/>
          <w:sz w:val="18"/>
          <w:szCs w:val="18"/>
        </w:rPr>
        <w:t xml:space="preserve">, E.; </w:t>
      </w:r>
      <w:proofErr w:type="spellStart"/>
      <w:r w:rsidRPr="006F225A">
        <w:rPr>
          <w:rFonts w:eastAsia="Times New Roman"/>
          <w:noProof w:val="0"/>
          <w:sz w:val="18"/>
          <w:szCs w:val="18"/>
        </w:rPr>
        <w:t>Ardura</w:t>
      </w:r>
      <w:proofErr w:type="spellEnd"/>
      <w:r w:rsidRPr="006F225A">
        <w:rPr>
          <w:rFonts w:eastAsia="Times New Roman"/>
          <w:noProof w:val="0"/>
          <w:sz w:val="18"/>
          <w:szCs w:val="18"/>
        </w:rPr>
        <w:t xml:space="preserve">, M.I.; Siegel, J.D.; Brock, E.; Sánchez, P.J. 2009 Influenza A in Infants Hospitalized at Younger than 6 Months. </w:t>
      </w:r>
      <w:r w:rsidRPr="006F225A">
        <w:rPr>
          <w:rFonts w:eastAsia="Times New Roman"/>
          <w:i/>
          <w:iCs/>
          <w:noProof w:val="0"/>
          <w:sz w:val="18"/>
          <w:szCs w:val="18"/>
        </w:rPr>
        <w:t xml:space="preserve">J. </w:t>
      </w:r>
      <w:proofErr w:type="spellStart"/>
      <w:r w:rsidRPr="006F225A">
        <w:rPr>
          <w:rFonts w:eastAsia="Times New Roman"/>
          <w:i/>
          <w:iCs/>
          <w:noProof w:val="0"/>
          <w:sz w:val="18"/>
          <w:szCs w:val="18"/>
        </w:rPr>
        <w:t>Pediatr</w:t>
      </w:r>
      <w:proofErr w:type="spellEnd"/>
      <w:r w:rsidRPr="006F225A">
        <w:rPr>
          <w:rFonts w:eastAsia="Times New Roman"/>
          <w:i/>
          <w:iCs/>
          <w:noProof w:val="0"/>
          <w:sz w:val="18"/>
          <w:szCs w:val="18"/>
        </w:rPr>
        <w:t>.</w:t>
      </w:r>
      <w:r w:rsidRPr="006F225A">
        <w:rPr>
          <w:rFonts w:eastAsia="Times New Roman"/>
          <w:noProof w:val="0"/>
          <w:sz w:val="18"/>
          <w:szCs w:val="18"/>
        </w:rPr>
        <w:t xml:space="preserve"> </w:t>
      </w:r>
      <w:r w:rsidRPr="006F225A">
        <w:rPr>
          <w:rFonts w:eastAsia="Times New Roman"/>
          <w:b/>
          <w:bCs/>
          <w:noProof w:val="0"/>
          <w:sz w:val="18"/>
          <w:szCs w:val="18"/>
        </w:rPr>
        <w:t>2012</w:t>
      </w:r>
      <w:r w:rsidRPr="006F225A">
        <w:rPr>
          <w:rFonts w:eastAsia="Times New Roman"/>
          <w:noProof w:val="0"/>
          <w:sz w:val="18"/>
          <w:szCs w:val="18"/>
        </w:rPr>
        <w:t xml:space="preserve">, </w:t>
      </w:r>
      <w:r w:rsidRPr="006F225A">
        <w:rPr>
          <w:rFonts w:eastAsia="Times New Roman"/>
          <w:i/>
          <w:iCs/>
          <w:noProof w:val="0"/>
          <w:sz w:val="18"/>
          <w:szCs w:val="18"/>
        </w:rPr>
        <w:t>160</w:t>
      </w:r>
      <w:r w:rsidRPr="006F225A">
        <w:rPr>
          <w:rFonts w:eastAsia="Times New Roman"/>
          <w:noProof w:val="0"/>
          <w:sz w:val="18"/>
          <w:szCs w:val="18"/>
        </w:rPr>
        <w:t>, 626–631.e1. https://doi.org/10.1016/j.jpeds.2011.09.060.</w:t>
      </w:r>
    </w:p>
    <w:p w14:paraId="6EEEA234" w14:textId="77777777" w:rsidR="00EA3A1B" w:rsidRPr="006F225A" w:rsidRDefault="00EA3A1B" w:rsidP="00EA3A1B">
      <w:pPr>
        <w:pStyle w:val="ListParagraph"/>
        <w:numPr>
          <w:ilvl w:val="0"/>
          <w:numId w:val="39"/>
        </w:numPr>
        <w:adjustRightInd w:val="0"/>
        <w:snapToGrid w:val="0"/>
        <w:spacing w:line="228" w:lineRule="auto"/>
        <w:ind w:left="425" w:hanging="425"/>
        <w:rPr>
          <w:rFonts w:eastAsia="Times New Roman"/>
          <w:noProof w:val="0"/>
          <w:sz w:val="18"/>
          <w:szCs w:val="18"/>
        </w:rPr>
      </w:pPr>
      <w:r w:rsidRPr="006F225A">
        <w:rPr>
          <w:rFonts w:eastAsia="Times New Roman"/>
          <w:noProof w:val="0"/>
          <w:sz w:val="18"/>
          <w:szCs w:val="18"/>
        </w:rPr>
        <w:t xml:space="preserve">Oakley, E.; Bata, S.; </w:t>
      </w:r>
      <w:proofErr w:type="spellStart"/>
      <w:r w:rsidRPr="006F225A">
        <w:rPr>
          <w:rFonts w:eastAsia="Times New Roman"/>
          <w:noProof w:val="0"/>
          <w:sz w:val="18"/>
          <w:szCs w:val="18"/>
        </w:rPr>
        <w:t>Rengasamy</w:t>
      </w:r>
      <w:proofErr w:type="spellEnd"/>
      <w:r w:rsidRPr="006F225A">
        <w:rPr>
          <w:rFonts w:eastAsia="Times New Roman"/>
          <w:noProof w:val="0"/>
          <w:sz w:val="18"/>
          <w:szCs w:val="18"/>
        </w:rPr>
        <w:t xml:space="preserve">, S.; </w:t>
      </w:r>
      <w:proofErr w:type="spellStart"/>
      <w:r w:rsidRPr="006F225A">
        <w:rPr>
          <w:rFonts w:eastAsia="Times New Roman"/>
          <w:noProof w:val="0"/>
          <w:sz w:val="18"/>
          <w:szCs w:val="18"/>
        </w:rPr>
        <w:t>Krieser</w:t>
      </w:r>
      <w:proofErr w:type="spellEnd"/>
      <w:r w:rsidRPr="006F225A">
        <w:rPr>
          <w:rFonts w:eastAsia="Times New Roman"/>
          <w:noProof w:val="0"/>
          <w:sz w:val="18"/>
          <w:szCs w:val="18"/>
        </w:rPr>
        <w:t xml:space="preserve">, D.; Cheek, J.; </w:t>
      </w:r>
      <w:proofErr w:type="spellStart"/>
      <w:r w:rsidRPr="006F225A">
        <w:rPr>
          <w:rFonts w:eastAsia="Times New Roman"/>
          <w:noProof w:val="0"/>
          <w:sz w:val="18"/>
          <w:szCs w:val="18"/>
        </w:rPr>
        <w:t>Jachno</w:t>
      </w:r>
      <w:proofErr w:type="spellEnd"/>
      <w:r w:rsidRPr="006F225A">
        <w:rPr>
          <w:rFonts w:eastAsia="Times New Roman"/>
          <w:noProof w:val="0"/>
          <w:sz w:val="18"/>
          <w:szCs w:val="18"/>
        </w:rPr>
        <w:t xml:space="preserve">, K.; </w:t>
      </w:r>
      <w:proofErr w:type="spellStart"/>
      <w:r w:rsidRPr="006F225A">
        <w:rPr>
          <w:rFonts w:eastAsia="Times New Roman"/>
          <w:noProof w:val="0"/>
          <w:sz w:val="18"/>
          <w:szCs w:val="18"/>
        </w:rPr>
        <w:t>Babl</w:t>
      </w:r>
      <w:proofErr w:type="spellEnd"/>
      <w:r w:rsidRPr="006F225A">
        <w:rPr>
          <w:rFonts w:eastAsia="Times New Roman"/>
          <w:noProof w:val="0"/>
          <w:sz w:val="18"/>
          <w:szCs w:val="18"/>
        </w:rPr>
        <w:t xml:space="preserve">, F.E. Nasogastric Hydration in Infants with Bronchiolitis Less Than 2 Months of Age. </w:t>
      </w:r>
      <w:r w:rsidRPr="006F225A">
        <w:rPr>
          <w:rFonts w:eastAsia="Times New Roman"/>
          <w:i/>
          <w:iCs/>
          <w:noProof w:val="0"/>
          <w:sz w:val="18"/>
          <w:szCs w:val="18"/>
        </w:rPr>
        <w:t xml:space="preserve">J. </w:t>
      </w:r>
      <w:proofErr w:type="spellStart"/>
      <w:r w:rsidRPr="006F225A">
        <w:rPr>
          <w:rFonts w:eastAsia="Times New Roman"/>
          <w:i/>
          <w:iCs/>
          <w:noProof w:val="0"/>
          <w:sz w:val="18"/>
          <w:szCs w:val="18"/>
        </w:rPr>
        <w:t>Pediatr</w:t>
      </w:r>
      <w:proofErr w:type="spellEnd"/>
      <w:r w:rsidRPr="006F225A">
        <w:rPr>
          <w:rFonts w:eastAsia="Times New Roman"/>
          <w:i/>
          <w:iCs/>
          <w:noProof w:val="0"/>
          <w:sz w:val="18"/>
          <w:szCs w:val="18"/>
        </w:rPr>
        <w:t>.</w:t>
      </w:r>
      <w:r w:rsidRPr="006F225A">
        <w:rPr>
          <w:rFonts w:eastAsia="Times New Roman"/>
          <w:noProof w:val="0"/>
          <w:sz w:val="18"/>
          <w:szCs w:val="18"/>
        </w:rPr>
        <w:t xml:space="preserve"> </w:t>
      </w:r>
      <w:r w:rsidRPr="006F225A">
        <w:rPr>
          <w:rFonts w:eastAsia="Times New Roman"/>
          <w:b/>
          <w:bCs/>
          <w:noProof w:val="0"/>
          <w:sz w:val="18"/>
          <w:szCs w:val="18"/>
        </w:rPr>
        <w:t>2016</w:t>
      </w:r>
      <w:r w:rsidRPr="006F225A">
        <w:rPr>
          <w:rFonts w:eastAsia="Times New Roman"/>
          <w:noProof w:val="0"/>
          <w:sz w:val="18"/>
          <w:szCs w:val="18"/>
        </w:rPr>
        <w:t xml:space="preserve">, </w:t>
      </w:r>
      <w:r w:rsidRPr="006F225A">
        <w:rPr>
          <w:rFonts w:eastAsia="Times New Roman"/>
          <w:i/>
          <w:iCs/>
          <w:noProof w:val="0"/>
          <w:sz w:val="18"/>
          <w:szCs w:val="18"/>
        </w:rPr>
        <w:t>178</w:t>
      </w:r>
      <w:r w:rsidRPr="006F225A">
        <w:rPr>
          <w:rFonts w:eastAsia="Times New Roman"/>
          <w:noProof w:val="0"/>
          <w:sz w:val="18"/>
          <w:szCs w:val="18"/>
        </w:rPr>
        <w:t>, 241–245.e1. https://doi.org/10.1016/j.jpeds.2016.07.012.</w:t>
      </w:r>
    </w:p>
    <w:p w14:paraId="53D1950F" w14:textId="77777777" w:rsidR="00EA3A1B" w:rsidRPr="006F225A" w:rsidRDefault="00EA3A1B" w:rsidP="00EA3A1B">
      <w:pPr>
        <w:pStyle w:val="ListParagraph"/>
        <w:numPr>
          <w:ilvl w:val="0"/>
          <w:numId w:val="39"/>
        </w:numPr>
        <w:adjustRightInd w:val="0"/>
        <w:snapToGrid w:val="0"/>
        <w:spacing w:line="228" w:lineRule="auto"/>
        <w:ind w:left="425" w:hanging="425"/>
        <w:rPr>
          <w:rFonts w:eastAsia="Times New Roman"/>
          <w:noProof w:val="0"/>
          <w:sz w:val="18"/>
          <w:szCs w:val="18"/>
        </w:rPr>
      </w:pPr>
      <w:proofErr w:type="spellStart"/>
      <w:r w:rsidRPr="006F225A">
        <w:rPr>
          <w:rFonts w:eastAsia="Times New Roman"/>
          <w:noProof w:val="0"/>
          <w:sz w:val="18"/>
          <w:szCs w:val="18"/>
        </w:rPr>
        <w:t>Thronæs</w:t>
      </w:r>
      <w:proofErr w:type="spellEnd"/>
      <w:r w:rsidRPr="006F225A">
        <w:rPr>
          <w:rFonts w:eastAsia="Times New Roman"/>
          <w:noProof w:val="0"/>
          <w:sz w:val="18"/>
          <w:szCs w:val="18"/>
        </w:rPr>
        <w:t xml:space="preserve">, M.; </w:t>
      </w:r>
      <w:proofErr w:type="spellStart"/>
      <w:r w:rsidRPr="006F225A">
        <w:rPr>
          <w:rFonts w:eastAsia="Times New Roman"/>
          <w:noProof w:val="0"/>
          <w:sz w:val="18"/>
          <w:szCs w:val="18"/>
        </w:rPr>
        <w:t>Løhre</w:t>
      </w:r>
      <w:proofErr w:type="spellEnd"/>
      <w:r w:rsidRPr="006F225A">
        <w:rPr>
          <w:rFonts w:eastAsia="Times New Roman"/>
          <w:noProof w:val="0"/>
          <w:sz w:val="18"/>
          <w:szCs w:val="18"/>
        </w:rPr>
        <w:t xml:space="preserve">, E.T.; </w:t>
      </w:r>
      <w:proofErr w:type="spellStart"/>
      <w:r w:rsidRPr="006F225A">
        <w:rPr>
          <w:rFonts w:eastAsia="Times New Roman"/>
          <w:noProof w:val="0"/>
          <w:sz w:val="18"/>
          <w:szCs w:val="18"/>
        </w:rPr>
        <w:t>Kvikstad</w:t>
      </w:r>
      <w:proofErr w:type="spellEnd"/>
      <w:r w:rsidRPr="006F225A">
        <w:rPr>
          <w:rFonts w:eastAsia="Times New Roman"/>
          <w:noProof w:val="0"/>
          <w:sz w:val="18"/>
          <w:szCs w:val="18"/>
        </w:rPr>
        <w:t xml:space="preserve">, A.; </w:t>
      </w:r>
      <w:proofErr w:type="spellStart"/>
      <w:r w:rsidRPr="006F225A">
        <w:rPr>
          <w:rFonts w:eastAsia="Times New Roman"/>
          <w:noProof w:val="0"/>
          <w:sz w:val="18"/>
          <w:szCs w:val="18"/>
        </w:rPr>
        <w:t>Brenne</w:t>
      </w:r>
      <w:proofErr w:type="spellEnd"/>
      <w:r w:rsidRPr="006F225A">
        <w:rPr>
          <w:rFonts w:eastAsia="Times New Roman"/>
          <w:noProof w:val="0"/>
          <w:sz w:val="18"/>
          <w:szCs w:val="18"/>
        </w:rPr>
        <w:t xml:space="preserve">, E.; </w:t>
      </w:r>
      <w:proofErr w:type="spellStart"/>
      <w:r w:rsidRPr="006F225A">
        <w:rPr>
          <w:rFonts w:eastAsia="Times New Roman"/>
          <w:noProof w:val="0"/>
          <w:sz w:val="18"/>
          <w:szCs w:val="18"/>
        </w:rPr>
        <w:t>Norvaag</w:t>
      </w:r>
      <w:proofErr w:type="spellEnd"/>
      <w:r w:rsidRPr="006F225A">
        <w:rPr>
          <w:rFonts w:eastAsia="Times New Roman"/>
          <w:noProof w:val="0"/>
          <w:sz w:val="18"/>
          <w:szCs w:val="18"/>
        </w:rPr>
        <w:t xml:space="preserve">, R.; </w:t>
      </w:r>
      <w:proofErr w:type="spellStart"/>
      <w:r w:rsidRPr="006F225A">
        <w:rPr>
          <w:rFonts w:eastAsia="Times New Roman"/>
          <w:noProof w:val="0"/>
          <w:sz w:val="18"/>
          <w:szCs w:val="18"/>
        </w:rPr>
        <w:t>Aalberg</w:t>
      </w:r>
      <w:proofErr w:type="spellEnd"/>
      <w:r w:rsidRPr="006F225A">
        <w:rPr>
          <w:rFonts w:eastAsia="Times New Roman"/>
          <w:noProof w:val="0"/>
          <w:sz w:val="18"/>
          <w:szCs w:val="18"/>
        </w:rPr>
        <w:t xml:space="preserve">, K.O.; Moen, M.K.; Jakobsen, G.; </w:t>
      </w:r>
      <w:proofErr w:type="spellStart"/>
      <w:r w:rsidRPr="006F225A">
        <w:rPr>
          <w:rFonts w:eastAsia="Times New Roman"/>
          <w:noProof w:val="0"/>
          <w:sz w:val="18"/>
          <w:szCs w:val="18"/>
        </w:rPr>
        <w:t>Klepstad</w:t>
      </w:r>
      <w:proofErr w:type="spellEnd"/>
      <w:r w:rsidRPr="006F225A">
        <w:rPr>
          <w:rFonts w:eastAsia="Times New Roman"/>
          <w:noProof w:val="0"/>
          <w:sz w:val="18"/>
          <w:szCs w:val="18"/>
        </w:rPr>
        <w:t xml:space="preserve">, P.; Solberg, A.; et al. Interventions and symptom relief in hospital palliative cancer care: Results from a prospective longitudinal study. </w:t>
      </w:r>
      <w:r w:rsidRPr="006F225A">
        <w:rPr>
          <w:rFonts w:eastAsia="Times New Roman"/>
          <w:i/>
          <w:iCs/>
          <w:noProof w:val="0"/>
          <w:sz w:val="18"/>
          <w:szCs w:val="18"/>
        </w:rPr>
        <w:t>Support. Care Cancer</w:t>
      </w:r>
      <w:r w:rsidRPr="006F225A">
        <w:rPr>
          <w:rFonts w:eastAsia="Times New Roman"/>
          <w:noProof w:val="0"/>
          <w:sz w:val="18"/>
          <w:szCs w:val="18"/>
        </w:rPr>
        <w:t xml:space="preserve"> </w:t>
      </w:r>
      <w:r w:rsidRPr="006F225A">
        <w:rPr>
          <w:rFonts w:eastAsia="Times New Roman"/>
          <w:b/>
          <w:bCs/>
          <w:noProof w:val="0"/>
          <w:sz w:val="18"/>
          <w:szCs w:val="18"/>
        </w:rPr>
        <w:t>2021</w:t>
      </w:r>
      <w:r w:rsidRPr="006F225A">
        <w:rPr>
          <w:rFonts w:eastAsia="Times New Roman"/>
          <w:noProof w:val="0"/>
          <w:sz w:val="18"/>
          <w:szCs w:val="18"/>
        </w:rPr>
        <w:t xml:space="preserve">, </w:t>
      </w:r>
      <w:r w:rsidRPr="006F225A">
        <w:rPr>
          <w:rFonts w:eastAsia="Times New Roman"/>
          <w:i/>
          <w:iCs/>
          <w:noProof w:val="0"/>
          <w:sz w:val="18"/>
          <w:szCs w:val="18"/>
        </w:rPr>
        <w:t>29</w:t>
      </w:r>
      <w:r w:rsidRPr="006F225A">
        <w:rPr>
          <w:rFonts w:eastAsia="Times New Roman"/>
          <w:noProof w:val="0"/>
          <w:sz w:val="18"/>
          <w:szCs w:val="18"/>
        </w:rPr>
        <w:t>, 6595–6603. https://doi.org/10.1007/s00520-021-06248-z.</w:t>
      </w:r>
    </w:p>
    <w:p w14:paraId="2A503725" w14:textId="77777777" w:rsidR="00EA3A1B" w:rsidRPr="006F225A" w:rsidRDefault="00EA3A1B" w:rsidP="00EA3A1B">
      <w:pPr>
        <w:pStyle w:val="ListParagraph"/>
        <w:numPr>
          <w:ilvl w:val="0"/>
          <w:numId w:val="39"/>
        </w:numPr>
        <w:adjustRightInd w:val="0"/>
        <w:snapToGrid w:val="0"/>
        <w:spacing w:line="228" w:lineRule="auto"/>
        <w:ind w:left="425" w:hanging="425"/>
        <w:rPr>
          <w:rFonts w:eastAsia="Times New Roman"/>
          <w:noProof w:val="0"/>
          <w:spacing w:val="-4"/>
          <w:sz w:val="18"/>
          <w:szCs w:val="18"/>
        </w:rPr>
      </w:pPr>
      <w:proofErr w:type="spellStart"/>
      <w:r w:rsidRPr="006F225A">
        <w:rPr>
          <w:rFonts w:eastAsia="Times New Roman"/>
          <w:noProof w:val="0"/>
          <w:spacing w:val="-4"/>
          <w:sz w:val="18"/>
          <w:szCs w:val="18"/>
        </w:rPr>
        <w:t>Marra</w:t>
      </w:r>
      <w:proofErr w:type="spellEnd"/>
      <w:r w:rsidRPr="006F225A">
        <w:rPr>
          <w:rFonts w:eastAsia="Times New Roman"/>
          <w:noProof w:val="0"/>
          <w:spacing w:val="-4"/>
          <w:sz w:val="18"/>
          <w:szCs w:val="18"/>
        </w:rPr>
        <w:t xml:space="preserve">, A.R.; De Matos, G.F.J.; </w:t>
      </w:r>
      <w:proofErr w:type="spellStart"/>
      <w:r w:rsidRPr="006F225A">
        <w:rPr>
          <w:rFonts w:eastAsia="Times New Roman"/>
          <w:noProof w:val="0"/>
          <w:spacing w:val="-4"/>
          <w:sz w:val="18"/>
          <w:szCs w:val="18"/>
        </w:rPr>
        <w:t>Janeri</w:t>
      </w:r>
      <w:proofErr w:type="spellEnd"/>
      <w:r w:rsidRPr="006F225A">
        <w:rPr>
          <w:rFonts w:eastAsia="Times New Roman"/>
          <w:noProof w:val="0"/>
          <w:spacing w:val="-4"/>
          <w:sz w:val="18"/>
          <w:szCs w:val="18"/>
        </w:rPr>
        <w:t xml:space="preserve">, R.D.; Machado, P.S.; </w:t>
      </w:r>
      <w:proofErr w:type="spellStart"/>
      <w:r w:rsidRPr="006F225A">
        <w:rPr>
          <w:rFonts w:eastAsia="Times New Roman"/>
          <w:noProof w:val="0"/>
          <w:spacing w:val="-4"/>
          <w:sz w:val="18"/>
          <w:szCs w:val="18"/>
        </w:rPr>
        <w:t>Schvartsman</w:t>
      </w:r>
      <w:proofErr w:type="spellEnd"/>
      <w:r w:rsidRPr="006F225A">
        <w:rPr>
          <w:rFonts w:eastAsia="Times New Roman"/>
          <w:noProof w:val="0"/>
          <w:spacing w:val="-4"/>
          <w:sz w:val="18"/>
          <w:szCs w:val="18"/>
        </w:rPr>
        <w:t xml:space="preserve">, C.; Dos Santos, O.F.P. Managing patients with dengue fever during an epidemic: The importance of a hydration tent and of a multidisciplinary approach. </w:t>
      </w:r>
      <w:r w:rsidRPr="006F225A">
        <w:rPr>
          <w:rFonts w:eastAsia="Times New Roman"/>
          <w:i/>
          <w:iCs/>
          <w:noProof w:val="0"/>
          <w:spacing w:val="-4"/>
          <w:sz w:val="18"/>
          <w:szCs w:val="18"/>
        </w:rPr>
        <w:t>BMC Res. Notes</w:t>
      </w:r>
      <w:r w:rsidRPr="006F225A">
        <w:rPr>
          <w:rFonts w:eastAsia="Times New Roman"/>
          <w:noProof w:val="0"/>
          <w:spacing w:val="-4"/>
          <w:sz w:val="18"/>
          <w:szCs w:val="18"/>
        </w:rPr>
        <w:t xml:space="preserve"> </w:t>
      </w:r>
      <w:r w:rsidRPr="006F225A">
        <w:rPr>
          <w:rFonts w:eastAsia="Times New Roman"/>
          <w:b/>
          <w:bCs/>
          <w:noProof w:val="0"/>
          <w:spacing w:val="-4"/>
          <w:sz w:val="18"/>
          <w:szCs w:val="18"/>
        </w:rPr>
        <w:t>2011</w:t>
      </w:r>
      <w:r w:rsidRPr="006F225A">
        <w:rPr>
          <w:rFonts w:eastAsia="Times New Roman"/>
          <w:noProof w:val="0"/>
          <w:spacing w:val="-4"/>
          <w:sz w:val="18"/>
          <w:szCs w:val="18"/>
        </w:rPr>
        <w:t xml:space="preserve">, </w:t>
      </w:r>
      <w:r w:rsidRPr="006F225A">
        <w:rPr>
          <w:rFonts w:eastAsia="Times New Roman"/>
          <w:i/>
          <w:iCs/>
          <w:noProof w:val="0"/>
          <w:spacing w:val="-4"/>
          <w:sz w:val="18"/>
          <w:szCs w:val="18"/>
        </w:rPr>
        <w:t>4</w:t>
      </w:r>
      <w:r w:rsidRPr="006F225A">
        <w:rPr>
          <w:rFonts w:eastAsia="Times New Roman"/>
          <w:noProof w:val="0"/>
          <w:spacing w:val="-4"/>
          <w:sz w:val="18"/>
          <w:szCs w:val="18"/>
        </w:rPr>
        <w:t>, 335–335. https://doi.org/10.1186/1756-0500-4-335.</w:t>
      </w:r>
    </w:p>
    <w:p w14:paraId="62603FFC" w14:textId="77777777" w:rsidR="00EA3A1B" w:rsidRPr="006F225A" w:rsidRDefault="00EA3A1B" w:rsidP="00EA3A1B">
      <w:pPr>
        <w:pStyle w:val="ListParagraph"/>
        <w:numPr>
          <w:ilvl w:val="0"/>
          <w:numId w:val="39"/>
        </w:numPr>
        <w:adjustRightInd w:val="0"/>
        <w:snapToGrid w:val="0"/>
        <w:spacing w:line="228" w:lineRule="auto"/>
        <w:ind w:left="425" w:hanging="425"/>
        <w:rPr>
          <w:rFonts w:eastAsia="Times New Roman"/>
          <w:noProof w:val="0"/>
          <w:sz w:val="18"/>
          <w:szCs w:val="18"/>
        </w:rPr>
      </w:pPr>
      <w:r w:rsidRPr="006F225A">
        <w:rPr>
          <w:rFonts w:eastAsia="Times New Roman"/>
          <w:noProof w:val="0"/>
          <w:sz w:val="18"/>
          <w:szCs w:val="18"/>
        </w:rPr>
        <w:t xml:space="preserve">Tewari, V.V.; Tewari, K.; Mehta, R. Clinical and hematological profile of patients with dengue fever at a tertiary care hospital—An observational study. </w:t>
      </w:r>
      <w:proofErr w:type="spellStart"/>
      <w:r w:rsidRPr="006F225A">
        <w:rPr>
          <w:rFonts w:eastAsia="Times New Roman"/>
          <w:i/>
          <w:iCs/>
          <w:noProof w:val="0"/>
          <w:sz w:val="18"/>
          <w:szCs w:val="18"/>
        </w:rPr>
        <w:t>Mediterr</w:t>
      </w:r>
      <w:proofErr w:type="spellEnd"/>
      <w:r w:rsidRPr="006F225A">
        <w:rPr>
          <w:rFonts w:eastAsia="Times New Roman"/>
          <w:i/>
          <w:iCs/>
          <w:noProof w:val="0"/>
          <w:sz w:val="18"/>
          <w:szCs w:val="18"/>
        </w:rPr>
        <w:t xml:space="preserve">. J. </w:t>
      </w:r>
      <w:proofErr w:type="spellStart"/>
      <w:r w:rsidRPr="006F225A">
        <w:rPr>
          <w:rFonts w:eastAsia="Times New Roman"/>
          <w:i/>
          <w:iCs/>
          <w:noProof w:val="0"/>
          <w:sz w:val="18"/>
          <w:szCs w:val="18"/>
        </w:rPr>
        <w:t>Hematol</w:t>
      </w:r>
      <w:proofErr w:type="spellEnd"/>
      <w:r w:rsidRPr="006F225A">
        <w:rPr>
          <w:rFonts w:eastAsia="Times New Roman"/>
          <w:i/>
          <w:iCs/>
          <w:noProof w:val="0"/>
          <w:sz w:val="18"/>
          <w:szCs w:val="18"/>
        </w:rPr>
        <w:t>. Infect. Dis.</w:t>
      </w:r>
      <w:r w:rsidRPr="006F225A">
        <w:rPr>
          <w:rFonts w:eastAsia="Times New Roman"/>
          <w:noProof w:val="0"/>
          <w:sz w:val="18"/>
          <w:szCs w:val="18"/>
        </w:rPr>
        <w:t xml:space="preserve"> </w:t>
      </w:r>
      <w:r w:rsidRPr="006F225A">
        <w:rPr>
          <w:rFonts w:eastAsia="Times New Roman"/>
          <w:b/>
          <w:bCs/>
          <w:noProof w:val="0"/>
          <w:sz w:val="18"/>
          <w:szCs w:val="18"/>
        </w:rPr>
        <w:t>2017</w:t>
      </w:r>
      <w:r w:rsidRPr="006F225A">
        <w:rPr>
          <w:rFonts w:eastAsia="Times New Roman"/>
          <w:noProof w:val="0"/>
          <w:sz w:val="18"/>
          <w:szCs w:val="18"/>
        </w:rPr>
        <w:t xml:space="preserve">, </w:t>
      </w:r>
      <w:r w:rsidRPr="006F225A">
        <w:rPr>
          <w:rFonts w:eastAsia="Times New Roman"/>
          <w:i/>
          <w:iCs/>
          <w:noProof w:val="0"/>
          <w:sz w:val="18"/>
          <w:szCs w:val="18"/>
        </w:rPr>
        <w:t>10</w:t>
      </w:r>
      <w:r w:rsidRPr="006F225A">
        <w:rPr>
          <w:rFonts w:eastAsia="Times New Roman"/>
          <w:noProof w:val="0"/>
          <w:sz w:val="18"/>
          <w:szCs w:val="18"/>
        </w:rPr>
        <w:t>, e2018021. https://doi.org/10.4084/mjhid.2018.021.</w:t>
      </w:r>
    </w:p>
    <w:p w14:paraId="21839392" w14:textId="77777777" w:rsidR="00EA3A1B" w:rsidRPr="006F225A" w:rsidRDefault="00EA3A1B" w:rsidP="00EA3A1B">
      <w:pPr>
        <w:pStyle w:val="ListParagraph"/>
        <w:numPr>
          <w:ilvl w:val="0"/>
          <w:numId w:val="39"/>
        </w:numPr>
        <w:adjustRightInd w:val="0"/>
        <w:snapToGrid w:val="0"/>
        <w:spacing w:line="228" w:lineRule="auto"/>
        <w:ind w:left="425" w:hanging="425"/>
        <w:rPr>
          <w:rFonts w:eastAsia="Times New Roman"/>
          <w:noProof w:val="0"/>
          <w:sz w:val="18"/>
          <w:szCs w:val="18"/>
        </w:rPr>
      </w:pPr>
      <w:r w:rsidRPr="006F225A">
        <w:rPr>
          <w:rFonts w:eastAsia="Times New Roman"/>
          <w:noProof w:val="0"/>
          <w:sz w:val="18"/>
          <w:szCs w:val="18"/>
        </w:rPr>
        <w:t xml:space="preserve">Blacklock, A.; Sesay, A.; Kamara, A.; Kamara, M.; Blacklock, C. Characteristics and clinical management of patients admitted to cholera wards in a regional referral hospital during the 2012 epidemic in Sierra Leone. </w:t>
      </w:r>
      <w:r w:rsidRPr="006F225A">
        <w:rPr>
          <w:rFonts w:eastAsia="Times New Roman"/>
          <w:i/>
          <w:iCs/>
          <w:noProof w:val="0"/>
          <w:sz w:val="18"/>
          <w:szCs w:val="18"/>
        </w:rPr>
        <w:t>Glob. Health Action</w:t>
      </w:r>
      <w:r w:rsidRPr="006F225A">
        <w:rPr>
          <w:rFonts w:eastAsia="Times New Roman"/>
          <w:noProof w:val="0"/>
          <w:sz w:val="18"/>
          <w:szCs w:val="18"/>
        </w:rPr>
        <w:t xml:space="preserve"> </w:t>
      </w:r>
      <w:r w:rsidRPr="006F225A">
        <w:rPr>
          <w:rFonts w:eastAsia="Times New Roman"/>
          <w:b/>
          <w:bCs/>
          <w:noProof w:val="0"/>
          <w:sz w:val="18"/>
          <w:szCs w:val="18"/>
        </w:rPr>
        <w:t>2015</w:t>
      </w:r>
      <w:r w:rsidRPr="006F225A">
        <w:rPr>
          <w:rFonts w:eastAsia="Times New Roman"/>
          <w:noProof w:val="0"/>
          <w:sz w:val="18"/>
          <w:szCs w:val="18"/>
        </w:rPr>
        <w:t xml:space="preserve">, </w:t>
      </w:r>
      <w:r w:rsidRPr="006F225A">
        <w:rPr>
          <w:rFonts w:eastAsia="Times New Roman"/>
          <w:i/>
          <w:iCs/>
          <w:noProof w:val="0"/>
          <w:sz w:val="18"/>
          <w:szCs w:val="18"/>
        </w:rPr>
        <w:t>8</w:t>
      </w:r>
      <w:r w:rsidRPr="006F225A">
        <w:rPr>
          <w:rFonts w:eastAsia="Times New Roman"/>
          <w:noProof w:val="0"/>
          <w:sz w:val="18"/>
          <w:szCs w:val="18"/>
        </w:rPr>
        <w:t>, 25266–25266. https://doi.org/10.3402/gha.v8.25266.</w:t>
      </w:r>
    </w:p>
    <w:p w14:paraId="4FC10687" w14:textId="77777777" w:rsidR="00EA3A1B" w:rsidRPr="006F225A" w:rsidRDefault="00EA3A1B" w:rsidP="00EA3A1B">
      <w:pPr>
        <w:pStyle w:val="ListParagraph"/>
        <w:numPr>
          <w:ilvl w:val="0"/>
          <w:numId w:val="39"/>
        </w:numPr>
        <w:adjustRightInd w:val="0"/>
        <w:snapToGrid w:val="0"/>
        <w:spacing w:line="228" w:lineRule="auto"/>
        <w:ind w:left="425" w:hanging="425"/>
        <w:rPr>
          <w:rFonts w:eastAsia="Times New Roman"/>
          <w:noProof w:val="0"/>
          <w:sz w:val="18"/>
          <w:szCs w:val="18"/>
        </w:rPr>
      </w:pPr>
      <w:r w:rsidRPr="006F225A">
        <w:rPr>
          <w:rFonts w:eastAsia="Times New Roman"/>
          <w:noProof w:val="0"/>
          <w:sz w:val="18"/>
          <w:szCs w:val="18"/>
        </w:rPr>
        <w:t xml:space="preserve">Spiller, H.A.; </w:t>
      </w:r>
      <w:proofErr w:type="spellStart"/>
      <w:r w:rsidRPr="006F225A">
        <w:rPr>
          <w:rFonts w:eastAsia="Times New Roman"/>
          <w:noProof w:val="0"/>
          <w:sz w:val="18"/>
          <w:szCs w:val="18"/>
        </w:rPr>
        <w:t>Borys</w:t>
      </w:r>
      <w:proofErr w:type="spellEnd"/>
      <w:r w:rsidRPr="006F225A">
        <w:rPr>
          <w:rFonts w:eastAsia="Times New Roman"/>
          <w:noProof w:val="0"/>
          <w:sz w:val="18"/>
          <w:szCs w:val="18"/>
        </w:rPr>
        <w:t xml:space="preserve">, D.; Griffith, J.R.; Klein-Schwartz, W.; </w:t>
      </w:r>
      <w:proofErr w:type="spellStart"/>
      <w:r w:rsidRPr="006F225A">
        <w:rPr>
          <w:rFonts w:eastAsia="Times New Roman"/>
          <w:noProof w:val="0"/>
          <w:sz w:val="18"/>
          <w:szCs w:val="18"/>
        </w:rPr>
        <w:t>Aleguas</w:t>
      </w:r>
      <w:proofErr w:type="spellEnd"/>
      <w:r w:rsidRPr="006F225A">
        <w:rPr>
          <w:rFonts w:eastAsia="Times New Roman"/>
          <w:noProof w:val="0"/>
          <w:sz w:val="18"/>
          <w:szCs w:val="18"/>
        </w:rPr>
        <w:t xml:space="preserve">, A.; </w:t>
      </w:r>
      <w:proofErr w:type="spellStart"/>
      <w:r w:rsidRPr="006F225A">
        <w:rPr>
          <w:rFonts w:eastAsia="Times New Roman"/>
          <w:noProof w:val="0"/>
          <w:sz w:val="18"/>
          <w:szCs w:val="18"/>
        </w:rPr>
        <w:t>Sollee</w:t>
      </w:r>
      <w:proofErr w:type="spellEnd"/>
      <w:r w:rsidRPr="006F225A">
        <w:rPr>
          <w:rFonts w:eastAsia="Times New Roman"/>
          <w:noProof w:val="0"/>
          <w:sz w:val="18"/>
          <w:szCs w:val="18"/>
        </w:rPr>
        <w:t xml:space="preserve">, D.; Anderson, D.A.; Sawyer, T.S. Toxicity from modafinil ingestion. </w:t>
      </w:r>
      <w:r w:rsidRPr="006F225A">
        <w:rPr>
          <w:rFonts w:eastAsia="Times New Roman"/>
          <w:i/>
          <w:iCs/>
          <w:noProof w:val="0"/>
          <w:sz w:val="18"/>
          <w:szCs w:val="18"/>
        </w:rPr>
        <w:t xml:space="preserve">Clin. </w:t>
      </w:r>
      <w:proofErr w:type="spellStart"/>
      <w:r w:rsidRPr="006F225A">
        <w:rPr>
          <w:rFonts w:eastAsia="Times New Roman"/>
          <w:i/>
          <w:iCs/>
          <w:noProof w:val="0"/>
          <w:sz w:val="18"/>
          <w:szCs w:val="18"/>
        </w:rPr>
        <w:t>Toxicol</w:t>
      </w:r>
      <w:proofErr w:type="spellEnd"/>
      <w:r w:rsidRPr="006F225A">
        <w:rPr>
          <w:rFonts w:eastAsia="Times New Roman"/>
          <w:i/>
          <w:iCs/>
          <w:noProof w:val="0"/>
          <w:sz w:val="18"/>
          <w:szCs w:val="18"/>
        </w:rPr>
        <w:t>.</w:t>
      </w:r>
      <w:r w:rsidRPr="006F225A">
        <w:rPr>
          <w:rFonts w:eastAsia="Times New Roman"/>
          <w:noProof w:val="0"/>
          <w:sz w:val="18"/>
          <w:szCs w:val="18"/>
        </w:rPr>
        <w:t xml:space="preserve"> </w:t>
      </w:r>
      <w:r w:rsidRPr="006F225A">
        <w:rPr>
          <w:rFonts w:eastAsia="Times New Roman"/>
          <w:b/>
          <w:bCs/>
          <w:noProof w:val="0"/>
          <w:sz w:val="18"/>
          <w:szCs w:val="18"/>
        </w:rPr>
        <w:t>2009</w:t>
      </w:r>
      <w:r w:rsidRPr="006F225A">
        <w:rPr>
          <w:rFonts w:eastAsia="Times New Roman"/>
          <w:noProof w:val="0"/>
          <w:sz w:val="18"/>
          <w:szCs w:val="18"/>
        </w:rPr>
        <w:t xml:space="preserve">, </w:t>
      </w:r>
      <w:r w:rsidRPr="006F225A">
        <w:rPr>
          <w:rFonts w:eastAsia="Times New Roman"/>
          <w:i/>
          <w:iCs/>
          <w:noProof w:val="0"/>
          <w:sz w:val="18"/>
          <w:szCs w:val="18"/>
        </w:rPr>
        <w:t>47</w:t>
      </w:r>
      <w:r w:rsidRPr="006F225A">
        <w:rPr>
          <w:rFonts w:eastAsia="Times New Roman"/>
          <w:noProof w:val="0"/>
          <w:sz w:val="18"/>
          <w:szCs w:val="18"/>
        </w:rPr>
        <w:t>, 153–156. https://doi.org/10.1080/15563650802175595.</w:t>
      </w:r>
    </w:p>
    <w:p w14:paraId="3B24559D" w14:textId="77777777" w:rsidR="00EA3A1B" w:rsidRPr="006F225A" w:rsidRDefault="00EA3A1B" w:rsidP="00EA3A1B">
      <w:pPr>
        <w:pStyle w:val="ListParagraph"/>
        <w:numPr>
          <w:ilvl w:val="0"/>
          <w:numId w:val="39"/>
        </w:numPr>
        <w:adjustRightInd w:val="0"/>
        <w:snapToGrid w:val="0"/>
        <w:spacing w:line="228" w:lineRule="auto"/>
        <w:ind w:left="425" w:hanging="425"/>
        <w:rPr>
          <w:rFonts w:eastAsia="Times New Roman"/>
          <w:noProof w:val="0"/>
          <w:sz w:val="18"/>
          <w:szCs w:val="18"/>
        </w:rPr>
      </w:pPr>
      <w:r w:rsidRPr="006F225A">
        <w:rPr>
          <w:rFonts w:eastAsia="Times New Roman"/>
          <w:noProof w:val="0"/>
          <w:sz w:val="18"/>
          <w:szCs w:val="18"/>
        </w:rPr>
        <w:t xml:space="preserve">Hasan, S.M.T.; Das, S.; </w:t>
      </w:r>
      <w:proofErr w:type="spellStart"/>
      <w:r w:rsidRPr="006F225A">
        <w:rPr>
          <w:rFonts w:eastAsia="Times New Roman"/>
          <w:noProof w:val="0"/>
          <w:sz w:val="18"/>
          <w:szCs w:val="18"/>
        </w:rPr>
        <w:t>Faruque</w:t>
      </w:r>
      <w:proofErr w:type="spellEnd"/>
      <w:r w:rsidRPr="006F225A">
        <w:rPr>
          <w:rFonts w:eastAsia="Times New Roman"/>
          <w:noProof w:val="0"/>
          <w:sz w:val="18"/>
          <w:szCs w:val="18"/>
        </w:rPr>
        <w:t xml:space="preserve">, A.S.G.; Khan, A.I.; Clemens, J.D.; Ahmed, T. Taking care of a diarrhea epidemic in an urban hospital in Bangladesh: Appraisal of putative causes, presentation, management, and deaths averted. </w:t>
      </w:r>
      <w:r w:rsidRPr="006F225A">
        <w:rPr>
          <w:rFonts w:eastAsia="Times New Roman"/>
          <w:i/>
          <w:iCs/>
          <w:noProof w:val="0"/>
          <w:sz w:val="18"/>
          <w:szCs w:val="18"/>
        </w:rPr>
        <w:t>PLOS Neglected Trop. Dis.</w:t>
      </w:r>
      <w:r w:rsidRPr="006F225A">
        <w:rPr>
          <w:rFonts w:eastAsia="Times New Roman"/>
          <w:noProof w:val="0"/>
          <w:sz w:val="18"/>
          <w:szCs w:val="18"/>
        </w:rPr>
        <w:t xml:space="preserve"> </w:t>
      </w:r>
      <w:r w:rsidRPr="006F225A">
        <w:rPr>
          <w:rFonts w:eastAsia="Times New Roman"/>
          <w:b/>
          <w:bCs/>
          <w:noProof w:val="0"/>
          <w:sz w:val="18"/>
          <w:szCs w:val="18"/>
        </w:rPr>
        <w:t>2021</w:t>
      </w:r>
      <w:r w:rsidRPr="006F225A">
        <w:rPr>
          <w:rFonts w:eastAsia="Times New Roman"/>
          <w:noProof w:val="0"/>
          <w:sz w:val="18"/>
          <w:szCs w:val="18"/>
        </w:rPr>
        <w:t xml:space="preserve">, </w:t>
      </w:r>
      <w:r w:rsidRPr="006F225A">
        <w:rPr>
          <w:rFonts w:eastAsia="Times New Roman"/>
          <w:i/>
          <w:iCs/>
          <w:noProof w:val="0"/>
          <w:sz w:val="18"/>
          <w:szCs w:val="18"/>
        </w:rPr>
        <w:t>15</w:t>
      </w:r>
      <w:r w:rsidRPr="006F225A">
        <w:rPr>
          <w:rFonts w:eastAsia="Times New Roman"/>
          <w:noProof w:val="0"/>
          <w:sz w:val="18"/>
          <w:szCs w:val="18"/>
        </w:rPr>
        <w:t>, e0009953. https://doi.org/10.1371/journal.pntd.0009953.</w:t>
      </w:r>
    </w:p>
    <w:p w14:paraId="7BF54970" w14:textId="77777777" w:rsidR="00EA3A1B" w:rsidRPr="006F225A" w:rsidRDefault="00EA3A1B" w:rsidP="00EA3A1B">
      <w:pPr>
        <w:pStyle w:val="ListParagraph"/>
        <w:numPr>
          <w:ilvl w:val="0"/>
          <w:numId w:val="39"/>
        </w:numPr>
        <w:adjustRightInd w:val="0"/>
        <w:snapToGrid w:val="0"/>
        <w:spacing w:line="228" w:lineRule="auto"/>
        <w:ind w:left="425" w:hanging="425"/>
        <w:rPr>
          <w:rFonts w:eastAsia="Times New Roman"/>
          <w:noProof w:val="0"/>
          <w:sz w:val="18"/>
          <w:szCs w:val="18"/>
        </w:rPr>
      </w:pPr>
      <w:r w:rsidRPr="006F225A">
        <w:rPr>
          <w:rFonts w:eastAsia="Times New Roman"/>
          <w:noProof w:val="0"/>
          <w:sz w:val="18"/>
          <w:szCs w:val="18"/>
        </w:rPr>
        <w:t xml:space="preserve">Machado, M.C.; Bruce-Mensah, A.; Whitmire, M.; Rizvi, A.A. Hypercalcemia Associated with Calcium Supplement Use: Prevalence and Characteristics in Hospitalized Patients. </w:t>
      </w:r>
      <w:r w:rsidRPr="006F225A">
        <w:rPr>
          <w:rFonts w:eastAsia="Times New Roman"/>
          <w:i/>
          <w:iCs/>
          <w:noProof w:val="0"/>
          <w:sz w:val="18"/>
          <w:szCs w:val="18"/>
        </w:rPr>
        <w:t>J. Clin. Med.</w:t>
      </w:r>
      <w:r w:rsidRPr="006F225A">
        <w:rPr>
          <w:rFonts w:eastAsia="Times New Roman"/>
          <w:noProof w:val="0"/>
          <w:sz w:val="18"/>
          <w:szCs w:val="18"/>
        </w:rPr>
        <w:t xml:space="preserve"> </w:t>
      </w:r>
      <w:r w:rsidRPr="006F225A">
        <w:rPr>
          <w:rFonts w:eastAsia="Times New Roman"/>
          <w:b/>
          <w:bCs/>
          <w:noProof w:val="0"/>
          <w:sz w:val="18"/>
          <w:szCs w:val="18"/>
        </w:rPr>
        <w:t>2015</w:t>
      </w:r>
      <w:r w:rsidRPr="006F225A">
        <w:rPr>
          <w:rFonts w:eastAsia="Times New Roman"/>
          <w:noProof w:val="0"/>
          <w:sz w:val="18"/>
          <w:szCs w:val="18"/>
        </w:rPr>
        <w:t xml:space="preserve">, </w:t>
      </w:r>
      <w:r w:rsidRPr="006F225A">
        <w:rPr>
          <w:rFonts w:eastAsia="Times New Roman"/>
          <w:i/>
          <w:iCs/>
          <w:noProof w:val="0"/>
          <w:sz w:val="18"/>
          <w:szCs w:val="18"/>
        </w:rPr>
        <w:t>4</w:t>
      </w:r>
      <w:r w:rsidRPr="006F225A">
        <w:rPr>
          <w:rFonts w:eastAsia="Times New Roman"/>
          <w:noProof w:val="0"/>
          <w:sz w:val="18"/>
          <w:szCs w:val="18"/>
        </w:rPr>
        <w:t>, 414–424. https://doi.org/10.3390/jcm4030414.</w:t>
      </w:r>
    </w:p>
    <w:p w14:paraId="0C0F52FD" w14:textId="77777777" w:rsidR="00EA3A1B" w:rsidRPr="006F225A" w:rsidRDefault="00EA3A1B" w:rsidP="00EA3A1B">
      <w:pPr>
        <w:pStyle w:val="ListParagraph"/>
        <w:numPr>
          <w:ilvl w:val="0"/>
          <w:numId w:val="39"/>
        </w:numPr>
        <w:adjustRightInd w:val="0"/>
        <w:snapToGrid w:val="0"/>
        <w:spacing w:line="228" w:lineRule="auto"/>
        <w:ind w:left="425" w:hanging="425"/>
        <w:rPr>
          <w:rFonts w:eastAsia="Times New Roman"/>
          <w:noProof w:val="0"/>
          <w:sz w:val="18"/>
          <w:szCs w:val="18"/>
        </w:rPr>
      </w:pPr>
      <w:r w:rsidRPr="006F225A">
        <w:rPr>
          <w:rFonts w:eastAsia="Times New Roman"/>
          <w:noProof w:val="0"/>
          <w:sz w:val="18"/>
          <w:szCs w:val="18"/>
        </w:rPr>
        <w:t xml:space="preserve">Tseng, A.S.; Traub, N.A.; Harris, L.A.; Crowell, M.D.; </w:t>
      </w:r>
      <w:proofErr w:type="spellStart"/>
      <w:r w:rsidRPr="006F225A">
        <w:rPr>
          <w:rFonts w:eastAsia="Times New Roman"/>
          <w:noProof w:val="0"/>
          <w:sz w:val="18"/>
          <w:szCs w:val="18"/>
        </w:rPr>
        <w:t>Dnp</w:t>
      </w:r>
      <w:proofErr w:type="spellEnd"/>
      <w:r w:rsidRPr="006F225A">
        <w:rPr>
          <w:rFonts w:eastAsia="Times New Roman"/>
          <w:noProof w:val="0"/>
          <w:sz w:val="18"/>
          <w:szCs w:val="18"/>
        </w:rPr>
        <w:t xml:space="preserve">, C.R.H.; Goodman, B.P.; </w:t>
      </w:r>
      <w:proofErr w:type="spellStart"/>
      <w:r w:rsidRPr="006F225A">
        <w:rPr>
          <w:rFonts w:eastAsia="Times New Roman"/>
          <w:noProof w:val="0"/>
          <w:sz w:val="18"/>
          <w:szCs w:val="18"/>
        </w:rPr>
        <w:t>DiBaise</w:t>
      </w:r>
      <w:proofErr w:type="spellEnd"/>
      <w:r w:rsidRPr="006F225A">
        <w:rPr>
          <w:rFonts w:eastAsia="Times New Roman"/>
          <w:noProof w:val="0"/>
          <w:sz w:val="18"/>
          <w:szCs w:val="18"/>
        </w:rPr>
        <w:t xml:space="preserve">, J.K. Factors Associated </w:t>
      </w:r>
      <w:proofErr w:type="gramStart"/>
      <w:r w:rsidRPr="006F225A">
        <w:rPr>
          <w:rFonts w:eastAsia="Times New Roman"/>
          <w:noProof w:val="0"/>
          <w:sz w:val="18"/>
          <w:szCs w:val="18"/>
        </w:rPr>
        <w:t>With</w:t>
      </w:r>
      <w:proofErr w:type="gramEnd"/>
      <w:r w:rsidRPr="006F225A">
        <w:rPr>
          <w:rFonts w:eastAsia="Times New Roman"/>
          <w:noProof w:val="0"/>
          <w:sz w:val="18"/>
          <w:szCs w:val="18"/>
        </w:rPr>
        <w:t xml:space="preserve"> Use of Nonoral Nutrition and Hydration Support in Adult Patients With Postural Tachycardia Syndrome. </w:t>
      </w:r>
      <w:r w:rsidRPr="006F225A">
        <w:rPr>
          <w:rFonts w:eastAsia="Times New Roman"/>
          <w:i/>
          <w:iCs/>
          <w:noProof w:val="0"/>
          <w:sz w:val="18"/>
          <w:szCs w:val="18"/>
        </w:rPr>
        <w:t xml:space="preserve">J. </w:t>
      </w:r>
      <w:proofErr w:type="spellStart"/>
      <w:r w:rsidRPr="006F225A">
        <w:rPr>
          <w:rFonts w:eastAsia="Times New Roman"/>
          <w:i/>
          <w:iCs/>
          <w:noProof w:val="0"/>
          <w:sz w:val="18"/>
          <w:szCs w:val="18"/>
        </w:rPr>
        <w:t>Parenter</w:t>
      </w:r>
      <w:proofErr w:type="spellEnd"/>
      <w:r w:rsidRPr="006F225A">
        <w:rPr>
          <w:rFonts w:eastAsia="Times New Roman"/>
          <w:i/>
          <w:iCs/>
          <w:noProof w:val="0"/>
          <w:sz w:val="18"/>
          <w:szCs w:val="18"/>
        </w:rPr>
        <w:t xml:space="preserve">. Enter. </w:t>
      </w:r>
      <w:proofErr w:type="spellStart"/>
      <w:r w:rsidRPr="006F225A">
        <w:rPr>
          <w:rFonts w:eastAsia="Times New Roman"/>
          <w:i/>
          <w:iCs/>
          <w:noProof w:val="0"/>
          <w:sz w:val="18"/>
          <w:szCs w:val="18"/>
        </w:rPr>
        <w:t>Nutr</w:t>
      </w:r>
      <w:proofErr w:type="spellEnd"/>
      <w:r w:rsidRPr="006F225A">
        <w:rPr>
          <w:rFonts w:eastAsia="Times New Roman"/>
          <w:i/>
          <w:iCs/>
          <w:noProof w:val="0"/>
          <w:sz w:val="18"/>
          <w:szCs w:val="18"/>
        </w:rPr>
        <w:t>.</w:t>
      </w:r>
      <w:r w:rsidRPr="006F225A">
        <w:rPr>
          <w:rFonts w:eastAsia="Times New Roman"/>
          <w:noProof w:val="0"/>
          <w:sz w:val="18"/>
          <w:szCs w:val="18"/>
        </w:rPr>
        <w:t xml:space="preserve"> </w:t>
      </w:r>
      <w:r w:rsidRPr="006F225A">
        <w:rPr>
          <w:rFonts w:eastAsia="Times New Roman"/>
          <w:b/>
          <w:bCs/>
          <w:noProof w:val="0"/>
          <w:sz w:val="18"/>
          <w:szCs w:val="18"/>
        </w:rPr>
        <w:t>2018</w:t>
      </w:r>
      <w:r w:rsidRPr="006F225A">
        <w:rPr>
          <w:rFonts w:eastAsia="Times New Roman"/>
          <w:noProof w:val="0"/>
          <w:sz w:val="18"/>
          <w:szCs w:val="18"/>
        </w:rPr>
        <w:t xml:space="preserve">, </w:t>
      </w:r>
      <w:r w:rsidRPr="006F225A">
        <w:rPr>
          <w:rFonts w:eastAsia="Times New Roman"/>
          <w:i/>
          <w:iCs/>
          <w:noProof w:val="0"/>
          <w:sz w:val="18"/>
          <w:szCs w:val="18"/>
        </w:rPr>
        <w:t>43</w:t>
      </w:r>
      <w:r w:rsidRPr="006F225A">
        <w:rPr>
          <w:rFonts w:eastAsia="Times New Roman"/>
          <w:noProof w:val="0"/>
          <w:sz w:val="18"/>
          <w:szCs w:val="18"/>
        </w:rPr>
        <w:t>, 734–741. https://doi.org/10.1002/jpen.1493.</w:t>
      </w:r>
    </w:p>
    <w:p w14:paraId="42EF6CC8" w14:textId="77777777" w:rsidR="00EA3A1B" w:rsidRPr="006F225A" w:rsidRDefault="00EA3A1B" w:rsidP="00EA3A1B">
      <w:pPr>
        <w:pStyle w:val="ListParagraph"/>
        <w:numPr>
          <w:ilvl w:val="0"/>
          <w:numId w:val="39"/>
        </w:numPr>
        <w:adjustRightInd w:val="0"/>
        <w:snapToGrid w:val="0"/>
        <w:spacing w:line="228" w:lineRule="auto"/>
        <w:ind w:left="425" w:hanging="425"/>
        <w:rPr>
          <w:rFonts w:eastAsia="Times New Roman"/>
          <w:noProof w:val="0"/>
          <w:sz w:val="18"/>
          <w:szCs w:val="18"/>
        </w:rPr>
      </w:pPr>
      <w:r w:rsidRPr="006F225A">
        <w:rPr>
          <w:rFonts w:eastAsia="Times New Roman"/>
          <w:noProof w:val="0"/>
          <w:sz w:val="18"/>
          <w:szCs w:val="18"/>
        </w:rPr>
        <w:t xml:space="preserve">Cardenas, D. Ethical issues and dilemmas in artificial nutrition and hydration. </w:t>
      </w:r>
      <w:r w:rsidRPr="006F225A">
        <w:rPr>
          <w:rFonts w:eastAsia="Times New Roman"/>
          <w:i/>
          <w:iCs/>
          <w:noProof w:val="0"/>
          <w:sz w:val="18"/>
          <w:szCs w:val="18"/>
        </w:rPr>
        <w:t xml:space="preserve">Clin. </w:t>
      </w:r>
      <w:proofErr w:type="spellStart"/>
      <w:r w:rsidRPr="006F225A">
        <w:rPr>
          <w:rFonts w:eastAsia="Times New Roman"/>
          <w:i/>
          <w:iCs/>
          <w:noProof w:val="0"/>
          <w:sz w:val="18"/>
          <w:szCs w:val="18"/>
        </w:rPr>
        <w:t>Nutr</w:t>
      </w:r>
      <w:proofErr w:type="spellEnd"/>
      <w:r w:rsidRPr="006F225A">
        <w:rPr>
          <w:rFonts w:eastAsia="Times New Roman"/>
          <w:i/>
          <w:iCs/>
          <w:noProof w:val="0"/>
          <w:sz w:val="18"/>
          <w:szCs w:val="18"/>
        </w:rPr>
        <w:t>. ESPEN</w:t>
      </w:r>
      <w:r w:rsidRPr="006F225A">
        <w:rPr>
          <w:rFonts w:eastAsia="Times New Roman"/>
          <w:noProof w:val="0"/>
          <w:sz w:val="18"/>
          <w:szCs w:val="18"/>
        </w:rPr>
        <w:t xml:space="preserve"> </w:t>
      </w:r>
      <w:r w:rsidRPr="006F225A">
        <w:rPr>
          <w:rFonts w:eastAsia="Times New Roman"/>
          <w:b/>
          <w:bCs/>
          <w:noProof w:val="0"/>
          <w:sz w:val="18"/>
          <w:szCs w:val="18"/>
        </w:rPr>
        <w:t>2020</w:t>
      </w:r>
      <w:r w:rsidRPr="006F225A">
        <w:rPr>
          <w:rFonts w:eastAsia="Times New Roman"/>
          <w:noProof w:val="0"/>
          <w:sz w:val="18"/>
          <w:szCs w:val="18"/>
        </w:rPr>
        <w:t xml:space="preserve">, </w:t>
      </w:r>
      <w:r w:rsidRPr="006F225A">
        <w:rPr>
          <w:rFonts w:eastAsia="Times New Roman"/>
          <w:i/>
          <w:iCs/>
          <w:noProof w:val="0"/>
          <w:sz w:val="18"/>
          <w:szCs w:val="18"/>
        </w:rPr>
        <w:t>41</w:t>
      </w:r>
      <w:r w:rsidRPr="006F225A">
        <w:rPr>
          <w:rFonts w:eastAsia="Times New Roman"/>
          <w:noProof w:val="0"/>
          <w:sz w:val="18"/>
          <w:szCs w:val="18"/>
        </w:rPr>
        <w:t>, 23–29. https://doi.org/10.1016/j.clnesp.2020.12.010.</w:t>
      </w:r>
    </w:p>
    <w:p w14:paraId="762D0952" w14:textId="77777777" w:rsidR="00EA3A1B" w:rsidRPr="006F225A" w:rsidRDefault="00EA3A1B" w:rsidP="00EA3A1B">
      <w:pPr>
        <w:pStyle w:val="ListParagraph"/>
        <w:numPr>
          <w:ilvl w:val="0"/>
          <w:numId w:val="39"/>
        </w:numPr>
        <w:adjustRightInd w:val="0"/>
        <w:snapToGrid w:val="0"/>
        <w:spacing w:line="228" w:lineRule="auto"/>
        <w:ind w:left="425" w:hanging="425"/>
        <w:rPr>
          <w:rFonts w:eastAsia="Times New Roman"/>
          <w:noProof w:val="0"/>
          <w:sz w:val="18"/>
          <w:szCs w:val="18"/>
        </w:rPr>
      </w:pPr>
      <w:proofErr w:type="spellStart"/>
      <w:r w:rsidRPr="006F225A">
        <w:rPr>
          <w:rFonts w:eastAsia="Times New Roman"/>
          <w:noProof w:val="0"/>
          <w:sz w:val="18"/>
          <w:szCs w:val="18"/>
        </w:rPr>
        <w:lastRenderedPageBreak/>
        <w:t>Alsolamy</w:t>
      </w:r>
      <w:proofErr w:type="spellEnd"/>
      <w:r w:rsidRPr="006F225A">
        <w:rPr>
          <w:rFonts w:eastAsia="Times New Roman"/>
          <w:noProof w:val="0"/>
          <w:sz w:val="18"/>
          <w:szCs w:val="18"/>
        </w:rPr>
        <w:t xml:space="preserve">, S. Islamic Views on Artificial Nutrition and Hydration in Terminally Ill Patients. </w:t>
      </w:r>
      <w:r w:rsidRPr="006F225A">
        <w:rPr>
          <w:rFonts w:eastAsia="Times New Roman"/>
          <w:i/>
          <w:iCs/>
          <w:noProof w:val="0"/>
          <w:sz w:val="18"/>
          <w:szCs w:val="18"/>
        </w:rPr>
        <w:t>Bioethics</w:t>
      </w:r>
      <w:r w:rsidRPr="006F225A">
        <w:rPr>
          <w:rFonts w:eastAsia="Times New Roman"/>
          <w:noProof w:val="0"/>
          <w:sz w:val="18"/>
          <w:szCs w:val="18"/>
        </w:rPr>
        <w:t xml:space="preserve"> </w:t>
      </w:r>
      <w:r w:rsidRPr="006F225A">
        <w:rPr>
          <w:rFonts w:eastAsia="Times New Roman"/>
          <w:b/>
          <w:bCs/>
          <w:noProof w:val="0"/>
          <w:sz w:val="18"/>
          <w:szCs w:val="18"/>
        </w:rPr>
        <w:t>2012</w:t>
      </w:r>
      <w:r w:rsidRPr="006F225A">
        <w:rPr>
          <w:rFonts w:eastAsia="Times New Roman"/>
          <w:noProof w:val="0"/>
          <w:sz w:val="18"/>
          <w:szCs w:val="18"/>
        </w:rPr>
        <w:t xml:space="preserve">, </w:t>
      </w:r>
      <w:r w:rsidRPr="006F225A">
        <w:rPr>
          <w:rFonts w:eastAsia="Times New Roman"/>
          <w:i/>
          <w:iCs/>
          <w:noProof w:val="0"/>
          <w:sz w:val="18"/>
          <w:szCs w:val="18"/>
        </w:rPr>
        <w:t>28</w:t>
      </w:r>
      <w:r w:rsidRPr="006F225A">
        <w:rPr>
          <w:rFonts w:eastAsia="Times New Roman"/>
          <w:noProof w:val="0"/>
          <w:sz w:val="18"/>
          <w:szCs w:val="18"/>
        </w:rPr>
        <w:t>, 96–99. https://doi.org/10.1111/j.1467-8519.2012.01996.x.</w:t>
      </w:r>
    </w:p>
    <w:p w14:paraId="38CB98BC" w14:textId="77777777" w:rsidR="00EA3A1B" w:rsidRPr="006F225A" w:rsidRDefault="00EA3A1B" w:rsidP="00EA3A1B">
      <w:pPr>
        <w:pStyle w:val="ListParagraph"/>
        <w:numPr>
          <w:ilvl w:val="0"/>
          <w:numId w:val="39"/>
        </w:numPr>
        <w:adjustRightInd w:val="0"/>
        <w:snapToGrid w:val="0"/>
        <w:spacing w:line="228" w:lineRule="auto"/>
        <w:ind w:left="425" w:hanging="425"/>
        <w:rPr>
          <w:rFonts w:eastAsia="Times New Roman"/>
          <w:noProof w:val="0"/>
          <w:sz w:val="18"/>
          <w:szCs w:val="18"/>
        </w:rPr>
      </w:pPr>
      <w:r w:rsidRPr="006F225A">
        <w:rPr>
          <w:rFonts w:eastAsia="Times New Roman"/>
          <w:noProof w:val="0"/>
          <w:sz w:val="18"/>
          <w:szCs w:val="18"/>
        </w:rPr>
        <w:t xml:space="preserve">World Health Organization. 2005. The Treatment of </w:t>
      </w:r>
      <w:proofErr w:type="spellStart"/>
      <w:r w:rsidRPr="006F225A">
        <w:rPr>
          <w:rFonts w:eastAsia="Times New Roman"/>
          <w:noProof w:val="0"/>
          <w:sz w:val="18"/>
          <w:szCs w:val="18"/>
        </w:rPr>
        <w:t>Diarrhoea</w:t>
      </w:r>
      <w:proofErr w:type="spellEnd"/>
      <w:r w:rsidRPr="006F225A">
        <w:rPr>
          <w:rFonts w:eastAsia="Times New Roman"/>
          <w:noProof w:val="0"/>
          <w:sz w:val="18"/>
          <w:szCs w:val="18"/>
        </w:rPr>
        <w:t>: A Manual for Physicians and Other Senior Health Workers, 4th Revision. Available online: https://www.who.int/publications/i/item/9241593180 (accessed on 15 September 2022).</w:t>
      </w:r>
    </w:p>
    <w:p w14:paraId="75AF2734" w14:textId="77777777" w:rsidR="00EA3A1B" w:rsidRPr="006F225A" w:rsidRDefault="00EA3A1B" w:rsidP="00EA3A1B">
      <w:pPr>
        <w:pStyle w:val="ListParagraph"/>
        <w:numPr>
          <w:ilvl w:val="0"/>
          <w:numId w:val="39"/>
        </w:numPr>
        <w:adjustRightInd w:val="0"/>
        <w:snapToGrid w:val="0"/>
        <w:spacing w:line="228" w:lineRule="auto"/>
        <w:ind w:left="425" w:hanging="425"/>
        <w:rPr>
          <w:rFonts w:eastAsia="Times New Roman"/>
          <w:noProof w:val="0"/>
          <w:sz w:val="18"/>
          <w:szCs w:val="18"/>
        </w:rPr>
      </w:pPr>
      <w:proofErr w:type="spellStart"/>
      <w:r w:rsidRPr="006F225A">
        <w:rPr>
          <w:rFonts w:eastAsia="Times New Roman"/>
          <w:noProof w:val="0"/>
          <w:sz w:val="18"/>
          <w:szCs w:val="18"/>
        </w:rPr>
        <w:t>Ozuah</w:t>
      </w:r>
      <w:proofErr w:type="spellEnd"/>
      <w:r w:rsidRPr="006F225A">
        <w:rPr>
          <w:rFonts w:eastAsia="Times New Roman"/>
          <w:noProof w:val="0"/>
          <w:sz w:val="18"/>
          <w:szCs w:val="18"/>
        </w:rPr>
        <w:t xml:space="preserve">, P.O.; Avner, J.R.; Stein, R.E.K. Oral Rehydration, Emergency Physicians, and Practice Parameters: A National Survey. </w:t>
      </w:r>
      <w:r w:rsidRPr="006F225A">
        <w:rPr>
          <w:rFonts w:eastAsia="Times New Roman"/>
          <w:i/>
          <w:iCs/>
          <w:noProof w:val="0"/>
          <w:sz w:val="18"/>
          <w:szCs w:val="18"/>
        </w:rPr>
        <w:t>Pediatrics</w:t>
      </w:r>
      <w:r w:rsidRPr="006F225A">
        <w:rPr>
          <w:rFonts w:eastAsia="Times New Roman"/>
          <w:noProof w:val="0"/>
          <w:sz w:val="18"/>
          <w:szCs w:val="18"/>
        </w:rPr>
        <w:t xml:space="preserve"> </w:t>
      </w:r>
      <w:r w:rsidRPr="006F225A">
        <w:rPr>
          <w:rFonts w:eastAsia="Times New Roman"/>
          <w:b/>
          <w:bCs/>
          <w:noProof w:val="0"/>
          <w:sz w:val="18"/>
          <w:szCs w:val="18"/>
        </w:rPr>
        <w:t>2002</w:t>
      </w:r>
      <w:r w:rsidRPr="006F225A">
        <w:rPr>
          <w:rFonts w:eastAsia="Times New Roman"/>
          <w:noProof w:val="0"/>
          <w:sz w:val="18"/>
          <w:szCs w:val="18"/>
        </w:rPr>
        <w:t xml:space="preserve">, </w:t>
      </w:r>
      <w:r w:rsidRPr="006F225A">
        <w:rPr>
          <w:rFonts w:eastAsia="Times New Roman"/>
          <w:i/>
          <w:iCs/>
          <w:noProof w:val="0"/>
          <w:sz w:val="18"/>
          <w:szCs w:val="18"/>
        </w:rPr>
        <w:t>109</w:t>
      </w:r>
      <w:r w:rsidRPr="006F225A">
        <w:rPr>
          <w:rFonts w:eastAsia="Times New Roman"/>
          <w:noProof w:val="0"/>
          <w:sz w:val="18"/>
          <w:szCs w:val="18"/>
        </w:rPr>
        <w:t>, 259–261. https://doi.org/10.1542/peds.109.2.259.</w:t>
      </w:r>
    </w:p>
    <w:p w14:paraId="5B7FFDF6" w14:textId="77777777" w:rsidR="00EA3A1B" w:rsidRPr="006F225A" w:rsidRDefault="00EA3A1B" w:rsidP="00EA3A1B">
      <w:pPr>
        <w:pStyle w:val="ListParagraph"/>
        <w:numPr>
          <w:ilvl w:val="0"/>
          <w:numId w:val="39"/>
        </w:numPr>
        <w:adjustRightInd w:val="0"/>
        <w:snapToGrid w:val="0"/>
        <w:spacing w:line="228" w:lineRule="auto"/>
        <w:ind w:left="425" w:hanging="425"/>
        <w:rPr>
          <w:rFonts w:eastAsia="Times New Roman"/>
          <w:noProof w:val="0"/>
          <w:sz w:val="18"/>
          <w:szCs w:val="18"/>
        </w:rPr>
      </w:pPr>
      <w:r w:rsidRPr="006F225A">
        <w:rPr>
          <w:rFonts w:eastAsia="Times New Roman"/>
          <w:noProof w:val="0"/>
          <w:sz w:val="18"/>
          <w:szCs w:val="18"/>
        </w:rPr>
        <w:t xml:space="preserve">Conners, G.P.; Barker, W.H.; </w:t>
      </w:r>
      <w:proofErr w:type="spellStart"/>
      <w:r w:rsidRPr="006F225A">
        <w:rPr>
          <w:rFonts w:eastAsia="Times New Roman"/>
          <w:noProof w:val="0"/>
          <w:sz w:val="18"/>
          <w:szCs w:val="18"/>
        </w:rPr>
        <w:t>Mushlin</w:t>
      </w:r>
      <w:proofErr w:type="spellEnd"/>
      <w:r w:rsidRPr="006F225A">
        <w:rPr>
          <w:rFonts w:eastAsia="Times New Roman"/>
          <w:noProof w:val="0"/>
          <w:sz w:val="18"/>
          <w:szCs w:val="18"/>
        </w:rPr>
        <w:t xml:space="preserve">, A.I.; </w:t>
      </w:r>
      <w:proofErr w:type="spellStart"/>
      <w:r w:rsidRPr="006F225A">
        <w:rPr>
          <w:rFonts w:eastAsia="Times New Roman"/>
          <w:noProof w:val="0"/>
          <w:sz w:val="18"/>
          <w:szCs w:val="18"/>
        </w:rPr>
        <w:t>Goepp</w:t>
      </w:r>
      <w:proofErr w:type="spellEnd"/>
      <w:r w:rsidRPr="006F225A">
        <w:rPr>
          <w:rFonts w:eastAsia="Times New Roman"/>
          <w:noProof w:val="0"/>
          <w:sz w:val="18"/>
          <w:szCs w:val="18"/>
        </w:rPr>
        <w:t xml:space="preserve">, J.G.K. Oral versus intravenous: Rehydration preferences of pediatric emergency medicine fellowship directors. </w:t>
      </w:r>
      <w:proofErr w:type="spellStart"/>
      <w:r w:rsidRPr="006F225A">
        <w:rPr>
          <w:rFonts w:eastAsia="Times New Roman"/>
          <w:i/>
          <w:iCs/>
          <w:noProof w:val="0"/>
          <w:sz w:val="18"/>
          <w:szCs w:val="18"/>
        </w:rPr>
        <w:t>Pediatr</w:t>
      </w:r>
      <w:proofErr w:type="spellEnd"/>
      <w:r w:rsidRPr="006F225A">
        <w:rPr>
          <w:rFonts w:eastAsia="Times New Roman"/>
          <w:i/>
          <w:iCs/>
          <w:noProof w:val="0"/>
          <w:sz w:val="18"/>
          <w:szCs w:val="18"/>
        </w:rPr>
        <w:t xml:space="preserve">. </w:t>
      </w:r>
      <w:proofErr w:type="spellStart"/>
      <w:r w:rsidRPr="006F225A">
        <w:rPr>
          <w:rFonts w:eastAsia="Times New Roman"/>
          <w:i/>
          <w:iCs/>
          <w:noProof w:val="0"/>
          <w:sz w:val="18"/>
          <w:szCs w:val="18"/>
        </w:rPr>
        <w:t>Emerg</w:t>
      </w:r>
      <w:proofErr w:type="spellEnd"/>
      <w:r w:rsidRPr="006F225A">
        <w:rPr>
          <w:rFonts w:eastAsia="Times New Roman"/>
          <w:i/>
          <w:iCs/>
          <w:noProof w:val="0"/>
          <w:sz w:val="18"/>
          <w:szCs w:val="18"/>
        </w:rPr>
        <w:t>. Care</w:t>
      </w:r>
      <w:r w:rsidRPr="006F225A">
        <w:rPr>
          <w:rFonts w:eastAsia="Times New Roman"/>
          <w:noProof w:val="0"/>
          <w:sz w:val="18"/>
          <w:szCs w:val="18"/>
        </w:rPr>
        <w:t xml:space="preserve"> </w:t>
      </w:r>
      <w:r w:rsidRPr="006F225A">
        <w:rPr>
          <w:rFonts w:eastAsia="Times New Roman"/>
          <w:b/>
          <w:bCs/>
          <w:noProof w:val="0"/>
          <w:sz w:val="18"/>
          <w:szCs w:val="18"/>
        </w:rPr>
        <w:t>2000</w:t>
      </w:r>
      <w:r w:rsidRPr="006F225A">
        <w:rPr>
          <w:rFonts w:eastAsia="Times New Roman"/>
          <w:noProof w:val="0"/>
          <w:sz w:val="18"/>
          <w:szCs w:val="18"/>
        </w:rPr>
        <w:t xml:space="preserve">, </w:t>
      </w:r>
      <w:r w:rsidRPr="006F225A">
        <w:rPr>
          <w:rFonts w:eastAsia="Times New Roman"/>
          <w:i/>
          <w:iCs/>
          <w:noProof w:val="0"/>
          <w:sz w:val="18"/>
          <w:szCs w:val="18"/>
        </w:rPr>
        <w:t>16</w:t>
      </w:r>
      <w:r w:rsidRPr="006F225A">
        <w:rPr>
          <w:rFonts w:eastAsia="Times New Roman"/>
          <w:noProof w:val="0"/>
          <w:sz w:val="18"/>
          <w:szCs w:val="18"/>
        </w:rPr>
        <w:t>, 335–338. https://doi.org/10.1097/00006565-200010000-00007.</w:t>
      </w:r>
    </w:p>
    <w:p w14:paraId="583E9ACF" w14:textId="77777777" w:rsidR="00EA3A1B" w:rsidRPr="006444FE" w:rsidRDefault="00EA3A1B" w:rsidP="00EA3A1B">
      <w:pPr>
        <w:pStyle w:val="MDPI63Notes"/>
      </w:pPr>
      <w:r w:rsidRPr="006F225A">
        <w:rPr>
          <w:b/>
        </w:rPr>
        <w:t>Disclaimer/Publisher’s Note:</w:t>
      </w:r>
      <w:r w:rsidRPr="006F225A">
        <w:t xml:space="preserve"> The statements, opinions and data contained in all publications are solely those of the individual author(s) and contributor(s) and not of MDPI and/or the editor(s). MDPI and/or the editor(s) disclaim responsibility for any injury to people or property resulting from any ideas, methods, </w:t>
      </w:r>
      <w:proofErr w:type="gramStart"/>
      <w:r w:rsidRPr="006F225A">
        <w:t>instructions</w:t>
      </w:r>
      <w:proofErr w:type="gramEnd"/>
      <w:r w:rsidRPr="006F225A">
        <w:t xml:space="preserve"> or products referred to in the content.</w:t>
      </w:r>
    </w:p>
    <w:p w14:paraId="7ABEBBE7" w14:textId="4A35D66A" w:rsidR="00F0425D" w:rsidRPr="0014066D" w:rsidRDefault="00F0425D" w:rsidP="00EA3A1B">
      <w:pPr>
        <w:pStyle w:val="MDPI21heading1"/>
        <w:ind w:left="0"/>
        <w:rPr>
          <w:lang w:val="en-GB"/>
        </w:rPr>
      </w:pPr>
    </w:p>
    <w:sectPr w:rsidR="00F0425D" w:rsidRPr="0014066D" w:rsidSect="00F0425D">
      <w:pgSz w:w="11906" w:h="16838" w:code="9"/>
      <w:pgMar w:top="1418" w:right="720" w:bottom="1077" w:left="720" w:header="1021" w:footer="340" w:gutter="0"/>
      <w:cols w:space="425"/>
      <w:bidi/>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8D3F30" w14:textId="77777777" w:rsidR="00FF108A" w:rsidRDefault="00FF108A">
      <w:pPr>
        <w:spacing w:line="240" w:lineRule="auto"/>
      </w:pPr>
      <w:r>
        <w:separator/>
      </w:r>
    </w:p>
  </w:endnote>
  <w:endnote w:type="continuationSeparator" w:id="0">
    <w:p w14:paraId="52574EE6" w14:textId="77777777" w:rsidR="00FF108A" w:rsidRDefault="00FF10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Cordia New">
    <w:panose1 w:val="020B0304020202020204"/>
    <w:charset w:val="DE"/>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Neue">
    <w:altName w:val="Sylfaen"/>
    <w:charset w:val="00"/>
    <w:family w:val="roman"/>
    <w:pitch w:val="default"/>
  </w:font>
  <w:font w:name="Arial Unicode MS">
    <w:altName w:val="Yu Gothic"/>
    <w:panose1 w:val="020B0604020202020204"/>
    <w:charset w:val="80"/>
    <w:family w:val="swiss"/>
    <w:pitch w:val="variable"/>
    <w:sig w:usb0="F7FFAFFF" w:usb1="E9DFFFFF" w:usb2="0000003F" w:usb3="00000000" w:csb0="003F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78BE5" w14:textId="77777777" w:rsidR="00753D37" w:rsidRPr="00591A13" w:rsidRDefault="00753D37" w:rsidP="00FA6861">
    <w:pPr>
      <w:pStyle w:val="Footer"/>
      <w:spacing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834FA" w14:textId="77777777" w:rsidR="00753D37" w:rsidRDefault="00753D37" w:rsidP="00901B12">
    <w:pPr>
      <w:pBdr>
        <w:top w:val="single" w:sz="4" w:space="0" w:color="000000"/>
      </w:pBdr>
      <w:tabs>
        <w:tab w:val="right" w:pos="8844"/>
      </w:tabs>
      <w:adjustRightInd w:val="0"/>
      <w:snapToGrid w:val="0"/>
      <w:spacing w:before="480" w:line="100" w:lineRule="exact"/>
      <w:jc w:val="left"/>
      <w:rPr>
        <w:i/>
        <w:sz w:val="16"/>
        <w:szCs w:val="16"/>
        <w:lang w:val="it-IT"/>
      </w:rPr>
    </w:pPr>
  </w:p>
  <w:p w14:paraId="10E54C91" w14:textId="4B9558CC" w:rsidR="00753D37" w:rsidRPr="00942AA3" w:rsidRDefault="00753D37" w:rsidP="00C801C8">
    <w:pPr>
      <w:tabs>
        <w:tab w:val="right" w:pos="10466"/>
      </w:tabs>
      <w:adjustRightInd w:val="0"/>
      <w:snapToGrid w:val="0"/>
      <w:spacing w:line="240" w:lineRule="auto"/>
      <w:rPr>
        <w:iCs/>
        <w:sz w:val="16"/>
        <w:szCs w:val="16"/>
        <w:lang w:val="fr-CH"/>
      </w:rPr>
    </w:pPr>
    <w:r w:rsidRPr="008762CF">
      <w:rPr>
        <w:i/>
        <w:sz w:val="16"/>
        <w:szCs w:val="16"/>
        <w:lang w:val="it-IT"/>
      </w:rPr>
      <w:t>Epidemiologia</w:t>
    </w:r>
    <w:r w:rsidRPr="007C7AD7">
      <w:rPr>
        <w:iCs/>
        <w:sz w:val="16"/>
        <w:szCs w:val="16"/>
        <w:lang w:val="it-IT"/>
      </w:rPr>
      <w:t xml:space="preserve"> </w:t>
    </w:r>
    <w:r>
      <w:rPr>
        <w:b/>
        <w:bCs/>
        <w:iCs/>
        <w:sz w:val="16"/>
        <w:szCs w:val="16"/>
        <w:lang w:val="it-IT"/>
      </w:rPr>
      <w:t>202</w:t>
    </w:r>
    <w:r w:rsidR="00070C6E">
      <w:rPr>
        <w:b/>
        <w:bCs/>
        <w:iCs/>
        <w:sz w:val="16"/>
        <w:szCs w:val="16"/>
        <w:lang w:val="it-IT"/>
      </w:rPr>
      <w:t>3</w:t>
    </w:r>
    <w:r w:rsidRPr="00812671">
      <w:rPr>
        <w:bCs/>
        <w:iCs/>
        <w:sz w:val="16"/>
        <w:szCs w:val="16"/>
        <w:lang w:val="it-IT"/>
      </w:rPr>
      <w:t>,</w:t>
    </w:r>
    <w:r>
      <w:rPr>
        <w:bCs/>
        <w:i/>
        <w:iCs/>
        <w:sz w:val="16"/>
        <w:szCs w:val="16"/>
        <w:lang w:val="it-IT"/>
      </w:rPr>
      <w:t xml:space="preserve"> </w:t>
    </w:r>
    <w:r w:rsidR="00070C6E">
      <w:rPr>
        <w:bCs/>
        <w:i/>
        <w:iCs/>
        <w:sz w:val="16"/>
        <w:szCs w:val="16"/>
        <w:lang w:val="it-IT"/>
      </w:rPr>
      <w:t>4</w:t>
    </w:r>
    <w:r w:rsidRPr="00812671">
      <w:rPr>
        <w:bCs/>
        <w:iCs/>
        <w:sz w:val="16"/>
        <w:szCs w:val="16"/>
        <w:lang w:val="it-IT"/>
      </w:rPr>
      <w:t xml:space="preserve">, </w:t>
    </w:r>
    <w:proofErr w:type="spellStart"/>
    <w:r>
      <w:rPr>
        <w:bCs/>
        <w:iCs/>
        <w:sz w:val="16"/>
        <w:szCs w:val="16"/>
      </w:rPr>
      <w:t>Firstpage</w:t>
    </w:r>
    <w:proofErr w:type="spellEnd"/>
    <w:r>
      <w:rPr>
        <w:bCs/>
        <w:iCs/>
        <w:sz w:val="16"/>
        <w:szCs w:val="16"/>
      </w:rPr>
      <w:t>–</w:t>
    </w:r>
    <w:proofErr w:type="spellStart"/>
    <w:r>
      <w:rPr>
        <w:bCs/>
        <w:iCs/>
        <w:sz w:val="16"/>
        <w:szCs w:val="16"/>
      </w:rPr>
      <w:t>Lastpage</w:t>
    </w:r>
    <w:proofErr w:type="spellEnd"/>
    <w:r>
      <w:rPr>
        <w:bCs/>
        <w:iCs/>
        <w:sz w:val="16"/>
        <w:szCs w:val="16"/>
      </w:rPr>
      <w:t>. https://doi.org/10.3390/xxxxx</w:t>
    </w:r>
    <w:bookmarkStart w:id="5" w:name="OLE_LINK3"/>
    <w:bookmarkStart w:id="6" w:name="OLE_LINK4"/>
    <w:bookmarkStart w:id="7" w:name="OLE_LINK5"/>
    <w:bookmarkStart w:id="8" w:name="OLE_LINK6"/>
    <w:r w:rsidRPr="00372FCD">
      <w:rPr>
        <w:sz w:val="16"/>
        <w:szCs w:val="16"/>
        <w:lang w:val="fr-CH"/>
      </w:rPr>
      <w:tab/>
      <w:t>www.mdpi.com/</w:t>
    </w:r>
    <w:r w:rsidRPr="00D236DF">
      <w:rPr>
        <w:sz w:val="16"/>
        <w:szCs w:val="16"/>
        <w:lang w:val="fr-CH"/>
      </w:rPr>
      <w:t>journal/</w:t>
    </w:r>
    <w:bookmarkEnd w:id="5"/>
    <w:bookmarkEnd w:id="6"/>
    <w:r w:rsidRPr="008762CF">
      <w:rPr>
        <w:iCs/>
        <w:sz w:val="16"/>
        <w:szCs w:val="16"/>
        <w:lang w:val="it-IT"/>
      </w:rPr>
      <w:t>epidemiologia</w:t>
    </w:r>
    <w:bookmarkEnd w:id="7"/>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46FFA7" w14:textId="77777777" w:rsidR="00FF108A" w:rsidRDefault="00FF108A">
      <w:pPr>
        <w:spacing w:line="240" w:lineRule="auto"/>
      </w:pPr>
      <w:r>
        <w:separator/>
      </w:r>
    </w:p>
  </w:footnote>
  <w:footnote w:type="continuationSeparator" w:id="0">
    <w:p w14:paraId="1623B864" w14:textId="77777777" w:rsidR="00FF108A" w:rsidRDefault="00FF108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D91A4" w14:textId="77777777" w:rsidR="00753D37" w:rsidRDefault="00753D37" w:rsidP="00FA6861">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3D557" w14:textId="04CC79FE" w:rsidR="00753D37" w:rsidRDefault="00753D37" w:rsidP="00C801C8">
    <w:pPr>
      <w:tabs>
        <w:tab w:val="right" w:pos="10466"/>
      </w:tabs>
      <w:adjustRightInd w:val="0"/>
      <w:snapToGrid w:val="0"/>
      <w:spacing w:line="240" w:lineRule="auto"/>
      <w:rPr>
        <w:sz w:val="16"/>
      </w:rPr>
    </w:pPr>
    <w:r w:rsidRPr="008762CF">
      <w:rPr>
        <w:i/>
        <w:sz w:val="16"/>
        <w:szCs w:val="16"/>
        <w:lang w:val="it-IT"/>
      </w:rPr>
      <w:t>Epidemiologia</w:t>
    </w:r>
    <w:r w:rsidRPr="007C7AD7">
      <w:rPr>
        <w:iCs/>
        <w:sz w:val="16"/>
        <w:szCs w:val="16"/>
        <w:lang w:val="it-IT"/>
      </w:rPr>
      <w:t xml:space="preserve"> </w:t>
    </w:r>
    <w:r>
      <w:rPr>
        <w:b/>
        <w:sz w:val="16"/>
      </w:rPr>
      <w:t>202</w:t>
    </w:r>
    <w:r w:rsidR="00070C6E">
      <w:rPr>
        <w:b/>
        <w:sz w:val="16"/>
      </w:rPr>
      <w:t>3</w:t>
    </w:r>
    <w:r w:rsidRPr="00812671">
      <w:rPr>
        <w:sz w:val="16"/>
      </w:rPr>
      <w:t>,</w:t>
    </w:r>
    <w:r>
      <w:rPr>
        <w:i/>
        <w:sz w:val="16"/>
      </w:rPr>
      <w:t xml:space="preserve"> </w:t>
    </w:r>
    <w:r w:rsidR="00070C6E">
      <w:rPr>
        <w:i/>
        <w:sz w:val="16"/>
      </w:rPr>
      <w:t>4</w:t>
    </w:r>
    <w:r>
      <w:rPr>
        <w:sz w:val="16"/>
      </w:rPr>
      <w:t>, FOR PEER REVIEW</w:t>
    </w:r>
    <w:r w:rsidR="00A57945">
      <w:rPr>
        <w:sz w:val="16"/>
      </w:rPr>
      <w:ptab w:relativeTo="margin" w:alignment="right" w:leader="none"/>
    </w:r>
    <w:r>
      <w:rPr>
        <w:sz w:val="16"/>
      </w:rPr>
      <w:fldChar w:fldCharType="begin"/>
    </w:r>
    <w:r>
      <w:rPr>
        <w:sz w:val="16"/>
      </w:rPr>
      <w:instrText xml:space="preserve"> PAGE   \* MERGEFORMAT </w:instrText>
    </w:r>
    <w:r>
      <w:rPr>
        <w:sz w:val="16"/>
      </w:rPr>
      <w:fldChar w:fldCharType="separate"/>
    </w:r>
    <w:r w:rsidR="00921A54">
      <w:rPr>
        <w:sz w:val="16"/>
      </w:rPr>
      <w:t>3</w:t>
    </w:r>
    <w:r>
      <w:rPr>
        <w:sz w:val="16"/>
      </w:rPr>
      <w:fldChar w:fldCharType="end"/>
    </w:r>
  </w:p>
  <w:p w14:paraId="76BC2978" w14:textId="77777777" w:rsidR="00753D37" w:rsidRPr="00E74B43" w:rsidRDefault="00753D37" w:rsidP="00901B12">
    <w:pPr>
      <w:pBdr>
        <w:bottom w:val="single" w:sz="4" w:space="1" w:color="000000"/>
      </w:pBdr>
      <w:tabs>
        <w:tab w:val="right" w:pos="8844"/>
      </w:tabs>
      <w:adjustRightInd w:val="0"/>
      <w:snapToGrid w:val="0"/>
      <w:spacing w:after="480" w:line="100" w:lineRule="exact"/>
      <w:jc w:val="left"/>
      <w:rPr>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87" w:type="dxa"/>
      <w:tblCellMar>
        <w:left w:w="0" w:type="dxa"/>
        <w:right w:w="0" w:type="dxa"/>
      </w:tblCellMar>
      <w:tblLook w:val="04A0" w:firstRow="1" w:lastRow="0" w:firstColumn="1" w:lastColumn="0" w:noHBand="0" w:noVBand="1"/>
    </w:tblPr>
    <w:tblGrid>
      <w:gridCol w:w="3679"/>
      <w:gridCol w:w="4535"/>
      <w:gridCol w:w="2273"/>
    </w:tblGrid>
    <w:tr w:rsidR="00753D37" w:rsidRPr="00C801C8" w14:paraId="2E425241" w14:textId="77777777" w:rsidTr="00265C7A">
      <w:trPr>
        <w:trHeight w:val="686"/>
      </w:trPr>
      <w:tc>
        <w:tcPr>
          <w:tcW w:w="3679" w:type="dxa"/>
          <w:shd w:val="clear" w:color="auto" w:fill="auto"/>
          <w:vAlign w:val="center"/>
        </w:tcPr>
        <w:p w14:paraId="513004B6" w14:textId="77777777" w:rsidR="00753D37" w:rsidRPr="00D50689" w:rsidRDefault="00753D37" w:rsidP="00C801C8">
          <w:pPr>
            <w:pStyle w:val="Header"/>
            <w:pBdr>
              <w:bottom w:val="none" w:sz="0" w:space="0" w:color="auto"/>
            </w:pBdr>
            <w:jc w:val="left"/>
            <w:rPr>
              <w:rFonts w:eastAsia="DengXian"/>
              <w:b/>
              <w:bCs/>
            </w:rPr>
          </w:pPr>
          <w:r w:rsidRPr="00D50689">
            <w:rPr>
              <w:rFonts w:eastAsia="DengXian"/>
              <w:b/>
              <w:bCs/>
              <w:noProof/>
              <w:lang w:val="pl-PL" w:eastAsia="pl-PL"/>
            </w:rPr>
            <w:drawing>
              <wp:inline distT="0" distB="0" distL="0" distR="0" wp14:anchorId="07BB0F5E" wp14:editId="2E494AC9">
                <wp:extent cx="1787525" cy="42926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87525" cy="429260"/>
                        </a:xfrm>
                        <a:prstGeom prst="rect">
                          <a:avLst/>
                        </a:prstGeom>
                        <a:noFill/>
                        <a:ln>
                          <a:noFill/>
                        </a:ln>
                      </pic:spPr>
                    </pic:pic>
                  </a:graphicData>
                </a:graphic>
              </wp:inline>
            </w:drawing>
          </w:r>
        </w:p>
      </w:tc>
      <w:tc>
        <w:tcPr>
          <w:tcW w:w="4535" w:type="dxa"/>
          <w:shd w:val="clear" w:color="auto" w:fill="auto"/>
          <w:vAlign w:val="center"/>
        </w:tcPr>
        <w:p w14:paraId="3A3194A2" w14:textId="77777777" w:rsidR="00753D37" w:rsidRPr="00D50689" w:rsidRDefault="00753D37" w:rsidP="00C801C8">
          <w:pPr>
            <w:pStyle w:val="Header"/>
            <w:pBdr>
              <w:bottom w:val="none" w:sz="0" w:space="0" w:color="auto"/>
            </w:pBdr>
            <w:rPr>
              <w:rFonts w:eastAsia="DengXian"/>
              <w:b/>
              <w:bCs/>
            </w:rPr>
          </w:pPr>
        </w:p>
      </w:tc>
      <w:tc>
        <w:tcPr>
          <w:tcW w:w="2273" w:type="dxa"/>
          <w:shd w:val="clear" w:color="auto" w:fill="auto"/>
          <w:vAlign w:val="center"/>
        </w:tcPr>
        <w:p w14:paraId="1B1FCE84" w14:textId="77777777" w:rsidR="00753D37" w:rsidRPr="00D50689" w:rsidRDefault="00753D37" w:rsidP="00265C7A">
          <w:pPr>
            <w:pStyle w:val="Header"/>
            <w:pBdr>
              <w:bottom w:val="none" w:sz="0" w:space="0" w:color="auto"/>
            </w:pBdr>
            <w:jc w:val="right"/>
            <w:rPr>
              <w:rFonts w:eastAsia="DengXian"/>
              <w:b/>
              <w:bCs/>
            </w:rPr>
          </w:pPr>
          <w:r>
            <w:rPr>
              <w:rFonts w:eastAsia="DengXian"/>
              <w:b/>
              <w:bCs/>
              <w:noProof/>
              <w:lang w:val="pl-PL" w:eastAsia="pl-PL"/>
            </w:rPr>
            <w:drawing>
              <wp:inline distT="0" distB="0" distL="0" distR="0" wp14:anchorId="4CC6DF5B" wp14:editId="047373D7">
                <wp:extent cx="540000" cy="360000"/>
                <wp:effectExtent l="0" t="0" r="0" b="2540"/>
                <wp:docPr id="9" name="Picture 9"/>
                <wp:cNvGraphicFramePr/>
                <a:graphic xmlns:a="http://schemas.openxmlformats.org/drawingml/2006/main">
                  <a:graphicData uri="http://schemas.openxmlformats.org/drawingml/2006/picture">
                    <pic:pic xmlns:pic="http://schemas.openxmlformats.org/drawingml/2006/picture">
                      <pic:nvPicPr>
                        <pic:cNvPr id="7" name=""/>
                        <pic:cNvPicPr/>
                      </pic:nvPicPr>
                      <pic:blipFill>
                        <a:blip r:embed="rId2">
                          <a:extLst>
                            <a:ext uri="{28A0092B-C50C-407E-A947-70E740481C1C}">
                              <a14:useLocalDpi xmlns:a14="http://schemas.microsoft.com/office/drawing/2010/main" val="0"/>
                            </a:ext>
                          </a:extLst>
                        </a:blip>
                        <a:stretch>
                          <a:fillRect/>
                        </a:stretch>
                      </pic:blipFill>
                      <pic:spPr>
                        <a:xfrm>
                          <a:off x="0" y="0"/>
                          <a:ext cx="540000" cy="360000"/>
                        </a:xfrm>
                        <a:prstGeom prst="rect">
                          <a:avLst/>
                        </a:prstGeom>
                      </pic:spPr>
                    </pic:pic>
                  </a:graphicData>
                </a:graphic>
              </wp:inline>
            </w:drawing>
          </w:r>
        </w:p>
      </w:tc>
    </w:tr>
  </w:tbl>
  <w:p w14:paraId="415A5936" w14:textId="77777777" w:rsidR="00753D37" w:rsidRPr="00890316" w:rsidRDefault="00753D37" w:rsidP="00901B12">
    <w:pPr>
      <w:pBdr>
        <w:bottom w:val="single" w:sz="4" w:space="1" w:color="000000"/>
      </w:pBdr>
      <w:adjustRightInd w:val="0"/>
      <w:snapToGrid w:val="0"/>
      <w:spacing w:line="100" w:lineRule="exact"/>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F6105"/>
    <w:multiLevelType w:val="hybridMultilevel"/>
    <w:tmpl w:val="606A1EA8"/>
    <w:lvl w:ilvl="0" w:tplc="257EDA70">
      <w:start w:val="1"/>
      <w:numFmt w:val="decimal"/>
      <w:lvlRestart w:val="0"/>
      <w:pStyle w:val="MDPI71FootNotes"/>
      <w:lvlText w:val="%1."/>
      <w:lvlJc w:val="left"/>
      <w:pPr>
        <w:ind w:left="425" w:hanging="425"/>
      </w:pPr>
      <w:rPr>
        <w:rFonts w:hint="default"/>
        <w:b w:val="0"/>
        <w:i w:val="0"/>
        <w:sz w:val="18"/>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7646F7"/>
    <w:multiLevelType w:val="hybridMultilevel"/>
    <w:tmpl w:val="8CCCD4F8"/>
    <w:lvl w:ilvl="0" w:tplc="10B40CA6">
      <w:start w:val="1"/>
      <w:numFmt w:val="decimal"/>
      <w:lvlText w:val="%1."/>
      <w:lvlJc w:val="left"/>
      <w:pPr>
        <w:ind w:left="501" w:hanging="360"/>
      </w:pPr>
      <w:rPr>
        <w:b w:val="0"/>
        <w:i w:val="0"/>
        <w:sz w:val="18"/>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8B468F5"/>
    <w:multiLevelType w:val="hybridMultilevel"/>
    <w:tmpl w:val="7BE0A7F2"/>
    <w:lvl w:ilvl="0" w:tplc="8684E2D0">
      <w:start w:val="1"/>
      <w:numFmt w:val="decimal"/>
      <w:lvlRestart w:val="0"/>
      <w:pStyle w:val="MDPI71References"/>
      <w:lvlText w:val="%1."/>
      <w:lvlJc w:val="left"/>
      <w:pPr>
        <w:ind w:left="425" w:hanging="425"/>
      </w:pPr>
      <w:rPr>
        <w:b w:val="0"/>
        <w:i w:val="0"/>
        <w:sz w:val="18"/>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F42E33"/>
    <w:multiLevelType w:val="hybridMultilevel"/>
    <w:tmpl w:val="7994A874"/>
    <w:lvl w:ilvl="0" w:tplc="859080B8">
      <w:start w:val="1"/>
      <w:numFmt w:val="decimal"/>
      <w:lvlRestart w:val="0"/>
      <w:lvlText w:val="%1."/>
      <w:lvlJc w:val="left"/>
      <w:pPr>
        <w:ind w:left="425" w:hanging="425"/>
      </w:pPr>
      <w:rPr>
        <w:b w:val="0"/>
        <w:i w:val="0"/>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0C6F5D"/>
    <w:multiLevelType w:val="hybridMultilevel"/>
    <w:tmpl w:val="90325CC8"/>
    <w:lvl w:ilvl="0" w:tplc="A3568C8E">
      <w:start w:val="1"/>
      <w:numFmt w:val="bullet"/>
      <w:lvlRestart w:val="0"/>
      <w:pStyle w:val="MDPI38bullet"/>
      <w:lvlText w:val=""/>
      <w:lvlJc w:val="left"/>
      <w:pPr>
        <w:ind w:left="3033" w:hanging="425"/>
      </w:pPr>
      <w:rPr>
        <w:rFonts w:ascii="Symbol" w:hAnsi="Symbol" w:hint="default"/>
        <w:b w:val="0"/>
        <w:i w:val="0"/>
        <w:sz w:val="20"/>
        <w:vertAlign w:val="baseline"/>
      </w:rPr>
    </w:lvl>
    <w:lvl w:ilvl="1" w:tplc="04090003" w:tentative="1">
      <w:start w:val="1"/>
      <w:numFmt w:val="bullet"/>
      <w:lvlText w:val="o"/>
      <w:lvlJc w:val="left"/>
      <w:pPr>
        <w:ind w:left="4048" w:hanging="360"/>
      </w:pPr>
      <w:rPr>
        <w:rFonts w:ascii="Courier New" w:hAnsi="Courier New" w:cs="Courier New" w:hint="default"/>
      </w:rPr>
    </w:lvl>
    <w:lvl w:ilvl="2" w:tplc="04090005" w:tentative="1">
      <w:start w:val="1"/>
      <w:numFmt w:val="bullet"/>
      <w:lvlText w:val=""/>
      <w:lvlJc w:val="left"/>
      <w:pPr>
        <w:ind w:left="4768" w:hanging="360"/>
      </w:pPr>
      <w:rPr>
        <w:rFonts w:ascii="Wingdings" w:hAnsi="Wingdings" w:hint="default"/>
      </w:rPr>
    </w:lvl>
    <w:lvl w:ilvl="3" w:tplc="04090001" w:tentative="1">
      <w:start w:val="1"/>
      <w:numFmt w:val="bullet"/>
      <w:lvlText w:val=""/>
      <w:lvlJc w:val="left"/>
      <w:pPr>
        <w:ind w:left="5488" w:hanging="360"/>
      </w:pPr>
      <w:rPr>
        <w:rFonts w:ascii="Symbol" w:hAnsi="Symbol" w:hint="default"/>
      </w:rPr>
    </w:lvl>
    <w:lvl w:ilvl="4" w:tplc="04090003" w:tentative="1">
      <w:start w:val="1"/>
      <w:numFmt w:val="bullet"/>
      <w:lvlText w:val="o"/>
      <w:lvlJc w:val="left"/>
      <w:pPr>
        <w:ind w:left="6208" w:hanging="360"/>
      </w:pPr>
      <w:rPr>
        <w:rFonts w:ascii="Courier New" w:hAnsi="Courier New" w:cs="Courier New" w:hint="default"/>
      </w:rPr>
    </w:lvl>
    <w:lvl w:ilvl="5" w:tplc="04090005" w:tentative="1">
      <w:start w:val="1"/>
      <w:numFmt w:val="bullet"/>
      <w:lvlText w:val=""/>
      <w:lvlJc w:val="left"/>
      <w:pPr>
        <w:ind w:left="6928" w:hanging="360"/>
      </w:pPr>
      <w:rPr>
        <w:rFonts w:ascii="Wingdings" w:hAnsi="Wingdings" w:hint="default"/>
      </w:rPr>
    </w:lvl>
    <w:lvl w:ilvl="6" w:tplc="04090001" w:tentative="1">
      <w:start w:val="1"/>
      <w:numFmt w:val="bullet"/>
      <w:lvlText w:val=""/>
      <w:lvlJc w:val="left"/>
      <w:pPr>
        <w:ind w:left="7648" w:hanging="360"/>
      </w:pPr>
      <w:rPr>
        <w:rFonts w:ascii="Symbol" w:hAnsi="Symbol" w:hint="default"/>
      </w:rPr>
    </w:lvl>
    <w:lvl w:ilvl="7" w:tplc="04090003" w:tentative="1">
      <w:start w:val="1"/>
      <w:numFmt w:val="bullet"/>
      <w:lvlText w:val="o"/>
      <w:lvlJc w:val="left"/>
      <w:pPr>
        <w:ind w:left="8368" w:hanging="360"/>
      </w:pPr>
      <w:rPr>
        <w:rFonts w:ascii="Courier New" w:hAnsi="Courier New" w:cs="Courier New" w:hint="default"/>
      </w:rPr>
    </w:lvl>
    <w:lvl w:ilvl="8" w:tplc="04090005" w:tentative="1">
      <w:start w:val="1"/>
      <w:numFmt w:val="bullet"/>
      <w:lvlText w:val=""/>
      <w:lvlJc w:val="left"/>
      <w:pPr>
        <w:ind w:left="9088" w:hanging="360"/>
      </w:pPr>
      <w:rPr>
        <w:rFonts w:ascii="Wingdings" w:hAnsi="Wingdings" w:hint="default"/>
      </w:rPr>
    </w:lvl>
  </w:abstractNum>
  <w:abstractNum w:abstractNumId="5" w15:restartNumberingAfterBreak="0">
    <w:nsid w:val="250A245F"/>
    <w:multiLevelType w:val="hybridMultilevel"/>
    <w:tmpl w:val="29E20A30"/>
    <w:lvl w:ilvl="0" w:tplc="1AF444CE">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805051C"/>
    <w:multiLevelType w:val="hybridMultilevel"/>
    <w:tmpl w:val="D6480D34"/>
    <w:lvl w:ilvl="0" w:tplc="CDCEE7DA">
      <w:start w:val="1"/>
      <w:numFmt w:val="decimal"/>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7" w15:restartNumberingAfterBreak="0">
    <w:nsid w:val="282E1BA0"/>
    <w:multiLevelType w:val="hybridMultilevel"/>
    <w:tmpl w:val="EF3C6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69A6535"/>
    <w:multiLevelType w:val="hybridMultilevel"/>
    <w:tmpl w:val="3CB68362"/>
    <w:lvl w:ilvl="0" w:tplc="B2367048">
      <w:start w:val="1"/>
      <w:numFmt w:val="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9" w15:restartNumberingAfterBreak="0">
    <w:nsid w:val="512F3B71"/>
    <w:multiLevelType w:val="hybridMultilevel"/>
    <w:tmpl w:val="02E8DBEC"/>
    <w:lvl w:ilvl="0" w:tplc="77461794">
      <w:start w:val="1"/>
      <w:numFmt w:val="decimal"/>
      <w:lvlRestart w:val="0"/>
      <w:lvlText w:val="%1."/>
      <w:lvlJc w:val="left"/>
      <w:pPr>
        <w:ind w:left="3033" w:hanging="425"/>
      </w:pPr>
      <w:rPr>
        <w:b w:val="0"/>
        <w:i w:val="0"/>
        <w:sz w:val="20"/>
        <w:vertAlign w:val="baseline"/>
      </w:rPr>
    </w:lvl>
    <w:lvl w:ilvl="1" w:tplc="04090019" w:tentative="1">
      <w:start w:val="1"/>
      <w:numFmt w:val="lowerLetter"/>
      <w:lvlText w:val="%2."/>
      <w:lvlJc w:val="left"/>
      <w:pPr>
        <w:ind w:left="4048" w:hanging="360"/>
      </w:pPr>
    </w:lvl>
    <w:lvl w:ilvl="2" w:tplc="0409001B" w:tentative="1">
      <w:start w:val="1"/>
      <w:numFmt w:val="lowerRoman"/>
      <w:lvlText w:val="%3."/>
      <w:lvlJc w:val="right"/>
      <w:pPr>
        <w:ind w:left="4768" w:hanging="180"/>
      </w:pPr>
    </w:lvl>
    <w:lvl w:ilvl="3" w:tplc="0409000F" w:tentative="1">
      <w:start w:val="1"/>
      <w:numFmt w:val="decimal"/>
      <w:lvlText w:val="%4."/>
      <w:lvlJc w:val="left"/>
      <w:pPr>
        <w:ind w:left="5488" w:hanging="360"/>
      </w:pPr>
    </w:lvl>
    <w:lvl w:ilvl="4" w:tplc="04090019" w:tentative="1">
      <w:start w:val="1"/>
      <w:numFmt w:val="lowerLetter"/>
      <w:lvlText w:val="%5."/>
      <w:lvlJc w:val="left"/>
      <w:pPr>
        <w:ind w:left="6208" w:hanging="360"/>
      </w:pPr>
    </w:lvl>
    <w:lvl w:ilvl="5" w:tplc="0409001B" w:tentative="1">
      <w:start w:val="1"/>
      <w:numFmt w:val="lowerRoman"/>
      <w:lvlText w:val="%6."/>
      <w:lvlJc w:val="right"/>
      <w:pPr>
        <w:ind w:left="6928" w:hanging="180"/>
      </w:pPr>
    </w:lvl>
    <w:lvl w:ilvl="6" w:tplc="0409000F" w:tentative="1">
      <w:start w:val="1"/>
      <w:numFmt w:val="decimal"/>
      <w:lvlText w:val="%7."/>
      <w:lvlJc w:val="left"/>
      <w:pPr>
        <w:ind w:left="7648" w:hanging="360"/>
      </w:pPr>
    </w:lvl>
    <w:lvl w:ilvl="7" w:tplc="04090019" w:tentative="1">
      <w:start w:val="1"/>
      <w:numFmt w:val="lowerLetter"/>
      <w:lvlText w:val="%8."/>
      <w:lvlJc w:val="left"/>
      <w:pPr>
        <w:ind w:left="8368" w:hanging="360"/>
      </w:pPr>
    </w:lvl>
    <w:lvl w:ilvl="8" w:tplc="0409001B" w:tentative="1">
      <w:start w:val="1"/>
      <w:numFmt w:val="lowerRoman"/>
      <w:lvlText w:val="%9."/>
      <w:lvlJc w:val="right"/>
      <w:pPr>
        <w:ind w:left="9088" w:hanging="180"/>
      </w:pPr>
    </w:lvl>
  </w:abstractNum>
  <w:abstractNum w:abstractNumId="10" w15:restartNumberingAfterBreak="0">
    <w:nsid w:val="52E2771B"/>
    <w:multiLevelType w:val="hybridMultilevel"/>
    <w:tmpl w:val="A2A06AAC"/>
    <w:lvl w:ilvl="0" w:tplc="C788203A">
      <w:start w:val="1"/>
      <w:numFmt w:val="decimal"/>
      <w:lvlRestart w:val="0"/>
      <w:lvlText w:val="%1"/>
      <w:lvlJc w:val="left"/>
      <w:pPr>
        <w:ind w:left="425" w:hanging="425"/>
      </w:pPr>
      <w:rPr>
        <w:rFonts w:hint="eastAsia"/>
        <w:caps w:val="0"/>
        <w:strike w:val="0"/>
        <w:dstrike w:val="0"/>
        <w:vanish w:val="0"/>
        <w:sz w:val="18"/>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4075B53"/>
    <w:multiLevelType w:val="hybridMultilevel"/>
    <w:tmpl w:val="162CE604"/>
    <w:lvl w:ilvl="0" w:tplc="F50435A4">
      <w:start w:val="1"/>
      <w:numFmt w:val="decimal"/>
      <w:lvlRestart w:val="0"/>
      <w:pStyle w:val="MDPI37itemize"/>
      <w:lvlText w:val="%1."/>
      <w:lvlJc w:val="left"/>
      <w:pPr>
        <w:ind w:left="3033" w:hanging="425"/>
      </w:pPr>
      <w:rPr>
        <w:b w:val="0"/>
        <w:i w:val="0"/>
        <w:sz w:val="20"/>
        <w:vertAlign w:val="baseline"/>
      </w:rPr>
    </w:lvl>
    <w:lvl w:ilvl="1" w:tplc="04090019" w:tentative="1">
      <w:start w:val="1"/>
      <w:numFmt w:val="lowerLetter"/>
      <w:lvlText w:val="%2."/>
      <w:lvlJc w:val="left"/>
      <w:pPr>
        <w:ind w:left="3691" w:hanging="360"/>
      </w:pPr>
    </w:lvl>
    <w:lvl w:ilvl="2" w:tplc="0409001B" w:tentative="1">
      <w:start w:val="1"/>
      <w:numFmt w:val="lowerRoman"/>
      <w:lvlText w:val="%3."/>
      <w:lvlJc w:val="right"/>
      <w:pPr>
        <w:ind w:left="4411" w:hanging="180"/>
      </w:pPr>
    </w:lvl>
    <w:lvl w:ilvl="3" w:tplc="0409000F" w:tentative="1">
      <w:start w:val="1"/>
      <w:numFmt w:val="decimal"/>
      <w:lvlText w:val="%4."/>
      <w:lvlJc w:val="left"/>
      <w:pPr>
        <w:ind w:left="5131" w:hanging="360"/>
      </w:pPr>
    </w:lvl>
    <w:lvl w:ilvl="4" w:tplc="04090019" w:tentative="1">
      <w:start w:val="1"/>
      <w:numFmt w:val="lowerLetter"/>
      <w:lvlText w:val="%5."/>
      <w:lvlJc w:val="left"/>
      <w:pPr>
        <w:ind w:left="5851" w:hanging="360"/>
      </w:pPr>
    </w:lvl>
    <w:lvl w:ilvl="5" w:tplc="0409001B" w:tentative="1">
      <w:start w:val="1"/>
      <w:numFmt w:val="lowerRoman"/>
      <w:lvlText w:val="%6."/>
      <w:lvlJc w:val="right"/>
      <w:pPr>
        <w:ind w:left="6571" w:hanging="180"/>
      </w:pPr>
    </w:lvl>
    <w:lvl w:ilvl="6" w:tplc="0409000F" w:tentative="1">
      <w:start w:val="1"/>
      <w:numFmt w:val="decimal"/>
      <w:lvlText w:val="%7."/>
      <w:lvlJc w:val="left"/>
      <w:pPr>
        <w:ind w:left="7291" w:hanging="360"/>
      </w:pPr>
    </w:lvl>
    <w:lvl w:ilvl="7" w:tplc="04090019" w:tentative="1">
      <w:start w:val="1"/>
      <w:numFmt w:val="lowerLetter"/>
      <w:lvlText w:val="%8."/>
      <w:lvlJc w:val="left"/>
      <w:pPr>
        <w:ind w:left="8011" w:hanging="360"/>
      </w:pPr>
    </w:lvl>
    <w:lvl w:ilvl="8" w:tplc="0409001B" w:tentative="1">
      <w:start w:val="1"/>
      <w:numFmt w:val="lowerRoman"/>
      <w:lvlText w:val="%9."/>
      <w:lvlJc w:val="right"/>
      <w:pPr>
        <w:ind w:left="8731" w:hanging="180"/>
      </w:pPr>
    </w:lvl>
  </w:abstractNum>
  <w:abstractNum w:abstractNumId="12" w15:restartNumberingAfterBreak="0">
    <w:nsid w:val="581D0CA7"/>
    <w:multiLevelType w:val="hybridMultilevel"/>
    <w:tmpl w:val="79D20FFA"/>
    <w:lvl w:ilvl="0" w:tplc="0C8CB1C6">
      <w:start w:val="1"/>
      <w:numFmt w:val="decimal"/>
      <w:lvlRestart w:val="0"/>
      <w:lvlText w:val="%1."/>
      <w:lvlJc w:val="left"/>
      <w:pPr>
        <w:ind w:left="425" w:hanging="425"/>
      </w:pPr>
      <w:rPr>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06D5736"/>
    <w:multiLevelType w:val="hybridMultilevel"/>
    <w:tmpl w:val="7E201858"/>
    <w:lvl w:ilvl="0" w:tplc="7736F520">
      <w:start w:val="1"/>
      <w:numFmt w:val="decimal"/>
      <w:lvlRestart w:val="0"/>
      <w:lvlText w:val="%1."/>
      <w:lvlJc w:val="left"/>
      <w:pPr>
        <w:ind w:left="425" w:hanging="425"/>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8526684">
    <w:abstractNumId w:val="6"/>
  </w:num>
  <w:num w:numId="2" w16cid:durableId="1728794963">
    <w:abstractNumId w:val="8"/>
  </w:num>
  <w:num w:numId="3" w16cid:durableId="477693349">
    <w:abstractNumId w:val="5"/>
  </w:num>
  <w:num w:numId="4" w16cid:durableId="119642918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66895830">
    <w:abstractNumId w:val="7"/>
  </w:num>
  <w:num w:numId="6" w16cid:durableId="11302303">
    <w:abstractNumId w:val="11"/>
  </w:num>
  <w:num w:numId="7" w16cid:durableId="1612663472">
    <w:abstractNumId w:val="4"/>
  </w:num>
  <w:num w:numId="8" w16cid:durableId="536283306">
    <w:abstractNumId w:val="11"/>
  </w:num>
  <w:num w:numId="9" w16cid:durableId="497423910">
    <w:abstractNumId w:val="4"/>
  </w:num>
  <w:num w:numId="10" w16cid:durableId="196742124">
    <w:abstractNumId w:val="11"/>
  </w:num>
  <w:num w:numId="11" w16cid:durableId="1487042415">
    <w:abstractNumId w:val="4"/>
  </w:num>
  <w:num w:numId="12" w16cid:durableId="1804469433">
    <w:abstractNumId w:val="13"/>
  </w:num>
  <w:num w:numId="13" w16cid:durableId="1251699713">
    <w:abstractNumId w:val="11"/>
  </w:num>
  <w:num w:numId="14" w16cid:durableId="138353805">
    <w:abstractNumId w:val="4"/>
  </w:num>
  <w:num w:numId="15" w16cid:durableId="922955749">
    <w:abstractNumId w:val="2"/>
  </w:num>
  <w:num w:numId="16" w16cid:durableId="1308440229">
    <w:abstractNumId w:val="10"/>
  </w:num>
  <w:num w:numId="17" w16cid:durableId="1445033764">
    <w:abstractNumId w:val="2"/>
  </w:num>
  <w:num w:numId="18" w16cid:durableId="1941183821">
    <w:abstractNumId w:val="11"/>
  </w:num>
  <w:num w:numId="19" w16cid:durableId="1625037424">
    <w:abstractNumId w:val="4"/>
  </w:num>
  <w:num w:numId="20" w16cid:durableId="1670601687">
    <w:abstractNumId w:val="2"/>
  </w:num>
  <w:num w:numId="21" w16cid:durableId="672337720">
    <w:abstractNumId w:val="12"/>
  </w:num>
  <w:num w:numId="22" w16cid:durableId="1686126419">
    <w:abstractNumId w:val="9"/>
  </w:num>
  <w:num w:numId="23" w16cid:durableId="2006469978">
    <w:abstractNumId w:val="3"/>
  </w:num>
  <w:num w:numId="24" w16cid:durableId="1085028506">
    <w:abstractNumId w:val="11"/>
  </w:num>
  <w:num w:numId="25" w16cid:durableId="1667399665">
    <w:abstractNumId w:val="4"/>
  </w:num>
  <w:num w:numId="26" w16cid:durableId="832136597">
    <w:abstractNumId w:val="0"/>
  </w:num>
  <w:num w:numId="27" w16cid:durableId="1425766260">
    <w:abstractNumId w:val="2"/>
  </w:num>
  <w:num w:numId="28" w16cid:durableId="355814629">
    <w:abstractNumId w:val="0"/>
  </w:num>
  <w:num w:numId="29" w16cid:durableId="588733929">
    <w:abstractNumId w:val="11"/>
  </w:num>
  <w:num w:numId="30" w16cid:durableId="955647087">
    <w:abstractNumId w:val="4"/>
  </w:num>
  <w:num w:numId="31" w16cid:durableId="1106775367">
    <w:abstractNumId w:val="0"/>
  </w:num>
  <w:num w:numId="32" w16cid:durableId="2114281915">
    <w:abstractNumId w:val="2"/>
  </w:num>
  <w:num w:numId="33" w16cid:durableId="2061008668">
    <w:abstractNumId w:val="0"/>
  </w:num>
  <w:num w:numId="34" w16cid:durableId="1704623921">
    <w:abstractNumId w:val="11"/>
  </w:num>
  <w:num w:numId="35" w16cid:durableId="1545293417">
    <w:abstractNumId w:val="4"/>
  </w:num>
  <w:num w:numId="36" w16cid:durableId="1409040667">
    <w:abstractNumId w:val="0"/>
  </w:num>
  <w:num w:numId="37" w16cid:durableId="684088426">
    <w:abstractNumId w:val="2"/>
  </w:num>
  <w:num w:numId="38" w16cid:durableId="836506620">
    <w:abstractNumId w:val="0"/>
  </w:num>
  <w:num w:numId="39" w16cid:durableId="5257979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510"/>
  <w:autoHyphenation/>
  <w:hyphenationZone w:val="425"/>
  <w:drawingGridHorizontalSpacing w:val="100"/>
  <w:drawingGridVerticalSpacing w:val="163"/>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41B0"/>
    <w:rsid w:val="000075B7"/>
    <w:rsid w:val="00012B76"/>
    <w:rsid w:val="0001792A"/>
    <w:rsid w:val="00050552"/>
    <w:rsid w:val="00054E4B"/>
    <w:rsid w:val="00056D71"/>
    <w:rsid w:val="00070C6E"/>
    <w:rsid w:val="00072471"/>
    <w:rsid w:val="000729BE"/>
    <w:rsid w:val="0007334C"/>
    <w:rsid w:val="000813C0"/>
    <w:rsid w:val="000841B0"/>
    <w:rsid w:val="000860D8"/>
    <w:rsid w:val="000863C2"/>
    <w:rsid w:val="000869D8"/>
    <w:rsid w:val="000B4706"/>
    <w:rsid w:val="000B7859"/>
    <w:rsid w:val="000C076D"/>
    <w:rsid w:val="000C72D3"/>
    <w:rsid w:val="000D6A6D"/>
    <w:rsid w:val="000E7BB4"/>
    <w:rsid w:val="000F63BC"/>
    <w:rsid w:val="001060FE"/>
    <w:rsid w:val="0010747B"/>
    <w:rsid w:val="00111CC0"/>
    <w:rsid w:val="00115B3A"/>
    <w:rsid w:val="00120E5A"/>
    <w:rsid w:val="0013448B"/>
    <w:rsid w:val="0014066D"/>
    <w:rsid w:val="00141A32"/>
    <w:rsid w:val="00156EA5"/>
    <w:rsid w:val="00157E7C"/>
    <w:rsid w:val="00183497"/>
    <w:rsid w:val="001838B0"/>
    <w:rsid w:val="001845F2"/>
    <w:rsid w:val="00185FDF"/>
    <w:rsid w:val="001A0414"/>
    <w:rsid w:val="001A13AA"/>
    <w:rsid w:val="001A2968"/>
    <w:rsid w:val="001A6EEB"/>
    <w:rsid w:val="001A7897"/>
    <w:rsid w:val="001D00F2"/>
    <w:rsid w:val="001D02C7"/>
    <w:rsid w:val="001E2AEB"/>
    <w:rsid w:val="001F07E0"/>
    <w:rsid w:val="00207EA1"/>
    <w:rsid w:val="002112FC"/>
    <w:rsid w:val="002174E0"/>
    <w:rsid w:val="00226D10"/>
    <w:rsid w:val="00226D97"/>
    <w:rsid w:val="00253922"/>
    <w:rsid w:val="00265C7A"/>
    <w:rsid w:val="002714CD"/>
    <w:rsid w:val="0028034D"/>
    <w:rsid w:val="00280C0A"/>
    <w:rsid w:val="00282A3D"/>
    <w:rsid w:val="00284A7D"/>
    <w:rsid w:val="00286E14"/>
    <w:rsid w:val="002905B3"/>
    <w:rsid w:val="00290DFC"/>
    <w:rsid w:val="002A02EC"/>
    <w:rsid w:val="002A4156"/>
    <w:rsid w:val="002A46B5"/>
    <w:rsid w:val="002A7E0A"/>
    <w:rsid w:val="002B48B6"/>
    <w:rsid w:val="002C75D6"/>
    <w:rsid w:val="002D1B2E"/>
    <w:rsid w:val="002D1B8F"/>
    <w:rsid w:val="002D2AF6"/>
    <w:rsid w:val="002D3F46"/>
    <w:rsid w:val="002D6F4E"/>
    <w:rsid w:val="002F7493"/>
    <w:rsid w:val="00307EE0"/>
    <w:rsid w:val="00310C53"/>
    <w:rsid w:val="00321CC8"/>
    <w:rsid w:val="003221F8"/>
    <w:rsid w:val="00322582"/>
    <w:rsid w:val="00326141"/>
    <w:rsid w:val="003321C4"/>
    <w:rsid w:val="00333CC7"/>
    <w:rsid w:val="0034123F"/>
    <w:rsid w:val="003612E5"/>
    <w:rsid w:val="003629BD"/>
    <w:rsid w:val="0037267B"/>
    <w:rsid w:val="00383494"/>
    <w:rsid w:val="00390017"/>
    <w:rsid w:val="003903DC"/>
    <w:rsid w:val="003A7A86"/>
    <w:rsid w:val="003B1A90"/>
    <w:rsid w:val="003D3AEC"/>
    <w:rsid w:val="003D66FF"/>
    <w:rsid w:val="003E254B"/>
    <w:rsid w:val="003E28F6"/>
    <w:rsid w:val="003E67C2"/>
    <w:rsid w:val="003F35CA"/>
    <w:rsid w:val="003F4DA0"/>
    <w:rsid w:val="00401D30"/>
    <w:rsid w:val="00410CE8"/>
    <w:rsid w:val="00417BF5"/>
    <w:rsid w:val="00427D5E"/>
    <w:rsid w:val="00434694"/>
    <w:rsid w:val="00434B77"/>
    <w:rsid w:val="00445594"/>
    <w:rsid w:val="00470067"/>
    <w:rsid w:val="00477A1D"/>
    <w:rsid w:val="004C41FA"/>
    <w:rsid w:val="004C4815"/>
    <w:rsid w:val="004E0711"/>
    <w:rsid w:val="004E4638"/>
    <w:rsid w:val="0050555A"/>
    <w:rsid w:val="00505893"/>
    <w:rsid w:val="005103EF"/>
    <w:rsid w:val="005219F3"/>
    <w:rsid w:val="0052254D"/>
    <w:rsid w:val="00527D9C"/>
    <w:rsid w:val="00531B97"/>
    <w:rsid w:val="005340D6"/>
    <w:rsid w:val="00534C73"/>
    <w:rsid w:val="00534E89"/>
    <w:rsid w:val="005474FE"/>
    <w:rsid w:val="0056360D"/>
    <w:rsid w:val="00567500"/>
    <w:rsid w:val="00571609"/>
    <w:rsid w:val="00576FD6"/>
    <w:rsid w:val="005869E5"/>
    <w:rsid w:val="005A5FAD"/>
    <w:rsid w:val="005B532C"/>
    <w:rsid w:val="005B6F80"/>
    <w:rsid w:val="005E2779"/>
    <w:rsid w:val="005E416A"/>
    <w:rsid w:val="005E4CC7"/>
    <w:rsid w:val="005E61B2"/>
    <w:rsid w:val="005E6AAE"/>
    <w:rsid w:val="005F4355"/>
    <w:rsid w:val="00605026"/>
    <w:rsid w:val="0060539F"/>
    <w:rsid w:val="006138F9"/>
    <w:rsid w:val="00626714"/>
    <w:rsid w:val="006316F7"/>
    <w:rsid w:val="006449F0"/>
    <w:rsid w:val="006475E2"/>
    <w:rsid w:val="00647BC3"/>
    <w:rsid w:val="006536CA"/>
    <w:rsid w:val="00660673"/>
    <w:rsid w:val="00667FAD"/>
    <w:rsid w:val="006702E5"/>
    <w:rsid w:val="00687A78"/>
    <w:rsid w:val="00692393"/>
    <w:rsid w:val="006A6CEC"/>
    <w:rsid w:val="006A6E60"/>
    <w:rsid w:val="006B54A4"/>
    <w:rsid w:val="006C57E2"/>
    <w:rsid w:val="006D5AB2"/>
    <w:rsid w:val="006D7E71"/>
    <w:rsid w:val="006E154D"/>
    <w:rsid w:val="006E3B47"/>
    <w:rsid w:val="006F225A"/>
    <w:rsid w:val="0070389B"/>
    <w:rsid w:val="00715ADB"/>
    <w:rsid w:val="00716A4E"/>
    <w:rsid w:val="00717805"/>
    <w:rsid w:val="0072488B"/>
    <w:rsid w:val="00726E45"/>
    <w:rsid w:val="00726EB1"/>
    <w:rsid w:val="00727027"/>
    <w:rsid w:val="007278EE"/>
    <w:rsid w:val="0073208A"/>
    <w:rsid w:val="00733890"/>
    <w:rsid w:val="00744DDF"/>
    <w:rsid w:val="00746BFC"/>
    <w:rsid w:val="00747F47"/>
    <w:rsid w:val="00753D37"/>
    <w:rsid w:val="007720EE"/>
    <w:rsid w:val="00773E68"/>
    <w:rsid w:val="007824CC"/>
    <w:rsid w:val="007907E9"/>
    <w:rsid w:val="00795921"/>
    <w:rsid w:val="00796A91"/>
    <w:rsid w:val="007A6036"/>
    <w:rsid w:val="007B2C22"/>
    <w:rsid w:val="007B6A60"/>
    <w:rsid w:val="007B6A78"/>
    <w:rsid w:val="007C2BE2"/>
    <w:rsid w:val="007C7AD7"/>
    <w:rsid w:val="007D380B"/>
    <w:rsid w:val="007E46E6"/>
    <w:rsid w:val="007E66E2"/>
    <w:rsid w:val="007E7A90"/>
    <w:rsid w:val="007F3D87"/>
    <w:rsid w:val="007F6530"/>
    <w:rsid w:val="00812671"/>
    <w:rsid w:val="0081410D"/>
    <w:rsid w:val="00815517"/>
    <w:rsid w:val="0081726B"/>
    <w:rsid w:val="00820367"/>
    <w:rsid w:val="0082453B"/>
    <w:rsid w:val="00842226"/>
    <w:rsid w:val="008424BC"/>
    <w:rsid w:val="00861746"/>
    <w:rsid w:val="008762CF"/>
    <w:rsid w:val="00890316"/>
    <w:rsid w:val="00894302"/>
    <w:rsid w:val="008965CE"/>
    <w:rsid w:val="008A6039"/>
    <w:rsid w:val="008B393C"/>
    <w:rsid w:val="008B4620"/>
    <w:rsid w:val="008C237B"/>
    <w:rsid w:val="008D1FA2"/>
    <w:rsid w:val="008D2869"/>
    <w:rsid w:val="008D298F"/>
    <w:rsid w:val="008E4521"/>
    <w:rsid w:val="008E4C96"/>
    <w:rsid w:val="008F2490"/>
    <w:rsid w:val="008F2D97"/>
    <w:rsid w:val="00901B12"/>
    <w:rsid w:val="00904381"/>
    <w:rsid w:val="00905164"/>
    <w:rsid w:val="00921A54"/>
    <w:rsid w:val="00926CDC"/>
    <w:rsid w:val="009349DC"/>
    <w:rsid w:val="00941F7B"/>
    <w:rsid w:val="00942AA3"/>
    <w:rsid w:val="00962632"/>
    <w:rsid w:val="00970F78"/>
    <w:rsid w:val="00982766"/>
    <w:rsid w:val="009A0705"/>
    <w:rsid w:val="009A7565"/>
    <w:rsid w:val="009B2673"/>
    <w:rsid w:val="009B5C6E"/>
    <w:rsid w:val="009C32DF"/>
    <w:rsid w:val="009C6253"/>
    <w:rsid w:val="009D07B2"/>
    <w:rsid w:val="009D28A1"/>
    <w:rsid w:val="009D3ACF"/>
    <w:rsid w:val="009D48B6"/>
    <w:rsid w:val="009D7BC8"/>
    <w:rsid w:val="009F70E6"/>
    <w:rsid w:val="00A00E63"/>
    <w:rsid w:val="00A026F1"/>
    <w:rsid w:val="00A07C3B"/>
    <w:rsid w:val="00A17F6A"/>
    <w:rsid w:val="00A22C5A"/>
    <w:rsid w:val="00A22CD3"/>
    <w:rsid w:val="00A460F8"/>
    <w:rsid w:val="00A471A5"/>
    <w:rsid w:val="00A57945"/>
    <w:rsid w:val="00A716DF"/>
    <w:rsid w:val="00A71F97"/>
    <w:rsid w:val="00A743AE"/>
    <w:rsid w:val="00A80FEA"/>
    <w:rsid w:val="00A841F8"/>
    <w:rsid w:val="00A85623"/>
    <w:rsid w:val="00A92F97"/>
    <w:rsid w:val="00A9758F"/>
    <w:rsid w:val="00A97E6A"/>
    <w:rsid w:val="00AA41A9"/>
    <w:rsid w:val="00AA795D"/>
    <w:rsid w:val="00AB5137"/>
    <w:rsid w:val="00AB767F"/>
    <w:rsid w:val="00AB7A1B"/>
    <w:rsid w:val="00AB7BFB"/>
    <w:rsid w:val="00AC19F8"/>
    <w:rsid w:val="00AC595D"/>
    <w:rsid w:val="00AD1744"/>
    <w:rsid w:val="00AD41E9"/>
    <w:rsid w:val="00AD5CE0"/>
    <w:rsid w:val="00B04DC6"/>
    <w:rsid w:val="00B11DF6"/>
    <w:rsid w:val="00B23DF9"/>
    <w:rsid w:val="00B25442"/>
    <w:rsid w:val="00B438AD"/>
    <w:rsid w:val="00B45A10"/>
    <w:rsid w:val="00B6164E"/>
    <w:rsid w:val="00B629D9"/>
    <w:rsid w:val="00B65232"/>
    <w:rsid w:val="00B75273"/>
    <w:rsid w:val="00B83B22"/>
    <w:rsid w:val="00B84575"/>
    <w:rsid w:val="00B859F3"/>
    <w:rsid w:val="00B91710"/>
    <w:rsid w:val="00B97E6A"/>
    <w:rsid w:val="00BA09E3"/>
    <w:rsid w:val="00BA3E13"/>
    <w:rsid w:val="00BB2263"/>
    <w:rsid w:val="00BB425C"/>
    <w:rsid w:val="00BB7286"/>
    <w:rsid w:val="00BD11E9"/>
    <w:rsid w:val="00BD65C8"/>
    <w:rsid w:val="00BE3419"/>
    <w:rsid w:val="00BF1320"/>
    <w:rsid w:val="00C1163C"/>
    <w:rsid w:val="00C232BA"/>
    <w:rsid w:val="00C27A85"/>
    <w:rsid w:val="00C35192"/>
    <w:rsid w:val="00C374DF"/>
    <w:rsid w:val="00C4009A"/>
    <w:rsid w:val="00C62722"/>
    <w:rsid w:val="00C7178F"/>
    <w:rsid w:val="00C76DEE"/>
    <w:rsid w:val="00C801C8"/>
    <w:rsid w:val="00C810FF"/>
    <w:rsid w:val="00C97F0E"/>
    <w:rsid w:val="00CA11BE"/>
    <w:rsid w:val="00CA3BE5"/>
    <w:rsid w:val="00CA4908"/>
    <w:rsid w:val="00CA7ADB"/>
    <w:rsid w:val="00CB382C"/>
    <w:rsid w:val="00CB465E"/>
    <w:rsid w:val="00CC4924"/>
    <w:rsid w:val="00CC53FA"/>
    <w:rsid w:val="00CC7616"/>
    <w:rsid w:val="00CD2B43"/>
    <w:rsid w:val="00CD4210"/>
    <w:rsid w:val="00CD5111"/>
    <w:rsid w:val="00CD5EBE"/>
    <w:rsid w:val="00CE01A8"/>
    <w:rsid w:val="00CE0491"/>
    <w:rsid w:val="00CE17F9"/>
    <w:rsid w:val="00CF3E5E"/>
    <w:rsid w:val="00CF5BA0"/>
    <w:rsid w:val="00D0052F"/>
    <w:rsid w:val="00D03CFC"/>
    <w:rsid w:val="00D14D39"/>
    <w:rsid w:val="00D154A3"/>
    <w:rsid w:val="00D236DF"/>
    <w:rsid w:val="00D23865"/>
    <w:rsid w:val="00D32494"/>
    <w:rsid w:val="00D477DF"/>
    <w:rsid w:val="00D50689"/>
    <w:rsid w:val="00D54A56"/>
    <w:rsid w:val="00D54B28"/>
    <w:rsid w:val="00D56F18"/>
    <w:rsid w:val="00D71B64"/>
    <w:rsid w:val="00D77B5F"/>
    <w:rsid w:val="00D870BC"/>
    <w:rsid w:val="00D93548"/>
    <w:rsid w:val="00DC5192"/>
    <w:rsid w:val="00DC6C8F"/>
    <w:rsid w:val="00DD3105"/>
    <w:rsid w:val="00DD3F56"/>
    <w:rsid w:val="00DD6F03"/>
    <w:rsid w:val="00DD7F99"/>
    <w:rsid w:val="00DE076D"/>
    <w:rsid w:val="00DE1187"/>
    <w:rsid w:val="00DE2D43"/>
    <w:rsid w:val="00DF2591"/>
    <w:rsid w:val="00E07D1C"/>
    <w:rsid w:val="00E12222"/>
    <w:rsid w:val="00E215E4"/>
    <w:rsid w:val="00E239B6"/>
    <w:rsid w:val="00E2708B"/>
    <w:rsid w:val="00E468FC"/>
    <w:rsid w:val="00E55212"/>
    <w:rsid w:val="00E72D5C"/>
    <w:rsid w:val="00E73DAB"/>
    <w:rsid w:val="00EA0BA8"/>
    <w:rsid w:val="00EA3A1B"/>
    <w:rsid w:val="00EA43DA"/>
    <w:rsid w:val="00EB0B1F"/>
    <w:rsid w:val="00EB11F8"/>
    <w:rsid w:val="00EC1E80"/>
    <w:rsid w:val="00EC36E6"/>
    <w:rsid w:val="00EE5A96"/>
    <w:rsid w:val="00EF15FB"/>
    <w:rsid w:val="00EF1B14"/>
    <w:rsid w:val="00EF614B"/>
    <w:rsid w:val="00F0425D"/>
    <w:rsid w:val="00F12170"/>
    <w:rsid w:val="00F15E1D"/>
    <w:rsid w:val="00F16811"/>
    <w:rsid w:val="00F2618B"/>
    <w:rsid w:val="00F34DA1"/>
    <w:rsid w:val="00F365BC"/>
    <w:rsid w:val="00F538A4"/>
    <w:rsid w:val="00F5624A"/>
    <w:rsid w:val="00F7266F"/>
    <w:rsid w:val="00F72D6F"/>
    <w:rsid w:val="00F75B44"/>
    <w:rsid w:val="00F8142A"/>
    <w:rsid w:val="00F83944"/>
    <w:rsid w:val="00F963E8"/>
    <w:rsid w:val="00F97696"/>
    <w:rsid w:val="00F9793E"/>
    <w:rsid w:val="00FA6861"/>
    <w:rsid w:val="00FB1B04"/>
    <w:rsid w:val="00FC0B9C"/>
    <w:rsid w:val="00FC6D96"/>
    <w:rsid w:val="00FC73BC"/>
    <w:rsid w:val="00FE645C"/>
    <w:rsid w:val="00FE7617"/>
    <w:rsid w:val="00FF108A"/>
    <w:rsid w:val="00FF7B85"/>
  </w:rsids>
  <m:mathPr>
    <m:mathFont m:val="Cambria Math"/>
    <m:brkBin m:val="before"/>
    <m:brkBinSub m:val="--"/>
    <m:smallFrac m:val="0"/>
    <m:dispDef/>
    <m:lMargin m:val="0"/>
    <m:rMargin m:val="0"/>
    <m:defJc m:val="centerGroup"/>
    <m:wrapIndent m:val="1440"/>
    <m:intLim m:val="subSup"/>
    <m:naryLim m:val="undOvr"/>
  </m:mathPr>
  <w:themeFontLang w:val="pl-PL"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A422E11"/>
  <w15:docId w15:val="{7057F1F2-A84E-4DBA-9EB1-2AB59252C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726B"/>
    <w:pPr>
      <w:spacing w:line="260" w:lineRule="atLeast"/>
      <w:jc w:val="both"/>
    </w:pPr>
    <w:rPr>
      <w:rFonts w:ascii="Palatino Linotype" w:eastAsiaTheme="minorEastAsia" w:hAnsi="Palatino Linotype"/>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1articletype">
    <w:name w:val="MDPI_1.1_article_type"/>
    <w:next w:val="Normal"/>
    <w:qFormat/>
    <w:rsid w:val="0081726B"/>
    <w:pPr>
      <w:adjustRightInd w:val="0"/>
      <w:snapToGrid w:val="0"/>
      <w:spacing w:before="240"/>
    </w:pPr>
    <w:rPr>
      <w:rFonts w:ascii="Palatino Linotype" w:eastAsia="Times New Roman" w:hAnsi="Palatino Linotype"/>
      <w:i/>
      <w:snapToGrid w:val="0"/>
      <w:color w:val="000000"/>
      <w:szCs w:val="22"/>
      <w:lang w:eastAsia="de-DE" w:bidi="en-US"/>
    </w:rPr>
  </w:style>
  <w:style w:type="paragraph" w:customStyle="1" w:styleId="MDPI12title">
    <w:name w:val="MDPI_1.2_title"/>
    <w:next w:val="Normal"/>
    <w:qFormat/>
    <w:rsid w:val="0081726B"/>
    <w:pPr>
      <w:adjustRightInd w:val="0"/>
      <w:snapToGrid w:val="0"/>
      <w:spacing w:after="240" w:line="240" w:lineRule="atLeast"/>
    </w:pPr>
    <w:rPr>
      <w:rFonts w:ascii="Palatino Linotype" w:eastAsia="Times New Roman" w:hAnsi="Palatino Linotype"/>
      <w:b/>
      <w:snapToGrid w:val="0"/>
      <w:color w:val="000000"/>
      <w:sz w:val="36"/>
      <w:lang w:eastAsia="de-DE" w:bidi="en-US"/>
    </w:rPr>
  </w:style>
  <w:style w:type="paragraph" w:customStyle="1" w:styleId="MDPI13authornames">
    <w:name w:val="MDPI_1.3_authornames"/>
    <w:next w:val="Normal"/>
    <w:qFormat/>
    <w:rsid w:val="0081726B"/>
    <w:pPr>
      <w:adjustRightInd w:val="0"/>
      <w:snapToGrid w:val="0"/>
      <w:spacing w:after="360" w:line="260" w:lineRule="atLeast"/>
    </w:pPr>
    <w:rPr>
      <w:rFonts w:ascii="Palatino Linotype" w:eastAsia="Times New Roman" w:hAnsi="Palatino Linotype"/>
      <w:b/>
      <w:color w:val="000000"/>
      <w:szCs w:val="22"/>
      <w:lang w:eastAsia="de-DE" w:bidi="en-US"/>
    </w:rPr>
  </w:style>
  <w:style w:type="paragraph" w:customStyle="1" w:styleId="MDPI14history">
    <w:name w:val="MDPI_1.4_history"/>
    <w:basedOn w:val="Normal"/>
    <w:next w:val="Normal"/>
    <w:qFormat/>
    <w:rsid w:val="0081726B"/>
    <w:pPr>
      <w:adjustRightInd w:val="0"/>
      <w:snapToGrid w:val="0"/>
      <w:spacing w:line="240" w:lineRule="atLeast"/>
      <w:ind w:right="113"/>
      <w:jc w:val="left"/>
    </w:pPr>
    <w:rPr>
      <w:rFonts w:eastAsia="Times New Roman"/>
      <w:sz w:val="14"/>
      <w:lang w:eastAsia="de-DE" w:bidi="en-US"/>
    </w:rPr>
  </w:style>
  <w:style w:type="paragraph" w:customStyle="1" w:styleId="MDPI16affiliation">
    <w:name w:val="MDPI_1.6_affiliation"/>
    <w:qFormat/>
    <w:rsid w:val="0081726B"/>
    <w:pPr>
      <w:adjustRightInd w:val="0"/>
      <w:snapToGrid w:val="0"/>
      <w:spacing w:line="200" w:lineRule="atLeast"/>
      <w:ind w:left="2806" w:hanging="198"/>
    </w:pPr>
    <w:rPr>
      <w:rFonts w:ascii="Palatino Linotype" w:eastAsia="Times New Roman" w:hAnsi="Palatino Linotype"/>
      <w:color w:val="000000"/>
      <w:sz w:val="16"/>
      <w:szCs w:val="18"/>
      <w:lang w:eastAsia="de-DE" w:bidi="en-US"/>
    </w:rPr>
  </w:style>
  <w:style w:type="paragraph" w:customStyle="1" w:styleId="MDPI17abstract">
    <w:name w:val="MDPI_1.7_abstract"/>
    <w:next w:val="Normal"/>
    <w:qFormat/>
    <w:rsid w:val="0081726B"/>
    <w:pPr>
      <w:adjustRightInd w:val="0"/>
      <w:snapToGrid w:val="0"/>
      <w:spacing w:before="240" w:line="260" w:lineRule="atLeast"/>
      <w:ind w:left="2608"/>
      <w:jc w:val="both"/>
    </w:pPr>
    <w:rPr>
      <w:rFonts w:ascii="Palatino Linotype" w:eastAsia="Times New Roman" w:hAnsi="Palatino Linotype"/>
      <w:color w:val="000000"/>
      <w:sz w:val="18"/>
      <w:szCs w:val="22"/>
      <w:lang w:eastAsia="de-DE" w:bidi="en-US"/>
    </w:rPr>
  </w:style>
  <w:style w:type="paragraph" w:customStyle="1" w:styleId="MDPI18keywords">
    <w:name w:val="MDPI_1.8_keywords"/>
    <w:next w:val="Normal"/>
    <w:qFormat/>
    <w:rsid w:val="0081726B"/>
    <w:pPr>
      <w:adjustRightInd w:val="0"/>
      <w:snapToGrid w:val="0"/>
      <w:spacing w:before="240" w:line="260" w:lineRule="atLeast"/>
      <w:ind w:left="2608"/>
      <w:jc w:val="both"/>
    </w:pPr>
    <w:rPr>
      <w:rFonts w:ascii="Palatino Linotype" w:eastAsia="Times New Roman" w:hAnsi="Palatino Linotype"/>
      <w:snapToGrid w:val="0"/>
      <w:color w:val="000000"/>
      <w:sz w:val="18"/>
      <w:szCs w:val="22"/>
      <w:lang w:eastAsia="de-DE" w:bidi="en-US"/>
    </w:rPr>
  </w:style>
  <w:style w:type="paragraph" w:customStyle="1" w:styleId="MDPI19line">
    <w:name w:val="MDPI_1.9_line"/>
    <w:qFormat/>
    <w:rsid w:val="0081726B"/>
    <w:pPr>
      <w:pBdr>
        <w:bottom w:val="single" w:sz="4" w:space="1" w:color="auto"/>
      </w:pBdr>
      <w:adjustRightInd w:val="0"/>
      <w:snapToGrid w:val="0"/>
      <w:spacing w:after="480" w:line="260" w:lineRule="atLeast"/>
      <w:ind w:left="2608"/>
      <w:jc w:val="both"/>
    </w:pPr>
    <w:rPr>
      <w:rFonts w:ascii="Palatino Linotype" w:eastAsia="Times New Roman" w:hAnsi="Palatino Linotype" w:cs="Cordia New"/>
      <w:color w:val="000000"/>
      <w:szCs w:val="24"/>
      <w:lang w:eastAsia="de-DE" w:bidi="en-US"/>
    </w:rPr>
  </w:style>
  <w:style w:type="table" w:customStyle="1" w:styleId="Mdeck5tablebodythreelines">
    <w:name w:val="M_deck_5_table_body_three_lines"/>
    <w:basedOn w:val="TableNormal"/>
    <w:uiPriority w:val="99"/>
    <w:rsid w:val="00D77B5F"/>
    <w:pPr>
      <w:adjustRightInd w:val="0"/>
      <w:snapToGrid w:val="0"/>
      <w:spacing w:line="300" w:lineRule="exact"/>
      <w:jc w:val="center"/>
    </w:pPr>
    <w:rPr>
      <w:rFonts w:ascii="Times New Roman" w:hAnsi="Times New Roman"/>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styleId="TableGrid">
    <w:name w:val="Table Grid"/>
    <w:basedOn w:val="TableNormal"/>
    <w:uiPriority w:val="59"/>
    <w:rsid w:val="0081726B"/>
    <w:pPr>
      <w:spacing w:line="260" w:lineRule="atLeast"/>
      <w:jc w:val="both"/>
    </w:pPr>
    <w:rPr>
      <w:rFonts w:ascii="Palatino Linotype" w:eastAsiaTheme="minorEastAsia" w:hAnsi="Palatino Linotype"/>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81726B"/>
    <w:pPr>
      <w:tabs>
        <w:tab w:val="center" w:pos="4153"/>
        <w:tab w:val="right" w:pos="8306"/>
      </w:tabs>
      <w:snapToGrid w:val="0"/>
      <w:spacing w:line="240" w:lineRule="atLeast"/>
    </w:pPr>
    <w:rPr>
      <w:szCs w:val="18"/>
    </w:rPr>
  </w:style>
  <w:style w:type="character" w:customStyle="1" w:styleId="FooterChar">
    <w:name w:val="Footer Char"/>
    <w:basedOn w:val="DefaultParagraphFont"/>
    <w:link w:val="Footer"/>
    <w:uiPriority w:val="99"/>
    <w:rsid w:val="0081726B"/>
    <w:rPr>
      <w:rFonts w:ascii="Palatino Linotype" w:eastAsiaTheme="minorEastAsia" w:hAnsi="Palatino Linotype"/>
      <w:color w:val="000000"/>
      <w:szCs w:val="18"/>
    </w:rPr>
  </w:style>
  <w:style w:type="paragraph" w:styleId="Header">
    <w:name w:val="header"/>
    <w:basedOn w:val="Normal"/>
    <w:link w:val="HeaderChar"/>
    <w:uiPriority w:val="99"/>
    <w:rsid w:val="0081726B"/>
    <w:pPr>
      <w:pBdr>
        <w:bottom w:val="single" w:sz="6" w:space="1" w:color="auto"/>
      </w:pBdr>
      <w:tabs>
        <w:tab w:val="center" w:pos="4153"/>
        <w:tab w:val="right" w:pos="8306"/>
      </w:tabs>
      <w:snapToGrid w:val="0"/>
      <w:spacing w:line="240" w:lineRule="atLeast"/>
      <w:jc w:val="center"/>
    </w:pPr>
    <w:rPr>
      <w:szCs w:val="18"/>
    </w:rPr>
  </w:style>
  <w:style w:type="character" w:customStyle="1" w:styleId="HeaderChar">
    <w:name w:val="Header Char"/>
    <w:basedOn w:val="DefaultParagraphFont"/>
    <w:link w:val="Header"/>
    <w:uiPriority w:val="99"/>
    <w:rsid w:val="0081726B"/>
    <w:rPr>
      <w:rFonts w:ascii="Palatino Linotype" w:eastAsiaTheme="minorEastAsia" w:hAnsi="Palatino Linotype"/>
      <w:color w:val="000000"/>
      <w:szCs w:val="18"/>
    </w:rPr>
  </w:style>
  <w:style w:type="paragraph" w:customStyle="1" w:styleId="MDPIheaderjournallogo">
    <w:name w:val="MDPI_header_journal_logo"/>
    <w:qFormat/>
    <w:rsid w:val="0081726B"/>
    <w:pPr>
      <w:adjustRightInd w:val="0"/>
      <w:snapToGrid w:val="0"/>
      <w:spacing w:line="260" w:lineRule="atLeast"/>
      <w:jc w:val="both"/>
    </w:pPr>
    <w:rPr>
      <w:rFonts w:ascii="Palatino Linotype" w:eastAsia="Times New Roman" w:hAnsi="Palatino Linotype"/>
      <w:i/>
      <w:color w:val="000000"/>
      <w:sz w:val="24"/>
      <w:szCs w:val="22"/>
      <w:lang w:eastAsia="de-CH"/>
    </w:rPr>
  </w:style>
  <w:style w:type="paragraph" w:customStyle="1" w:styleId="MDPI32textnoindent">
    <w:name w:val="MDPI_3.2_text_no_indent"/>
    <w:basedOn w:val="MDPI31text"/>
    <w:qFormat/>
    <w:rsid w:val="0081726B"/>
    <w:pPr>
      <w:ind w:firstLine="0"/>
    </w:pPr>
  </w:style>
  <w:style w:type="paragraph" w:customStyle="1" w:styleId="MDPI31text">
    <w:name w:val="MDPI_3.1_text"/>
    <w:qFormat/>
    <w:rsid w:val="0081726B"/>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3textspaceafter">
    <w:name w:val="MDPI_3.3_text_space_after"/>
    <w:qFormat/>
    <w:rsid w:val="0081726B"/>
    <w:pPr>
      <w:adjustRightInd w:val="0"/>
      <w:snapToGrid w:val="0"/>
      <w:spacing w:after="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5textbeforelist">
    <w:name w:val="MDPI_3.5_text_before_list"/>
    <w:qFormat/>
    <w:rsid w:val="0081726B"/>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6textafterlist">
    <w:name w:val="MDPI_3.6_text_after_list"/>
    <w:qFormat/>
    <w:rsid w:val="0081726B"/>
    <w:pPr>
      <w:adjustRightInd w:val="0"/>
      <w:snapToGrid w:val="0"/>
      <w:spacing w:before="12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7itemize">
    <w:name w:val="MDPI_3.7_itemize"/>
    <w:qFormat/>
    <w:rsid w:val="0081726B"/>
    <w:pPr>
      <w:numPr>
        <w:numId w:val="34"/>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8bullet">
    <w:name w:val="MDPI_3.8_bullet"/>
    <w:qFormat/>
    <w:rsid w:val="0081726B"/>
    <w:pPr>
      <w:numPr>
        <w:numId w:val="35"/>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9equation">
    <w:name w:val="MDPI_3.9_equation"/>
    <w:qFormat/>
    <w:rsid w:val="0081726B"/>
    <w:pPr>
      <w:adjustRightInd w:val="0"/>
      <w:snapToGrid w:val="0"/>
      <w:spacing w:before="120" w:after="120" w:line="260" w:lineRule="atLeast"/>
      <w:ind w:left="709"/>
      <w:jc w:val="center"/>
    </w:pPr>
    <w:rPr>
      <w:rFonts w:ascii="Palatino Linotype" w:eastAsia="Times New Roman" w:hAnsi="Palatino Linotype"/>
      <w:snapToGrid w:val="0"/>
      <w:color w:val="000000"/>
      <w:szCs w:val="22"/>
      <w:lang w:eastAsia="de-DE" w:bidi="en-US"/>
    </w:rPr>
  </w:style>
  <w:style w:type="paragraph" w:customStyle="1" w:styleId="MDPI3aequationnumber">
    <w:name w:val="MDPI_3.a_equation_number"/>
    <w:qFormat/>
    <w:rsid w:val="0081726B"/>
    <w:pPr>
      <w:spacing w:before="120" w:after="120"/>
      <w:jc w:val="right"/>
    </w:pPr>
    <w:rPr>
      <w:rFonts w:ascii="Palatino Linotype" w:eastAsia="Times New Roman" w:hAnsi="Palatino Linotype"/>
      <w:snapToGrid w:val="0"/>
      <w:color w:val="000000"/>
      <w:szCs w:val="22"/>
      <w:lang w:eastAsia="de-DE" w:bidi="en-US"/>
    </w:rPr>
  </w:style>
  <w:style w:type="paragraph" w:customStyle="1" w:styleId="MDPI41tablecaption">
    <w:name w:val="MDPI_4.1_table_caption"/>
    <w:qFormat/>
    <w:rsid w:val="0081726B"/>
    <w:pPr>
      <w:adjustRightInd w:val="0"/>
      <w:snapToGrid w:val="0"/>
      <w:spacing w:before="240" w:after="120" w:line="228" w:lineRule="auto"/>
      <w:ind w:left="2608"/>
    </w:pPr>
    <w:rPr>
      <w:rFonts w:ascii="Palatino Linotype" w:eastAsia="Times New Roman" w:hAnsi="Palatino Linotype" w:cstheme="minorBidi"/>
      <w:color w:val="000000"/>
      <w:sz w:val="18"/>
      <w:szCs w:val="22"/>
      <w:lang w:eastAsia="de-DE" w:bidi="en-US"/>
    </w:rPr>
  </w:style>
  <w:style w:type="paragraph" w:customStyle="1" w:styleId="MDPI42tablebody">
    <w:name w:val="MDPI_4.2_table_body"/>
    <w:qFormat/>
    <w:rsid w:val="00D154A3"/>
    <w:pPr>
      <w:adjustRightInd w:val="0"/>
      <w:snapToGrid w:val="0"/>
      <w:spacing w:line="260" w:lineRule="atLeast"/>
      <w:jc w:val="center"/>
    </w:pPr>
    <w:rPr>
      <w:rFonts w:ascii="Palatino Linotype" w:eastAsia="Times New Roman" w:hAnsi="Palatino Linotype"/>
      <w:snapToGrid w:val="0"/>
      <w:color w:val="000000"/>
      <w:lang w:eastAsia="de-DE" w:bidi="en-US"/>
    </w:rPr>
  </w:style>
  <w:style w:type="paragraph" w:customStyle="1" w:styleId="MDPI43tablefooter">
    <w:name w:val="MDPI_4.3_table_footer"/>
    <w:next w:val="MDPI31text"/>
    <w:qFormat/>
    <w:rsid w:val="0081726B"/>
    <w:pPr>
      <w:adjustRightInd w:val="0"/>
      <w:snapToGrid w:val="0"/>
      <w:spacing w:line="228" w:lineRule="auto"/>
      <w:ind w:left="2608"/>
      <w:jc w:val="both"/>
    </w:pPr>
    <w:rPr>
      <w:rFonts w:ascii="Palatino Linotype" w:eastAsia="Times New Roman" w:hAnsi="Palatino Linotype" w:cs="Cordia New"/>
      <w:color w:val="000000"/>
      <w:sz w:val="18"/>
      <w:szCs w:val="22"/>
      <w:lang w:eastAsia="de-DE" w:bidi="en-US"/>
    </w:rPr>
  </w:style>
  <w:style w:type="paragraph" w:customStyle="1" w:styleId="MDPI51figurecaption">
    <w:name w:val="MDPI_5.1_figure_caption"/>
    <w:qFormat/>
    <w:rsid w:val="0081726B"/>
    <w:pPr>
      <w:adjustRightInd w:val="0"/>
      <w:snapToGrid w:val="0"/>
      <w:spacing w:before="120" w:after="240" w:line="228" w:lineRule="auto"/>
      <w:ind w:left="2608"/>
    </w:pPr>
    <w:rPr>
      <w:rFonts w:ascii="Palatino Linotype" w:eastAsia="Times New Roman" w:hAnsi="Palatino Linotype"/>
      <w:color w:val="000000"/>
      <w:sz w:val="18"/>
      <w:lang w:eastAsia="de-DE" w:bidi="en-US"/>
    </w:rPr>
  </w:style>
  <w:style w:type="paragraph" w:customStyle="1" w:styleId="MDPI52figure">
    <w:name w:val="MDPI_5.2_figure"/>
    <w:qFormat/>
    <w:rsid w:val="0081726B"/>
    <w:pPr>
      <w:adjustRightInd w:val="0"/>
      <w:snapToGrid w:val="0"/>
      <w:spacing w:before="240" w:after="120"/>
      <w:jc w:val="center"/>
    </w:pPr>
    <w:rPr>
      <w:rFonts w:ascii="Palatino Linotype" w:eastAsia="Times New Roman" w:hAnsi="Palatino Linotype"/>
      <w:snapToGrid w:val="0"/>
      <w:color w:val="000000"/>
      <w:lang w:eastAsia="de-DE" w:bidi="en-US"/>
    </w:rPr>
  </w:style>
  <w:style w:type="paragraph" w:customStyle="1" w:styleId="MDPI23heading3">
    <w:name w:val="MDPI_2.3_heading3"/>
    <w:qFormat/>
    <w:rsid w:val="0081726B"/>
    <w:pPr>
      <w:adjustRightInd w:val="0"/>
      <w:snapToGrid w:val="0"/>
      <w:spacing w:before="60" w:after="60" w:line="228" w:lineRule="auto"/>
      <w:ind w:left="2608"/>
      <w:outlineLvl w:val="2"/>
    </w:pPr>
    <w:rPr>
      <w:rFonts w:ascii="Palatino Linotype" w:eastAsia="Times New Roman" w:hAnsi="Palatino Linotype"/>
      <w:snapToGrid w:val="0"/>
      <w:color w:val="000000"/>
      <w:szCs w:val="22"/>
      <w:lang w:eastAsia="de-DE" w:bidi="en-US"/>
    </w:rPr>
  </w:style>
  <w:style w:type="paragraph" w:customStyle="1" w:styleId="MDPI21heading1">
    <w:name w:val="MDPI_2.1_heading1"/>
    <w:qFormat/>
    <w:rsid w:val="0081726B"/>
    <w:pPr>
      <w:adjustRightInd w:val="0"/>
      <w:snapToGrid w:val="0"/>
      <w:spacing w:before="240" w:after="60" w:line="228" w:lineRule="auto"/>
      <w:ind w:left="2608"/>
      <w:outlineLvl w:val="0"/>
    </w:pPr>
    <w:rPr>
      <w:rFonts w:ascii="Palatino Linotype" w:eastAsia="Times New Roman" w:hAnsi="Palatino Linotype"/>
      <w:b/>
      <w:snapToGrid w:val="0"/>
      <w:color w:val="000000"/>
      <w:szCs w:val="22"/>
      <w:lang w:eastAsia="de-DE" w:bidi="en-US"/>
    </w:rPr>
  </w:style>
  <w:style w:type="paragraph" w:customStyle="1" w:styleId="MDPI22heading2">
    <w:name w:val="MDPI_2.2_heading2"/>
    <w:qFormat/>
    <w:rsid w:val="0081726B"/>
    <w:pPr>
      <w:adjustRightInd w:val="0"/>
      <w:snapToGrid w:val="0"/>
      <w:spacing w:before="60" w:after="60" w:line="228" w:lineRule="auto"/>
      <w:ind w:left="2608"/>
      <w:outlineLvl w:val="1"/>
    </w:pPr>
    <w:rPr>
      <w:rFonts w:ascii="Palatino Linotype" w:eastAsia="Times New Roman" w:hAnsi="Palatino Linotype"/>
      <w:i/>
      <w:noProof/>
      <w:snapToGrid w:val="0"/>
      <w:color w:val="000000"/>
      <w:szCs w:val="22"/>
      <w:lang w:eastAsia="de-DE" w:bidi="en-US"/>
    </w:rPr>
  </w:style>
  <w:style w:type="paragraph" w:customStyle="1" w:styleId="MDPI71References">
    <w:name w:val="MDPI_7.1_References"/>
    <w:qFormat/>
    <w:rsid w:val="0081726B"/>
    <w:pPr>
      <w:numPr>
        <w:numId w:val="37"/>
      </w:numPr>
      <w:adjustRightInd w:val="0"/>
      <w:snapToGrid w:val="0"/>
      <w:spacing w:line="228" w:lineRule="auto"/>
      <w:jc w:val="both"/>
    </w:pPr>
    <w:rPr>
      <w:rFonts w:ascii="Palatino Linotype" w:eastAsia="Times New Roman" w:hAnsi="Palatino Linotype"/>
      <w:color w:val="000000"/>
      <w:sz w:val="18"/>
      <w:lang w:eastAsia="de-DE" w:bidi="en-US"/>
    </w:rPr>
  </w:style>
  <w:style w:type="paragraph" w:styleId="BalloonText">
    <w:name w:val="Balloon Text"/>
    <w:basedOn w:val="Normal"/>
    <w:link w:val="BalloonTextChar"/>
    <w:uiPriority w:val="99"/>
    <w:rsid w:val="0081726B"/>
    <w:rPr>
      <w:rFonts w:cs="Tahoma"/>
      <w:szCs w:val="18"/>
    </w:rPr>
  </w:style>
  <w:style w:type="character" w:customStyle="1" w:styleId="BalloonTextChar">
    <w:name w:val="Balloon Text Char"/>
    <w:basedOn w:val="DefaultParagraphFont"/>
    <w:link w:val="BalloonText"/>
    <w:uiPriority w:val="99"/>
    <w:rsid w:val="0081726B"/>
    <w:rPr>
      <w:rFonts w:ascii="Palatino Linotype" w:eastAsiaTheme="minorEastAsia" w:hAnsi="Palatino Linotype" w:cs="Tahoma"/>
      <w:color w:val="000000"/>
      <w:szCs w:val="18"/>
    </w:rPr>
  </w:style>
  <w:style w:type="character" w:styleId="LineNumber">
    <w:name w:val="line number"/>
    <w:uiPriority w:val="99"/>
    <w:rsid w:val="0081726B"/>
    <w:rPr>
      <w:rFonts w:ascii="Palatino Linotype" w:hAnsi="Palatino Linotype"/>
      <w:sz w:val="16"/>
    </w:rPr>
  </w:style>
  <w:style w:type="table" w:customStyle="1" w:styleId="MDPI41threelinetable">
    <w:name w:val="MDPI_4.1_three_line_table"/>
    <w:basedOn w:val="TableNormal"/>
    <w:uiPriority w:val="99"/>
    <w:rsid w:val="0081726B"/>
    <w:pPr>
      <w:adjustRightInd w:val="0"/>
      <w:snapToGrid w:val="0"/>
      <w:jc w:val="center"/>
    </w:pPr>
    <w:rPr>
      <w:rFonts w:ascii="Palatino Linotype" w:eastAsiaTheme="minorEastAsia" w:hAnsi="Palatino Linotype"/>
      <w:color w:val="000000"/>
    </w:r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character" w:styleId="Hyperlink">
    <w:name w:val="Hyperlink"/>
    <w:uiPriority w:val="99"/>
    <w:rsid w:val="0081726B"/>
    <w:rPr>
      <w:color w:val="0000FF"/>
      <w:u w:val="single"/>
    </w:rPr>
  </w:style>
  <w:style w:type="character" w:customStyle="1" w:styleId="UnresolvedMention1">
    <w:name w:val="Unresolved Mention1"/>
    <w:uiPriority w:val="99"/>
    <w:semiHidden/>
    <w:unhideWhenUsed/>
    <w:rsid w:val="007907E9"/>
    <w:rPr>
      <w:color w:val="605E5C"/>
      <w:shd w:val="clear" w:color="auto" w:fill="E1DFDD"/>
    </w:rPr>
  </w:style>
  <w:style w:type="table" w:customStyle="1" w:styleId="PlainTable41">
    <w:name w:val="Plain Table 41"/>
    <w:basedOn w:val="TableNormal"/>
    <w:uiPriority w:val="44"/>
    <w:rsid w:val="0081267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MDPI34textspacebefore">
    <w:name w:val="MDPI_3.4_text_space_before"/>
    <w:qFormat/>
    <w:rsid w:val="0081726B"/>
    <w:pPr>
      <w:adjustRightInd w:val="0"/>
      <w:snapToGrid w:val="0"/>
      <w:spacing w:before="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81theorem">
    <w:name w:val="MDPI_8.1_theorem"/>
    <w:qFormat/>
    <w:rsid w:val="0081726B"/>
    <w:pPr>
      <w:adjustRightInd w:val="0"/>
      <w:snapToGrid w:val="0"/>
      <w:spacing w:line="228" w:lineRule="auto"/>
      <w:ind w:left="2608"/>
      <w:jc w:val="both"/>
    </w:pPr>
    <w:rPr>
      <w:rFonts w:ascii="Palatino Linotype" w:eastAsia="Times New Roman" w:hAnsi="Palatino Linotype"/>
      <w:i/>
      <w:snapToGrid w:val="0"/>
      <w:color w:val="000000"/>
      <w:szCs w:val="22"/>
      <w:lang w:eastAsia="de-DE" w:bidi="en-US"/>
    </w:rPr>
  </w:style>
  <w:style w:type="paragraph" w:customStyle="1" w:styleId="MDPI82proof">
    <w:name w:val="MDPI_8.2_proof"/>
    <w:qFormat/>
    <w:rsid w:val="0081726B"/>
    <w:pPr>
      <w:adjustRightInd w:val="0"/>
      <w:snapToGrid w:val="0"/>
      <w:spacing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61Citation">
    <w:name w:val="MDPI_6.1_Citation"/>
    <w:qFormat/>
    <w:rsid w:val="0081726B"/>
    <w:pPr>
      <w:adjustRightInd w:val="0"/>
      <w:snapToGrid w:val="0"/>
      <w:spacing w:line="240" w:lineRule="atLeast"/>
      <w:ind w:right="113"/>
    </w:pPr>
    <w:rPr>
      <w:rFonts w:ascii="Palatino Linotype" w:hAnsi="Palatino Linotype" w:cs="Cordia New"/>
      <w:sz w:val="14"/>
      <w:szCs w:val="22"/>
    </w:rPr>
  </w:style>
  <w:style w:type="paragraph" w:customStyle="1" w:styleId="MDPI62BackMatter">
    <w:name w:val="MDPI_6.2_BackMatter"/>
    <w:qFormat/>
    <w:rsid w:val="0081726B"/>
    <w:pPr>
      <w:adjustRightInd w:val="0"/>
      <w:snapToGrid w:val="0"/>
      <w:spacing w:after="120" w:line="228" w:lineRule="auto"/>
      <w:ind w:left="2608"/>
      <w:jc w:val="both"/>
    </w:pPr>
    <w:rPr>
      <w:rFonts w:ascii="Palatino Linotype" w:eastAsia="Times New Roman" w:hAnsi="Palatino Linotype"/>
      <w:snapToGrid w:val="0"/>
      <w:color w:val="000000"/>
      <w:sz w:val="18"/>
      <w:lang w:eastAsia="en-US" w:bidi="en-US"/>
    </w:rPr>
  </w:style>
  <w:style w:type="paragraph" w:customStyle="1" w:styleId="MDPI63Notes">
    <w:name w:val="MDPI_6.3_Notes"/>
    <w:qFormat/>
    <w:rsid w:val="0081726B"/>
    <w:pPr>
      <w:adjustRightInd w:val="0"/>
      <w:snapToGrid w:val="0"/>
      <w:spacing w:before="240" w:line="228" w:lineRule="auto"/>
      <w:jc w:val="both"/>
    </w:pPr>
    <w:rPr>
      <w:rFonts w:ascii="Palatino Linotype" w:hAnsi="Palatino Linotype"/>
      <w:snapToGrid w:val="0"/>
      <w:color w:val="000000"/>
      <w:sz w:val="18"/>
      <w:lang w:eastAsia="en-US" w:bidi="en-US"/>
    </w:rPr>
  </w:style>
  <w:style w:type="paragraph" w:customStyle="1" w:styleId="MDPI15academiceditor">
    <w:name w:val="MDPI_1.5_academic_editor"/>
    <w:qFormat/>
    <w:rsid w:val="0081726B"/>
    <w:pPr>
      <w:adjustRightInd w:val="0"/>
      <w:snapToGrid w:val="0"/>
      <w:spacing w:before="120" w:line="240" w:lineRule="atLeast"/>
      <w:ind w:right="113"/>
    </w:pPr>
    <w:rPr>
      <w:rFonts w:ascii="Palatino Linotype" w:eastAsia="Times New Roman" w:hAnsi="Palatino Linotype"/>
      <w:color w:val="000000"/>
      <w:sz w:val="14"/>
      <w:szCs w:val="22"/>
      <w:lang w:eastAsia="de-DE" w:bidi="en-US"/>
    </w:rPr>
  </w:style>
  <w:style w:type="paragraph" w:customStyle="1" w:styleId="MDPI19classification">
    <w:name w:val="MDPI_1.9_classification"/>
    <w:qFormat/>
    <w:rsid w:val="0081726B"/>
    <w:pPr>
      <w:spacing w:before="240" w:line="260" w:lineRule="atLeast"/>
      <w:ind w:left="113"/>
      <w:jc w:val="both"/>
    </w:pPr>
    <w:rPr>
      <w:rFonts w:ascii="Palatino Linotype" w:eastAsia="Times New Roman" w:hAnsi="Palatino Linotype"/>
      <w:b/>
      <w:color w:val="000000"/>
      <w:szCs w:val="22"/>
      <w:lang w:eastAsia="de-DE" w:bidi="en-US"/>
    </w:rPr>
  </w:style>
  <w:style w:type="paragraph" w:customStyle="1" w:styleId="MDPI411onetablecaption">
    <w:name w:val="MDPI_4.1.1_one_table_caption"/>
    <w:qFormat/>
    <w:rsid w:val="0081726B"/>
    <w:pPr>
      <w:adjustRightInd w:val="0"/>
      <w:snapToGrid w:val="0"/>
      <w:spacing w:before="240" w:after="120" w:line="260" w:lineRule="atLeast"/>
      <w:jc w:val="center"/>
    </w:pPr>
    <w:rPr>
      <w:rFonts w:ascii="Palatino Linotype" w:eastAsiaTheme="minorEastAsia" w:hAnsi="Palatino Linotype" w:cstheme="minorBidi"/>
      <w:noProof/>
      <w:color w:val="000000"/>
      <w:sz w:val="18"/>
      <w:szCs w:val="22"/>
      <w:lang w:bidi="en-US"/>
    </w:rPr>
  </w:style>
  <w:style w:type="paragraph" w:customStyle="1" w:styleId="MDPI511onefigurecaption">
    <w:name w:val="MDPI_5.1.1_one_figure_caption"/>
    <w:qFormat/>
    <w:rsid w:val="0081726B"/>
    <w:pPr>
      <w:adjustRightInd w:val="0"/>
      <w:snapToGrid w:val="0"/>
      <w:spacing w:before="240" w:after="120" w:line="260" w:lineRule="atLeast"/>
      <w:jc w:val="center"/>
    </w:pPr>
    <w:rPr>
      <w:rFonts w:ascii="Palatino Linotype" w:eastAsiaTheme="minorEastAsia" w:hAnsi="Palatino Linotype"/>
      <w:noProof/>
      <w:color w:val="000000"/>
      <w:sz w:val="18"/>
      <w:lang w:bidi="en-US"/>
    </w:rPr>
  </w:style>
  <w:style w:type="paragraph" w:customStyle="1" w:styleId="MDPI72Copyright">
    <w:name w:val="MDPI_7.2_Copyright"/>
    <w:qFormat/>
    <w:rsid w:val="0081726B"/>
    <w:pPr>
      <w:adjustRightInd w:val="0"/>
      <w:snapToGrid w:val="0"/>
      <w:spacing w:before="240" w:line="240" w:lineRule="atLeast"/>
      <w:ind w:right="113"/>
    </w:pPr>
    <w:rPr>
      <w:rFonts w:ascii="Palatino Linotype" w:eastAsia="Times New Roman" w:hAnsi="Palatino Linotype"/>
      <w:noProof/>
      <w:snapToGrid w:val="0"/>
      <w:color w:val="000000"/>
      <w:spacing w:val="-2"/>
      <w:sz w:val="14"/>
      <w:lang w:val="en-GB" w:eastAsia="en-GB"/>
    </w:rPr>
  </w:style>
  <w:style w:type="paragraph" w:customStyle="1" w:styleId="MDPI73CopyrightImage">
    <w:name w:val="MDPI_7.3_CopyrightImage"/>
    <w:rsid w:val="0081726B"/>
    <w:pPr>
      <w:adjustRightInd w:val="0"/>
      <w:snapToGrid w:val="0"/>
      <w:spacing w:after="100" w:line="260" w:lineRule="atLeast"/>
      <w:jc w:val="right"/>
    </w:pPr>
    <w:rPr>
      <w:rFonts w:ascii="Palatino Linotype" w:eastAsia="Times New Roman" w:hAnsi="Palatino Linotype"/>
      <w:color w:val="000000"/>
      <w:lang w:eastAsia="de-CH"/>
    </w:rPr>
  </w:style>
  <w:style w:type="paragraph" w:customStyle="1" w:styleId="MDPIequationFram">
    <w:name w:val="MDPI_equationFram"/>
    <w:qFormat/>
    <w:rsid w:val="0081726B"/>
    <w:pPr>
      <w:adjustRightInd w:val="0"/>
      <w:snapToGrid w:val="0"/>
      <w:spacing w:before="120" w:after="120"/>
      <w:jc w:val="center"/>
    </w:pPr>
    <w:rPr>
      <w:rFonts w:ascii="Palatino Linotype" w:eastAsia="Times New Roman" w:hAnsi="Palatino Linotype"/>
      <w:snapToGrid w:val="0"/>
      <w:color w:val="000000"/>
      <w:szCs w:val="22"/>
      <w:lang w:eastAsia="de-DE" w:bidi="en-US"/>
    </w:rPr>
  </w:style>
  <w:style w:type="paragraph" w:customStyle="1" w:styleId="MDPIfooter">
    <w:name w:val="MDPI_footer"/>
    <w:qFormat/>
    <w:rsid w:val="0081726B"/>
    <w:pPr>
      <w:adjustRightInd w:val="0"/>
      <w:snapToGrid w:val="0"/>
      <w:spacing w:before="120" w:line="260" w:lineRule="atLeast"/>
      <w:jc w:val="center"/>
    </w:pPr>
    <w:rPr>
      <w:rFonts w:ascii="Palatino Linotype" w:eastAsia="Times New Roman" w:hAnsi="Palatino Linotype"/>
      <w:color w:val="000000"/>
      <w:lang w:eastAsia="de-DE"/>
    </w:rPr>
  </w:style>
  <w:style w:type="paragraph" w:customStyle="1" w:styleId="MDPIfooterfirstpage">
    <w:name w:val="MDPI_footer_firstpage"/>
    <w:qFormat/>
    <w:rsid w:val="0081726B"/>
    <w:pPr>
      <w:tabs>
        <w:tab w:val="right" w:pos="8845"/>
      </w:tabs>
      <w:spacing w:line="160" w:lineRule="exact"/>
    </w:pPr>
    <w:rPr>
      <w:rFonts w:ascii="Palatino Linotype" w:eastAsia="Times New Roman" w:hAnsi="Palatino Linotype"/>
      <w:color w:val="000000"/>
      <w:sz w:val="16"/>
      <w:lang w:eastAsia="de-DE"/>
    </w:rPr>
  </w:style>
  <w:style w:type="paragraph" w:customStyle="1" w:styleId="MDPIheader">
    <w:name w:val="MDPI_header"/>
    <w:qFormat/>
    <w:rsid w:val="0081726B"/>
    <w:pPr>
      <w:adjustRightInd w:val="0"/>
      <w:snapToGrid w:val="0"/>
      <w:spacing w:after="240" w:line="260" w:lineRule="atLeast"/>
      <w:jc w:val="both"/>
    </w:pPr>
    <w:rPr>
      <w:rFonts w:ascii="Palatino Linotype" w:eastAsia="Times New Roman" w:hAnsi="Palatino Linotype"/>
      <w:iCs/>
      <w:color w:val="000000"/>
      <w:sz w:val="16"/>
      <w:lang w:eastAsia="de-DE"/>
    </w:rPr>
  </w:style>
  <w:style w:type="paragraph" w:customStyle="1" w:styleId="MDPIheadercitation">
    <w:name w:val="MDPI_header_citation"/>
    <w:rsid w:val="0081726B"/>
    <w:pPr>
      <w:spacing w:after="240"/>
    </w:pPr>
    <w:rPr>
      <w:rFonts w:ascii="Palatino Linotype" w:eastAsia="Times New Roman" w:hAnsi="Palatino Linotype"/>
      <w:snapToGrid w:val="0"/>
      <w:color w:val="000000"/>
      <w:sz w:val="18"/>
      <w:lang w:eastAsia="de-DE" w:bidi="en-US"/>
    </w:rPr>
  </w:style>
  <w:style w:type="paragraph" w:customStyle="1" w:styleId="MDPIheadermdpilogo">
    <w:name w:val="MDPI_header_mdpi_logo"/>
    <w:qFormat/>
    <w:rsid w:val="0081726B"/>
    <w:pPr>
      <w:adjustRightInd w:val="0"/>
      <w:snapToGrid w:val="0"/>
      <w:spacing w:line="260" w:lineRule="atLeast"/>
      <w:jc w:val="right"/>
    </w:pPr>
    <w:rPr>
      <w:rFonts w:ascii="Palatino Linotype" w:eastAsia="Times New Roman" w:hAnsi="Palatino Linotype"/>
      <w:color w:val="000000"/>
      <w:sz w:val="24"/>
      <w:szCs w:val="22"/>
      <w:lang w:eastAsia="de-CH"/>
    </w:rPr>
  </w:style>
  <w:style w:type="table" w:customStyle="1" w:styleId="MDPITable">
    <w:name w:val="MDPI_Table"/>
    <w:basedOn w:val="TableNormal"/>
    <w:uiPriority w:val="99"/>
    <w:rsid w:val="0081726B"/>
    <w:rPr>
      <w:rFonts w:ascii="Palatino Linotype" w:hAnsi="Palatino Linotype"/>
      <w:color w:val="000000" w:themeColor="text1"/>
      <w:lang w:val="en-CA" w:eastAsia="en-US"/>
    </w:rPr>
    <w:tblPr>
      <w:tblCellMar>
        <w:left w:w="0" w:type="dxa"/>
        <w:right w:w="0" w:type="dxa"/>
      </w:tblCellMar>
    </w:tblPr>
  </w:style>
  <w:style w:type="paragraph" w:customStyle="1" w:styleId="MDPItext">
    <w:name w:val="MDPI_text"/>
    <w:qFormat/>
    <w:rsid w:val="0081726B"/>
    <w:pPr>
      <w:spacing w:line="260" w:lineRule="atLeast"/>
      <w:ind w:left="425" w:right="425" w:firstLine="284"/>
      <w:jc w:val="both"/>
    </w:pPr>
    <w:rPr>
      <w:rFonts w:ascii="Times New Roman" w:eastAsia="Times New Roman" w:hAnsi="Times New Roman"/>
      <w:noProof/>
      <w:snapToGrid w:val="0"/>
      <w:color w:val="000000"/>
      <w:sz w:val="22"/>
      <w:szCs w:val="22"/>
      <w:lang w:eastAsia="de-DE" w:bidi="en-US"/>
    </w:rPr>
  </w:style>
  <w:style w:type="paragraph" w:customStyle="1" w:styleId="MDPItitle">
    <w:name w:val="MDPI_title"/>
    <w:qFormat/>
    <w:rsid w:val="0081726B"/>
    <w:pPr>
      <w:adjustRightInd w:val="0"/>
      <w:snapToGrid w:val="0"/>
      <w:spacing w:after="240" w:line="260" w:lineRule="atLeast"/>
      <w:jc w:val="both"/>
    </w:pPr>
    <w:rPr>
      <w:rFonts w:ascii="Palatino Linotype" w:eastAsia="Times New Roman" w:hAnsi="Palatino Linotype"/>
      <w:b/>
      <w:snapToGrid w:val="0"/>
      <w:color w:val="000000"/>
      <w:sz w:val="36"/>
      <w:lang w:eastAsia="de-DE" w:bidi="en-US"/>
    </w:rPr>
  </w:style>
  <w:style w:type="character" w:customStyle="1" w:styleId="apple-converted-space">
    <w:name w:val="apple-converted-space"/>
    <w:basedOn w:val="DefaultParagraphFont"/>
    <w:rsid w:val="0081726B"/>
  </w:style>
  <w:style w:type="paragraph" w:styleId="Bibliography">
    <w:name w:val="Bibliography"/>
    <w:basedOn w:val="Normal"/>
    <w:next w:val="Normal"/>
    <w:uiPriority w:val="37"/>
    <w:semiHidden/>
    <w:unhideWhenUsed/>
    <w:rsid w:val="0081726B"/>
  </w:style>
  <w:style w:type="paragraph" w:styleId="BodyText">
    <w:name w:val="Body Text"/>
    <w:link w:val="BodyTextChar"/>
    <w:rsid w:val="0081726B"/>
    <w:pPr>
      <w:spacing w:after="120" w:line="340" w:lineRule="atLeast"/>
      <w:jc w:val="both"/>
    </w:pPr>
    <w:rPr>
      <w:rFonts w:ascii="Palatino Linotype" w:eastAsiaTheme="minorEastAsia" w:hAnsi="Palatino Linotype"/>
      <w:color w:val="000000"/>
      <w:sz w:val="24"/>
      <w:lang w:eastAsia="de-DE"/>
    </w:rPr>
  </w:style>
  <w:style w:type="character" w:customStyle="1" w:styleId="BodyTextChar">
    <w:name w:val="Body Text Char"/>
    <w:basedOn w:val="DefaultParagraphFont"/>
    <w:link w:val="BodyText"/>
    <w:rsid w:val="0081726B"/>
    <w:rPr>
      <w:rFonts w:ascii="Palatino Linotype" w:eastAsiaTheme="minorEastAsia" w:hAnsi="Palatino Linotype"/>
      <w:color w:val="000000"/>
      <w:sz w:val="24"/>
      <w:lang w:eastAsia="de-DE"/>
    </w:rPr>
  </w:style>
  <w:style w:type="character" w:styleId="CommentReference">
    <w:name w:val="annotation reference"/>
    <w:basedOn w:val="DefaultParagraphFont"/>
    <w:rsid w:val="0081726B"/>
    <w:rPr>
      <w:sz w:val="21"/>
      <w:szCs w:val="21"/>
    </w:rPr>
  </w:style>
  <w:style w:type="paragraph" w:styleId="CommentText">
    <w:name w:val="annotation text"/>
    <w:basedOn w:val="Normal"/>
    <w:link w:val="CommentTextChar"/>
    <w:rsid w:val="0081726B"/>
  </w:style>
  <w:style w:type="character" w:customStyle="1" w:styleId="CommentTextChar">
    <w:name w:val="Comment Text Char"/>
    <w:basedOn w:val="DefaultParagraphFont"/>
    <w:link w:val="CommentText"/>
    <w:rsid w:val="0081726B"/>
    <w:rPr>
      <w:rFonts w:ascii="Palatino Linotype" w:eastAsiaTheme="minorEastAsia" w:hAnsi="Palatino Linotype"/>
      <w:color w:val="000000"/>
    </w:rPr>
  </w:style>
  <w:style w:type="paragraph" w:styleId="CommentSubject">
    <w:name w:val="annotation subject"/>
    <w:basedOn w:val="CommentText"/>
    <w:next w:val="CommentText"/>
    <w:link w:val="CommentSubjectChar"/>
    <w:rsid w:val="0081726B"/>
    <w:rPr>
      <w:b/>
      <w:bCs/>
    </w:rPr>
  </w:style>
  <w:style w:type="character" w:customStyle="1" w:styleId="CommentSubjectChar">
    <w:name w:val="Comment Subject Char"/>
    <w:basedOn w:val="CommentTextChar"/>
    <w:link w:val="CommentSubject"/>
    <w:rsid w:val="0081726B"/>
    <w:rPr>
      <w:rFonts w:ascii="Palatino Linotype" w:eastAsiaTheme="minorEastAsia" w:hAnsi="Palatino Linotype"/>
      <w:b/>
      <w:bCs/>
      <w:color w:val="000000"/>
    </w:rPr>
  </w:style>
  <w:style w:type="character" w:styleId="EndnoteReference">
    <w:name w:val="endnote reference"/>
    <w:basedOn w:val="DefaultParagraphFont"/>
    <w:rsid w:val="0081726B"/>
    <w:rPr>
      <w:vertAlign w:val="superscript"/>
    </w:rPr>
  </w:style>
  <w:style w:type="paragraph" w:styleId="EndnoteText">
    <w:name w:val="endnote text"/>
    <w:basedOn w:val="Normal"/>
    <w:link w:val="EndnoteTextChar"/>
    <w:semiHidden/>
    <w:unhideWhenUsed/>
    <w:rsid w:val="0081726B"/>
    <w:pPr>
      <w:spacing w:line="240" w:lineRule="auto"/>
    </w:pPr>
  </w:style>
  <w:style w:type="character" w:customStyle="1" w:styleId="EndnoteTextChar">
    <w:name w:val="Endnote Text Char"/>
    <w:basedOn w:val="DefaultParagraphFont"/>
    <w:link w:val="EndnoteText"/>
    <w:semiHidden/>
    <w:rsid w:val="0081726B"/>
    <w:rPr>
      <w:rFonts w:ascii="Palatino Linotype" w:eastAsiaTheme="minorEastAsia" w:hAnsi="Palatino Linotype"/>
      <w:color w:val="000000"/>
    </w:rPr>
  </w:style>
  <w:style w:type="character" w:styleId="FollowedHyperlink">
    <w:name w:val="FollowedHyperlink"/>
    <w:basedOn w:val="DefaultParagraphFont"/>
    <w:rsid w:val="0081726B"/>
    <w:rPr>
      <w:color w:val="954F72" w:themeColor="followedHyperlink"/>
      <w:u w:val="single"/>
    </w:rPr>
  </w:style>
  <w:style w:type="paragraph" w:styleId="FootnoteText">
    <w:name w:val="footnote text"/>
    <w:basedOn w:val="Normal"/>
    <w:link w:val="FootnoteTextChar"/>
    <w:semiHidden/>
    <w:unhideWhenUsed/>
    <w:rsid w:val="0081726B"/>
    <w:pPr>
      <w:spacing w:line="240" w:lineRule="auto"/>
    </w:pPr>
  </w:style>
  <w:style w:type="character" w:customStyle="1" w:styleId="FootnoteTextChar">
    <w:name w:val="Footnote Text Char"/>
    <w:basedOn w:val="DefaultParagraphFont"/>
    <w:link w:val="FootnoteText"/>
    <w:semiHidden/>
    <w:rsid w:val="0081726B"/>
    <w:rPr>
      <w:rFonts w:ascii="Palatino Linotype" w:eastAsiaTheme="minorEastAsia" w:hAnsi="Palatino Linotype"/>
      <w:color w:val="000000"/>
    </w:rPr>
  </w:style>
  <w:style w:type="paragraph" w:styleId="NormalWeb">
    <w:name w:val="Normal (Web)"/>
    <w:basedOn w:val="Normal"/>
    <w:uiPriority w:val="99"/>
    <w:rsid w:val="0081726B"/>
    <w:rPr>
      <w:szCs w:val="24"/>
    </w:rPr>
  </w:style>
  <w:style w:type="paragraph" w:customStyle="1" w:styleId="MsoFootnoteText0">
    <w:name w:val="MsoFootnoteText"/>
    <w:basedOn w:val="NormalWeb"/>
    <w:qFormat/>
    <w:rsid w:val="0081726B"/>
    <w:rPr>
      <w:rFonts w:ascii="Times New Roman" w:hAnsi="Times New Roman"/>
    </w:rPr>
  </w:style>
  <w:style w:type="character" w:styleId="PageNumber">
    <w:name w:val="page number"/>
    <w:basedOn w:val="DefaultParagraphFont"/>
    <w:rsid w:val="0081726B"/>
  </w:style>
  <w:style w:type="character" w:styleId="PlaceholderText">
    <w:name w:val="Placeholder Text"/>
    <w:basedOn w:val="DefaultParagraphFont"/>
    <w:uiPriority w:val="99"/>
    <w:semiHidden/>
    <w:rsid w:val="0081726B"/>
    <w:rPr>
      <w:color w:val="808080"/>
    </w:rPr>
  </w:style>
  <w:style w:type="paragraph" w:customStyle="1" w:styleId="MDPI71FootNotes">
    <w:name w:val="MDPI_7.1_FootNotes"/>
    <w:qFormat/>
    <w:rsid w:val="0081726B"/>
    <w:pPr>
      <w:numPr>
        <w:numId w:val="38"/>
      </w:numPr>
      <w:adjustRightInd w:val="0"/>
      <w:snapToGrid w:val="0"/>
      <w:spacing w:line="228" w:lineRule="auto"/>
    </w:pPr>
    <w:rPr>
      <w:rFonts w:ascii="Palatino Linotype" w:eastAsiaTheme="minorEastAsia" w:hAnsi="Palatino Linotype"/>
      <w:noProof/>
      <w:color w:val="000000"/>
      <w:sz w:val="18"/>
    </w:rPr>
  </w:style>
  <w:style w:type="paragraph" w:customStyle="1" w:styleId="BodyA">
    <w:name w:val="Body A"/>
    <w:rsid w:val="00D0052F"/>
    <w:pPr>
      <w:pBdr>
        <w:top w:val="nil"/>
        <w:left w:val="nil"/>
        <w:bottom w:val="nil"/>
        <w:right w:val="nil"/>
        <w:between w:val="nil"/>
        <w:bar w:val="nil"/>
      </w:pBdr>
    </w:pPr>
    <w:rPr>
      <w:rFonts w:ascii="Helvetica Neue" w:eastAsia="Arial Unicode MS" w:hAnsi="Helvetica Neue" w:cs="Arial Unicode MS"/>
      <w:color w:val="000000"/>
      <w:sz w:val="22"/>
      <w:szCs w:val="22"/>
      <w:u w:color="000000"/>
      <w:bdr w:val="nil"/>
      <w:lang w:eastAsia="en-GB"/>
    </w:rPr>
  </w:style>
  <w:style w:type="paragraph" w:customStyle="1" w:styleId="Default">
    <w:name w:val="Default"/>
    <w:rsid w:val="00D0052F"/>
    <w:pPr>
      <w:pBdr>
        <w:top w:val="nil"/>
        <w:left w:val="nil"/>
        <w:bottom w:val="nil"/>
        <w:right w:val="nil"/>
        <w:between w:val="nil"/>
        <w:bar w:val="nil"/>
      </w:pBdr>
      <w:spacing w:before="160"/>
    </w:pPr>
    <w:rPr>
      <w:rFonts w:ascii="Helvetica Neue" w:eastAsia="Arial Unicode MS" w:hAnsi="Helvetica Neue" w:cs="Arial Unicode MS"/>
      <w:color w:val="000000"/>
      <w:sz w:val="24"/>
      <w:szCs w:val="24"/>
      <w:u w:color="000000"/>
      <w:bdr w:val="nil"/>
      <w:lang w:eastAsia="en-GB"/>
    </w:rPr>
  </w:style>
  <w:style w:type="character" w:customStyle="1" w:styleId="None">
    <w:name w:val="None"/>
    <w:rsid w:val="00D0052F"/>
  </w:style>
  <w:style w:type="paragraph" w:customStyle="1" w:styleId="BodyD">
    <w:name w:val="Body D"/>
    <w:rsid w:val="00D0052F"/>
    <w:pPr>
      <w:pBdr>
        <w:top w:val="nil"/>
        <w:left w:val="nil"/>
        <w:bottom w:val="nil"/>
        <w:right w:val="nil"/>
        <w:between w:val="nil"/>
        <w:bar w:val="nil"/>
      </w:pBdr>
    </w:pPr>
    <w:rPr>
      <w:rFonts w:ascii="Times New Roman" w:eastAsia="Arial Unicode MS" w:hAnsi="Times New Roman" w:cs="Arial Unicode MS"/>
      <w:color w:val="000000"/>
      <w:sz w:val="24"/>
      <w:szCs w:val="24"/>
      <w:u w:color="000000"/>
      <w:bdr w:val="nil"/>
      <w:lang w:eastAsia="en-GB"/>
    </w:rPr>
  </w:style>
  <w:style w:type="paragraph" w:customStyle="1" w:styleId="BodyE">
    <w:name w:val="Body E"/>
    <w:rsid w:val="00D0052F"/>
    <w:pPr>
      <w:pBdr>
        <w:top w:val="nil"/>
        <w:left w:val="nil"/>
        <w:bottom w:val="nil"/>
        <w:right w:val="nil"/>
        <w:between w:val="nil"/>
        <w:bar w:val="nil"/>
      </w:pBdr>
    </w:pPr>
    <w:rPr>
      <w:rFonts w:ascii="Times New Roman" w:eastAsia="Arial Unicode MS" w:hAnsi="Times New Roman" w:cs="Arial Unicode MS"/>
      <w:color w:val="000000"/>
      <w:sz w:val="24"/>
      <w:szCs w:val="24"/>
      <w:u w:color="000000"/>
      <w:bdr w:val="nil"/>
      <w:lang w:eastAsia="en-GB"/>
    </w:rPr>
  </w:style>
  <w:style w:type="paragraph" w:customStyle="1" w:styleId="BodyC">
    <w:name w:val="Body C"/>
    <w:rsid w:val="00D0052F"/>
    <w:pPr>
      <w:pBdr>
        <w:top w:val="nil"/>
        <w:left w:val="nil"/>
        <w:bottom w:val="nil"/>
        <w:right w:val="nil"/>
        <w:between w:val="nil"/>
        <w:bar w:val="nil"/>
      </w:pBdr>
    </w:pPr>
    <w:rPr>
      <w:rFonts w:ascii="Times New Roman" w:eastAsia="Arial Unicode MS" w:hAnsi="Times New Roman" w:cs="Arial Unicode MS"/>
      <w:color w:val="000000"/>
      <w:sz w:val="24"/>
      <w:szCs w:val="24"/>
      <w:u w:color="000000"/>
      <w:bdr w:val="nil"/>
      <w:lang w:eastAsia="en-GB"/>
    </w:rPr>
  </w:style>
  <w:style w:type="paragraph" w:customStyle="1" w:styleId="BodyCA">
    <w:name w:val="Body C A"/>
    <w:rsid w:val="00185FDF"/>
    <w:pPr>
      <w:pBdr>
        <w:top w:val="nil"/>
        <w:left w:val="nil"/>
        <w:bottom w:val="nil"/>
        <w:right w:val="nil"/>
        <w:between w:val="nil"/>
        <w:bar w:val="nil"/>
      </w:pBdr>
    </w:pPr>
    <w:rPr>
      <w:rFonts w:ascii="Times New Roman" w:eastAsia="Arial Unicode MS" w:hAnsi="Times New Roman" w:cs="Arial Unicode MS"/>
      <w:color w:val="000000"/>
      <w:sz w:val="24"/>
      <w:szCs w:val="24"/>
      <w:u w:color="000000"/>
      <w:bdr w:val="nil"/>
      <w:lang w:eastAsia="en-GB"/>
    </w:rPr>
  </w:style>
  <w:style w:type="paragraph" w:customStyle="1" w:styleId="BodyB">
    <w:name w:val="Body B"/>
    <w:rsid w:val="00EA43DA"/>
    <w:pPr>
      <w:pBdr>
        <w:top w:val="nil"/>
        <w:left w:val="nil"/>
        <w:bottom w:val="nil"/>
        <w:right w:val="nil"/>
        <w:between w:val="nil"/>
        <w:bar w:val="nil"/>
      </w:pBdr>
    </w:pPr>
    <w:rPr>
      <w:rFonts w:ascii="Times New Roman" w:eastAsia="Times New Roman" w:hAnsi="Times New Roman"/>
      <w:color w:val="000000"/>
      <w:sz w:val="24"/>
      <w:szCs w:val="24"/>
      <w:u w:color="000000"/>
      <w:bdr w:val="nil"/>
      <w:lang w:eastAsia="en-GB"/>
    </w:rPr>
  </w:style>
  <w:style w:type="paragraph" w:customStyle="1" w:styleId="TableStyle2A">
    <w:name w:val="Table Style 2 A"/>
    <w:rsid w:val="0007334C"/>
    <w:pPr>
      <w:pBdr>
        <w:top w:val="nil"/>
        <w:left w:val="nil"/>
        <w:bottom w:val="nil"/>
        <w:right w:val="nil"/>
        <w:between w:val="nil"/>
        <w:bar w:val="nil"/>
      </w:pBdr>
    </w:pPr>
    <w:rPr>
      <w:rFonts w:ascii="Helvetica Neue" w:eastAsia="Arial Unicode MS" w:hAnsi="Helvetica Neue" w:cs="Arial Unicode MS"/>
      <w:color w:val="000000"/>
      <w:u w:color="000000"/>
      <w:bdr w:val="nil"/>
      <w:lang w:eastAsia="en-GB"/>
    </w:rPr>
  </w:style>
  <w:style w:type="character" w:customStyle="1" w:styleId="UnresolvedMention2">
    <w:name w:val="Unresolved Mention2"/>
    <w:basedOn w:val="DefaultParagraphFont"/>
    <w:uiPriority w:val="99"/>
    <w:semiHidden/>
    <w:unhideWhenUsed/>
    <w:rsid w:val="006A6E60"/>
    <w:rPr>
      <w:color w:val="605E5C"/>
      <w:shd w:val="clear" w:color="auto" w:fill="E1DFDD"/>
    </w:rPr>
  </w:style>
  <w:style w:type="character" w:customStyle="1" w:styleId="gwp5ea76120s1">
    <w:name w:val="gwp5ea76120_s1"/>
    <w:basedOn w:val="DefaultParagraphFont"/>
    <w:rsid w:val="003A7A86"/>
  </w:style>
  <w:style w:type="character" w:customStyle="1" w:styleId="gwp5ea76120s2">
    <w:name w:val="gwp5ea76120_s2"/>
    <w:basedOn w:val="DefaultParagraphFont"/>
    <w:rsid w:val="003A7A86"/>
  </w:style>
  <w:style w:type="character" w:customStyle="1" w:styleId="gwp5ea76120apple-converted-space">
    <w:name w:val="gwp5ea76120_apple-converted-space"/>
    <w:basedOn w:val="DefaultParagraphFont"/>
    <w:rsid w:val="003A7A86"/>
  </w:style>
  <w:style w:type="paragraph" w:styleId="Revision">
    <w:name w:val="Revision"/>
    <w:hidden/>
    <w:uiPriority w:val="99"/>
    <w:semiHidden/>
    <w:rsid w:val="007E7A90"/>
    <w:rPr>
      <w:rFonts w:ascii="Palatino Linotype" w:eastAsiaTheme="minorEastAsia" w:hAnsi="Palatino Linotype"/>
      <w:color w:val="000000"/>
    </w:rPr>
  </w:style>
  <w:style w:type="paragraph" w:styleId="ListParagraph">
    <w:name w:val="List Paragraph"/>
    <w:basedOn w:val="Normal"/>
    <w:uiPriority w:val="34"/>
    <w:qFormat/>
    <w:rsid w:val="00EA3A1B"/>
    <w:pPr>
      <w:ind w:left="720"/>
      <w:contextualSpacing/>
    </w:pPr>
    <w:rPr>
      <w:rFonts w:eastAsia="SimSun"/>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iso-8859-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E4C9DE-62F4-4B59-BBBA-9CB13A6609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17</Pages>
  <Words>7568</Words>
  <Characters>43138</Characters>
  <Application>Microsoft Office Word</Application>
  <DocSecurity>0</DocSecurity>
  <Lines>359</Lines>
  <Paragraphs>101</Paragraphs>
  <ScaleCrop>false</ScaleCrop>
  <HeadingPairs>
    <vt:vector size="6" baseType="variant">
      <vt:variant>
        <vt:lpstr>Title</vt:lpstr>
      </vt:variant>
      <vt:variant>
        <vt:i4>1</vt:i4>
      </vt:variant>
      <vt:variant>
        <vt:lpstr>Tytuł</vt:lpstr>
      </vt:variant>
      <vt:variant>
        <vt:i4>1</vt:i4>
      </vt:variant>
      <vt:variant>
        <vt:lpstr>Konu Başlığı</vt:lpstr>
      </vt:variant>
      <vt:variant>
        <vt:i4>1</vt:i4>
      </vt:variant>
    </vt:vector>
  </HeadingPairs>
  <TitlesOfParts>
    <vt:vector size="3" baseType="lpstr">
      <vt:lpstr>Type of the Paper (Article</vt:lpstr>
      <vt:lpstr>Type of the Paper (Article</vt:lpstr>
      <vt:lpstr>Type of the Paper (Article</vt:lpstr>
    </vt:vector>
  </TitlesOfParts>
  <Company/>
  <LinksUpToDate>false</LinksUpToDate>
  <CharactersWithSpaces>50605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of the Paper (Article</dc:title>
  <dc:creator>Gawronska, Julia (Postgraduate Researcher)</dc:creator>
  <cp:lastModifiedBy>Smith, Lee</cp:lastModifiedBy>
  <cp:revision>2</cp:revision>
  <cp:lastPrinted>2022-12-29T07:52:00Z</cp:lastPrinted>
  <dcterms:created xsi:type="dcterms:W3CDTF">2022-12-30T15:20:00Z</dcterms:created>
  <dcterms:modified xsi:type="dcterms:W3CDTF">2022-12-30T15:20:00Z</dcterms:modified>
</cp:coreProperties>
</file>