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DB93" w14:textId="77777777" w:rsidR="00D3192E" w:rsidRPr="00D3192E" w:rsidRDefault="00D3192E" w:rsidP="00D3192E">
      <w:pPr>
        <w:spacing w:line="360" w:lineRule="auto"/>
        <w:jc w:val="center"/>
        <w:rPr>
          <w:rFonts w:ascii="Times New Roman" w:eastAsia="Calibri" w:hAnsi="Times New Roman" w:cs="Times New Roman"/>
          <w:b/>
          <w:sz w:val="24"/>
          <w:szCs w:val="24"/>
        </w:rPr>
      </w:pPr>
      <w:r w:rsidRPr="00D3192E">
        <w:rPr>
          <w:rFonts w:ascii="Times New Roman" w:eastAsia="Calibri" w:hAnsi="Times New Roman" w:cs="Times New Roman"/>
          <w:b/>
          <w:sz w:val="24"/>
          <w:szCs w:val="24"/>
        </w:rPr>
        <w:t>Functional loss and worsening geriatric assessment parameters are more common in dementia with Lewy Bodies than Alzheimer’s disease</w:t>
      </w:r>
    </w:p>
    <w:p w14:paraId="3BE45F75" w14:textId="77777777" w:rsidR="00D3192E" w:rsidRPr="00D3192E" w:rsidRDefault="00D3192E" w:rsidP="00D3192E">
      <w:pPr>
        <w:spacing w:line="360" w:lineRule="auto"/>
        <w:jc w:val="center"/>
        <w:rPr>
          <w:rFonts w:ascii="Times New Roman" w:eastAsia="Calibri" w:hAnsi="Times New Roman" w:cs="Times New Roman"/>
          <w:b/>
          <w:sz w:val="24"/>
          <w:szCs w:val="24"/>
        </w:rPr>
      </w:pPr>
      <w:r w:rsidRPr="00D3192E">
        <w:rPr>
          <w:rFonts w:ascii="Times New Roman" w:eastAsia="Calibri" w:hAnsi="Times New Roman" w:cs="Times New Roman"/>
          <w:b/>
          <w:sz w:val="24"/>
          <w:szCs w:val="24"/>
        </w:rPr>
        <w:t>Pinar Soysal</w:t>
      </w:r>
      <w:r w:rsidRPr="00D3192E">
        <w:rPr>
          <w:rFonts w:ascii="Times New Roman" w:eastAsia="Calibri" w:hAnsi="Times New Roman" w:cs="Times New Roman"/>
          <w:b/>
          <w:sz w:val="24"/>
          <w:szCs w:val="24"/>
          <w:vertAlign w:val="superscript"/>
        </w:rPr>
        <w:t>1</w:t>
      </w:r>
      <w:r w:rsidRPr="00D3192E">
        <w:rPr>
          <w:rFonts w:ascii="Times New Roman" w:eastAsia="Calibri" w:hAnsi="Times New Roman" w:cs="Times New Roman"/>
          <w:b/>
          <w:sz w:val="24"/>
          <w:szCs w:val="24"/>
        </w:rPr>
        <w:t>, Saadet Koc Okudur</w:t>
      </w:r>
      <w:r w:rsidRPr="00D3192E">
        <w:rPr>
          <w:rFonts w:ascii="Times New Roman" w:eastAsia="Calibri" w:hAnsi="Times New Roman" w:cs="Times New Roman"/>
          <w:b/>
          <w:sz w:val="24"/>
          <w:szCs w:val="24"/>
          <w:vertAlign w:val="superscript"/>
        </w:rPr>
        <w:t>2</w:t>
      </w:r>
      <w:r w:rsidRPr="00D3192E">
        <w:rPr>
          <w:rFonts w:ascii="Times New Roman" w:eastAsia="Calibri" w:hAnsi="Times New Roman" w:cs="Times New Roman"/>
          <w:b/>
          <w:sz w:val="24"/>
          <w:szCs w:val="24"/>
        </w:rPr>
        <w:t>, Ferda Uslu</w:t>
      </w:r>
      <w:r w:rsidRPr="00D3192E">
        <w:rPr>
          <w:rFonts w:ascii="Times New Roman" w:eastAsia="Calibri" w:hAnsi="Times New Roman" w:cs="Times New Roman"/>
          <w:b/>
          <w:sz w:val="24"/>
          <w:szCs w:val="24"/>
          <w:vertAlign w:val="superscript"/>
        </w:rPr>
        <w:t>3</w:t>
      </w:r>
      <w:r w:rsidRPr="00D3192E">
        <w:rPr>
          <w:rFonts w:ascii="Times New Roman" w:eastAsia="Calibri" w:hAnsi="Times New Roman" w:cs="Times New Roman"/>
          <w:b/>
          <w:sz w:val="24"/>
          <w:szCs w:val="24"/>
        </w:rPr>
        <w:t>, Lee Smith</w:t>
      </w:r>
      <w:r w:rsidRPr="00D3192E">
        <w:rPr>
          <w:rFonts w:ascii="Times New Roman" w:eastAsia="Calibri" w:hAnsi="Times New Roman" w:cs="Times New Roman"/>
          <w:b/>
          <w:sz w:val="24"/>
          <w:szCs w:val="24"/>
          <w:vertAlign w:val="superscript"/>
        </w:rPr>
        <w:t>4</w:t>
      </w:r>
    </w:p>
    <w:p w14:paraId="432EE92A"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 xml:space="preserve">1 Department of Geriatric Medicine, Faculty of Medicine, </w:t>
      </w:r>
      <w:proofErr w:type="spellStart"/>
      <w:r w:rsidRPr="00D3192E">
        <w:rPr>
          <w:rFonts w:ascii="Times New Roman" w:eastAsia="Calibri" w:hAnsi="Times New Roman" w:cs="Times New Roman"/>
          <w:bCs/>
          <w:sz w:val="24"/>
          <w:szCs w:val="24"/>
          <w:lang w:val="en-GB"/>
        </w:rPr>
        <w:t>Bezmialem</w:t>
      </w:r>
      <w:proofErr w:type="spellEnd"/>
      <w:r w:rsidRPr="00D3192E">
        <w:rPr>
          <w:rFonts w:ascii="Times New Roman" w:eastAsia="Calibri" w:hAnsi="Times New Roman" w:cs="Times New Roman"/>
          <w:bCs/>
          <w:sz w:val="24"/>
          <w:szCs w:val="24"/>
          <w:lang w:val="en-GB"/>
        </w:rPr>
        <w:t xml:space="preserve"> </w:t>
      </w:r>
      <w:proofErr w:type="spellStart"/>
      <w:r w:rsidRPr="00D3192E">
        <w:rPr>
          <w:rFonts w:ascii="Times New Roman" w:eastAsia="Calibri" w:hAnsi="Times New Roman" w:cs="Times New Roman"/>
          <w:bCs/>
          <w:sz w:val="24"/>
          <w:szCs w:val="24"/>
          <w:lang w:val="en-GB"/>
        </w:rPr>
        <w:t>Vakif</w:t>
      </w:r>
      <w:proofErr w:type="spellEnd"/>
      <w:r w:rsidRPr="00D3192E">
        <w:rPr>
          <w:rFonts w:ascii="Times New Roman" w:eastAsia="Calibri" w:hAnsi="Times New Roman" w:cs="Times New Roman"/>
          <w:bCs/>
          <w:sz w:val="24"/>
          <w:szCs w:val="24"/>
          <w:lang w:val="en-GB"/>
        </w:rPr>
        <w:t xml:space="preserve"> University, Adnan Menderes </w:t>
      </w:r>
      <w:proofErr w:type="spellStart"/>
      <w:r w:rsidRPr="00D3192E">
        <w:rPr>
          <w:rFonts w:ascii="Times New Roman" w:eastAsia="Calibri" w:hAnsi="Times New Roman" w:cs="Times New Roman"/>
          <w:bCs/>
          <w:sz w:val="24"/>
          <w:szCs w:val="24"/>
          <w:lang w:val="en-GB"/>
        </w:rPr>
        <w:t>Bulvarı</w:t>
      </w:r>
      <w:proofErr w:type="spellEnd"/>
      <w:r w:rsidRPr="00D3192E">
        <w:rPr>
          <w:rFonts w:ascii="Times New Roman" w:eastAsia="Calibri" w:hAnsi="Times New Roman" w:cs="Times New Roman"/>
          <w:bCs/>
          <w:sz w:val="24"/>
          <w:szCs w:val="24"/>
          <w:lang w:val="en-GB"/>
        </w:rPr>
        <w:t xml:space="preserve"> (Vatan Street), 34093 </w:t>
      </w:r>
      <w:proofErr w:type="spellStart"/>
      <w:r w:rsidRPr="00D3192E">
        <w:rPr>
          <w:rFonts w:ascii="Times New Roman" w:eastAsia="Calibri" w:hAnsi="Times New Roman" w:cs="Times New Roman"/>
          <w:bCs/>
          <w:sz w:val="24"/>
          <w:szCs w:val="24"/>
          <w:lang w:val="en-GB"/>
        </w:rPr>
        <w:t>Fatih</w:t>
      </w:r>
      <w:proofErr w:type="spellEnd"/>
      <w:r w:rsidRPr="00D3192E">
        <w:rPr>
          <w:rFonts w:ascii="Times New Roman" w:eastAsia="Calibri" w:hAnsi="Times New Roman" w:cs="Times New Roman"/>
          <w:bCs/>
          <w:sz w:val="24"/>
          <w:szCs w:val="24"/>
          <w:lang w:val="en-GB"/>
        </w:rPr>
        <w:t>, İstanbul, Turkey.</w:t>
      </w:r>
    </w:p>
    <w:p w14:paraId="79B3CC0B"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 xml:space="preserve">2 Department of Geriatric Medicine, </w:t>
      </w:r>
      <w:proofErr w:type="spellStart"/>
      <w:r w:rsidRPr="00D3192E">
        <w:rPr>
          <w:rFonts w:ascii="Times New Roman" w:eastAsia="Calibri" w:hAnsi="Times New Roman" w:cs="Times New Roman"/>
          <w:bCs/>
          <w:sz w:val="24"/>
          <w:szCs w:val="24"/>
          <w:lang w:val="en-GB"/>
        </w:rPr>
        <w:t>Manisa</w:t>
      </w:r>
      <w:proofErr w:type="spellEnd"/>
      <w:r w:rsidRPr="00D3192E">
        <w:rPr>
          <w:rFonts w:ascii="Times New Roman" w:eastAsia="Calibri" w:hAnsi="Times New Roman" w:cs="Times New Roman"/>
          <w:bCs/>
          <w:sz w:val="24"/>
          <w:szCs w:val="24"/>
          <w:lang w:val="en-GB"/>
        </w:rPr>
        <w:t xml:space="preserve"> State Hospital, </w:t>
      </w:r>
      <w:proofErr w:type="spellStart"/>
      <w:r w:rsidRPr="00D3192E">
        <w:rPr>
          <w:rFonts w:ascii="Times New Roman" w:eastAsia="Calibri" w:hAnsi="Times New Roman" w:cs="Times New Roman"/>
          <w:bCs/>
          <w:sz w:val="24"/>
          <w:szCs w:val="24"/>
          <w:lang w:val="en-GB"/>
        </w:rPr>
        <w:t>Manisa</w:t>
      </w:r>
      <w:proofErr w:type="spellEnd"/>
      <w:r w:rsidRPr="00D3192E">
        <w:rPr>
          <w:rFonts w:ascii="Times New Roman" w:eastAsia="Calibri" w:hAnsi="Times New Roman" w:cs="Times New Roman"/>
          <w:bCs/>
          <w:sz w:val="24"/>
          <w:szCs w:val="24"/>
          <w:lang w:val="en-GB"/>
        </w:rPr>
        <w:t>, Turkey.</w:t>
      </w:r>
    </w:p>
    <w:p w14:paraId="01A7AF65"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 xml:space="preserve">3, Department of Neurology, Faculty of Medicine, </w:t>
      </w:r>
      <w:proofErr w:type="spellStart"/>
      <w:r w:rsidRPr="00D3192E">
        <w:rPr>
          <w:rFonts w:ascii="Times New Roman" w:eastAsia="Calibri" w:hAnsi="Times New Roman" w:cs="Times New Roman"/>
          <w:bCs/>
          <w:sz w:val="24"/>
          <w:szCs w:val="24"/>
          <w:lang w:val="en-GB"/>
        </w:rPr>
        <w:t>Bezmialem</w:t>
      </w:r>
      <w:proofErr w:type="spellEnd"/>
      <w:r w:rsidRPr="00D3192E">
        <w:rPr>
          <w:rFonts w:ascii="Times New Roman" w:eastAsia="Calibri" w:hAnsi="Times New Roman" w:cs="Times New Roman"/>
          <w:bCs/>
          <w:sz w:val="24"/>
          <w:szCs w:val="24"/>
          <w:lang w:val="en-GB"/>
        </w:rPr>
        <w:t xml:space="preserve"> </w:t>
      </w:r>
      <w:proofErr w:type="spellStart"/>
      <w:r w:rsidRPr="00D3192E">
        <w:rPr>
          <w:rFonts w:ascii="Times New Roman" w:eastAsia="Calibri" w:hAnsi="Times New Roman" w:cs="Times New Roman"/>
          <w:bCs/>
          <w:sz w:val="24"/>
          <w:szCs w:val="24"/>
          <w:lang w:val="en-GB"/>
        </w:rPr>
        <w:t>Vakif</w:t>
      </w:r>
      <w:proofErr w:type="spellEnd"/>
      <w:r w:rsidRPr="00D3192E">
        <w:rPr>
          <w:rFonts w:ascii="Times New Roman" w:eastAsia="Calibri" w:hAnsi="Times New Roman" w:cs="Times New Roman"/>
          <w:bCs/>
          <w:sz w:val="24"/>
          <w:szCs w:val="24"/>
          <w:lang w:val="en-GB"/>
        </w:rPr>
        <w:t xml:space="preserve"> University, İstanbul, Turkey.</w:t>
      </w:r>
    </w:p>
    <w:p w14:paraId="190070AA"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4 Centre for Health, Performance, and Wellbeing, Anglia Ruskin University, Cambridge, UK.</w:t>
      </w:r>
    </w:p>
    <w:p w14:paraId="40EEDB5D" w14:textId="77777777" w:rsidR="00D3192E" w:rsidRPr="00D3192E" w:rsidRDefault="00D3192E" w:rsidP="00D3192E">
      <w:pPr>
        <w:spacing w:line="360" w:lineRule="auto"/>
        <w:rPr>
          <w:rFonts w:ascii="Times New Roman" w:eastAsia="Calibri" w:hAnsi="Times New Roman" w:cs="Times New Roman"/>
          <w:b/>
          <w:bCs/>
          <w:sz w:val="24"/>
          <w:szCs w:val="24"/>
          <w:lang w:val="en-GB"/>
        </w:rPr>
      </w:pPr>
      <w:r w:rsidRPr="00D3192E">
        <w:rPr>
          <w:rFonts w:ascii="Times New Roman" w:eastAsia="Calibri" w:hAnsi="Times New Roman" w:cs="Times New Roman"/>
          <w:b/>
          <w:bCs/>
          <w:sz w:val="24"/>
          <w:szCs w:val="24"/>
          <w:lang w:val="en-GB"/>
        </w:rPr>
        <w:t xml:space="preserve">Running title: </w:t>
      </w:r>
      <w:proofErr w:type="gramStart"/>
      <w:r w:rsidRPr="00D3192E">
        <w:rPr>
          <w:rFonts w:ascii="Times New Roman" w:eastAsia="Calibri" w:hAnsi="Times New Roman" w:cs="Times New Roman"/>
          <w:sz w:val="24"/>
          <w:szCs w:val="24"/>
          <w:lang w:val="en-GB"/>
        </w:rPr>
        <w:t>Older</w:t>
      </w:r>
      <w:proofErr w:type="gramEnd"/>
      <w:r w:rsidRPr="00D3192E">
        <w:rPr>
          <w:rFonts w:ascii="Times New Roman" w:eastAsia="Calibri" w:hAnsi="Times New Roman" w:cs="Times New Roman"/>
          <w:sz w:val="24"/>
          <w:szCs w:val="24"/>
          <w:lang w:val="en-GB"/>
        </w:rPr>
        <w:t xml:space="preserve"> patients with DLB and AD</w:t>
      </w:r>
    </w:p>
    <w:p w14:paraId="26624735"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
          <w:bCs/>
          <w:sz w:val="24"/>
          <w:szCs w:val="24"/>
          <w:lang w:val="en-GB"/>
        </w:rPr>
        <w:t>Corresponding author</w:t>
      </w:r>
      <w:r w:rsidRPr="00D3192E">
        <w:rPr>
          <w:rFonts w:ascii="Times New Roman" w:eastAsia="Calibri" w:hAnsi="Times New Roman" w:cs="Times New Roman"/>
          <w:bCs/>
          <w:sz w:val="24"/>
          <w:szCs w:val="24"/>
          <w:lang w:val="en-GB"/>
        </w:rPr>
        <w:t>: Pinar Soysal</w:t>
      </w:r>
    </w:p>
    <w:p w14:paraId="235271E8" w14:textId="77777777" w:rsidR="00D3192E" w:rsidRPr="00D3192E" w:rsidRDefault="00D3192E" w:rsidP="00D3192E">
      <w:pPr>
        <w:spacing w:line="360" w:lineRule="auto"/>
        <w:rPr>
          <w:rFonts w:ascii="Times New Roman" w:eastAsia="Calibri" w:hAnsi="Times New Roman" w:cs="Times New Roman"/>
          <w:bCs/>
          <w:sz w:val="24"/>
          <w:szCs w:val="24"/>
          <w:lang w:val="en-GB"/>
        </w:rPr>
      </w:pPr>
      <w:proofErr w:type="spellStart"/>
      <w:r w:rsidRPr="00D3192E">
        <w:rPr>
          <w:rFonts w:ascii="Times New Roman" w:eastAsia="Calibri" w:hAnsi="Times New Roman" w:cs="Times New Roman"/>
          <w:bCs/>
          <w:sz w:val="24"/>
          <w:szCs w:val="24"/>
          <w:lang w:val="en-GB"/>
        </w:rPr>
        <w:t>Bezmialem</w:t>
      </w:r>
      <w:proofErr w:type="spellEnd"/>
      <w:r w:rsidRPr="00D3192E">
        <w:rPr>
          <w:rFonts w:ascii="Times New Roman" w:eastAsia="Calibri" w:hAnsi="Times New Roman" w:cs="Times New Roman"/>
          <w:bCs/>
          <w:sz w:val="24"/>
          <w:szCs w:val="24"/>
          <w:lang w:val="en-GB"/>
        </w:rPr>
        <w:t xml:space="preserve"> </w:t>
      </w:r>
      <w:proofErr w:type="spellStart"/>
      <w:r w:rsidRPr="00D3192E">
        <w:rPr>
          <w:rFonts w:ascii="Times New Roman" w:eastAsia="Calibri" w:hAnsi="Times New Roman" w:cs="Times New Roman"/>
          <w:bCs/>
          <w:sz w:val="24"/>
          <w:szCs w:val="24"/>
          <w:lang w:val="en-GB"/>
        </w:rPr>
        <w:t>Vakif</w:t>
      </w:r>
      <w:proofErr w:type="spellEnd"/>
      <w:r w:rsidRPr="00D3192E">
        <w:rPr>
          <w:rFonts w:ascii="Times New Roman" w:eastAsia="Calibri" w:hAnsi="Times New Roman" w:cs="Times New Roman"/>
          <w:bCs/>
          <w:sz w:val="24"/>
          <w:szCs w:val="24"/>
          <w:lang w:val="en-GB"/>
        </w:rPr>
        <w:t xml:space="preserve"> University, </w:t>
      </w:r>
      <w:r w:rsidRPr="00D3192E">
        <w:rPr>
          <w:rFonts w:ascii="Times New Roman" w:eastAsia="Calibri" w:hAnsi="Times New Roman" w:cs="Times New Roman"/>
          <w:bCs/>
          <w:sz w:val="24"/>
          <w:szCs w:val="24"/>
          <w:lang w:val="en-US"/>
        </w:rPr>
        <w:t>Department of Geriatric Medicine, Faculty of Medicine.</w:t>
      </w:r>
    </w:p>
    <w:p w14:paraId="2CE886DB" w14:textId="77777777" w:rsidR="00D3192E" w:rsidRPr="00D3192E" w:rsidRDefault="00D3192E" w:rsidP="00D3192E">
      <w:pPr>
        <w:spacing w:line="360" w:lineRule="auto"/>
        <w:rPr>
          <w:rFonts w:ascii="Times New Roman" w:eastAsia="Calibri" w:hAnsi="Times New Roman" w:cs="Times New Roman"/>
          <w:bCs/>
          <w:sz w:val="24"/>
          <w:szCs w:val="24"/>
          <w:lang w:val="en-US"/>
        </w:rPr>
      </w:pPr>
      <w:proofErr w:type="spellStart"/>
      <w:r w:rsidRPr="00D3192E">
        <w:rPr>
          <w:rFonts w:ascii="Times New Roman" w:eastAsia="Calibri" w:hAnsi="Times New Roman" w:cs="Times New Roman"/>
          <w:bCs/>
          <w:sz w:val="24"/>
          <w:szCs w:val="24"/>
          <w:lang w:val="en-US"/>
        </w:rPr>
        <w:t>Topkapı</w:t>
      </w:r>
      <w:proofErr w:type="spellEnd"/>
      <w:r w:rsidRPr="00D3192E">
        <w:rPr>
          <w:rFonts w:ascii="Times New Roman" w:eastAsia="Calibri" w:hAnsi="Times New Roman" w:cs="Times New Roman"/>
          <w:bCs/>
          <w:sz w:val="24"/>
          <w:szCs w:val="24"/>
          <w:lang w:val="en-US"/>
        </w:rPr>
        <w:t xml:space="preserve">, Adnan Menderes </w:t>
      </w:r>
      <w:proofErr w:type="spellStart"/>
      <w:r w:rsidRPr="00D3192E">
        <w:rPr>
          <w:rFonts w:ascii="Times New Roman" w:eastAsia="Calibri" w:hAnsi="Times New Roman" w:cs="Times New Roman"/>
          <w:bCs/>
          <w:sz w:val="24"/>
          <w:szCs w:val="24"/>
          <w:lang w:val="en-US"/>
        </w:rPr>
        <w:t>Blv</w:t>
      </w:r>
      <w:proofErr w:type="spellEnd"/>
      <w:r w:rsidRPr="00D3192E">
        <w:rPr>
          <w:rFonts w:ascii="Times New Roman" w:eastAsia="Calibri" w:hAnsi="Times New Roman" w:cs="Times New Roman"/>
          <w:bCs/>
          <w:sz w:val="24"/>
          <w:szCs w:val="24"/>
          <w:lang w:val="en-US"/>
        </w:rPr>
        <w:t xml:space="preserve">., 34093 </w:t>
      </w:r>
      <w:proofErr w:type="spellStart"/>
      <w:r w:rsidRPr="00D3192E">
        <w:rPr>
          <w:rFonts w:ascii="Times New Roman" w:eastAsia="Calibri" w:hAnsi="Times New Roman" w:cs="Times New Roman"/>
          <w:bCs/>
          <w:sz w:val="24"/>
          <w:szCs w:val="24"/>
          <w:lang w:val="en-US"/>
        </w:rPr>
        <w:t>Fatih</w:t>
      </w:r>
      <w:proofErr w:type="spellEnd"/>
      <w:r w:rsidRPr="00D3192E">
        <w:rPr>
          <w:rFonts w:ascii="Times New Roman" w:eastAsia="Calibri" w:hAnsi="Times New Roman" w:cs="Times New Roman"/>
          <w:bCs/>
          <w:sz w:val="24"/>
          <w:szCs w:val="24"/>
          <w:lang w:val="en-US"/>
        </w:rPr>
        <w:t xml:space="preserve">/İstanbul Email: </w:t>
      </w:r>
      <w:hyperlink r:id="rId5" w:history="1">
        <w:r w:rsidRPr="00D3192E">
          <w:rPr>
            <w:rFonts w:ascii="Times New Roman" w:eastAsia="Calibri" w:hAnsi="Times New Roman" w:cs="Times New Roman"/>
            <w:bCs/>
            <w:color w:val="0000FF"/>
            <w:sz w:val="24"/>
            <w:szCs w:val="24"/>
            <w:u w:val="single"/>
            <w:lang w:val="en-US"/>
          </w:rPr>
          <w:t>dr.pinarsoysal@hotmail.com</w:t>
        </w:r>
      </w:hyperlink>
    </w:p>
    <w:p w14:paraId="6F8A5486" w14:textId="77777777" w:rsidR="00D3192E" w:rsidRPr="00D3192E" w:rsidRDefault="00D3192E" w:rsidP="00D3192E">
      <w:pPr>
        <w:spacing w:line="360" w:lineRule="auto"/>
        <w:rPr>
          <w:rFonts w:ascii="Times New Roman" w:eastAsia="Calibri" w:hAnsi="Times New Roman" w:cs="Times New Roman"/>
          <w:b/>
          <w:bCs/>
          <w:sz w:val="24"/>
          <w:szCs w:val="24"/>
          <w:lang w:val="en-US"/>
        </w:rPr>
      </w:pPr>
      <w:r w:rsidRPr="00D3192E">
        <w:rPr>
          <w:rFonts w:ascii="Times New Roman" w:eastAsia="Calibri" w:hAnsi="Times New Roman" w:cs="Times New Roman"/>
          <w:b/>
          <w:bCs/>
          <w:sz w:val="24"/>
          <w:szCs w:val="24"/>
          <w:lang w:val="en-US"/>
        </w:rPr>
        <w:t xml:space="preserve">Authorship: </w:t>
      </w:r>
      <w:bookmarkStart w:id="0" w:name="_Hlk102838717"/>
      <w:r w:rsidRPr="00D3192E">
        <w:rPr>
          <w:rFonts w:ascii="Times New Roman" w:eastAsia="Calibri" w:hAnsi="Times New Roman" w:cs="Times New Roman"/>
          <w:bCs/>
          <w:sz w:val="24"/>
          <w:szCs w:val="24"/>
          <w:lang w:val="en-GB"/>
        </w:rPr>
        <w:t xml:space="preserve">The contribution of each author: Design study: PS practical performance: PS, SKO; data analysis: PS, </w:t>
      </w:r>
      <w:proofErr w:type="gramStart"/>
      <w:r w:rsidRPr="00D3192E">
        <w:rPr>
          <w:rFonts w:ascii="Times New Roman" w:eastAsia="Calibri" w:hAnsi="Times New Roman" w:cs="Times New Roman"/>
          <w:bCs/>
          <w:sz w:val="24"/>
          <w:szCs w:val="24"/>
          <w:lang w:val="en-GB"/>
        </w:rPr>
        <w:t>SKO ;</w:t>
      </w:r>
      <w:proofErr w:type="gramEnd"/>
      <w:r w:rsidRPr="00D3192E">
        <w:rPr>
          <w:rFonts w:ascii="Times New Roman" w:eastAsia="Calibri" w:hAnsi="Times New Roman" w:cs="Times New Roman"/>
          <w:bCs/>
          <w:sz w:val="24"/>
          <w:szCs w:val="24"/>
          <w:lang w:val="en-GB"/>
        </w:rPr>
        <w:t xml:space="preserve"> preparation manuscript: PS, SKO, FU; critical review manuscript: LS. All authors contributed to the draft and revision of the manuscript and approved the version to be published.</w:t>
      </w:r>
    </w:p>
    <w:bookmarkEnd w:id="0"/>
    <w:p w14:paraId="28D99822"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
          <w:bCs/>
          <w:sz w:val="24"/>
          <w:szCs w:val="24"/>
          <w:lang w:val="en-GB"/>
        </w:rPr>
        <w:t xml:space="preserve">Declarations of interest:  </w:t>
      </w:r>
      <w:r w:rsidRPr="00D3192E">
        <w:rPr>
          <w:rFonts w:ascii="Times New Roman" w:eastAsia="Calibri" w:hAnsi="Times New Roman" w:cs="Times New Roman"/>
          <w:bCs/>
          <w:sz w:val="24"/>
          <w:szCs w:val="24"/>
          <w:lang w:val="en-GB"/>
        </w:rPr>
        <w:t xml:space="preserve">PS, SKO, </w:t>
      </w:r>
      <w:proofErr w:type="gramStart"/>
      <w:r w:rsidRPr="00D3192E">
        <w:rPr>
          <w:rFonts w:ascii="Times New Roman" w:eastAsia="Calibri" w:hAnsi="Times New Roman" w:cs="Times New Roman"/>
          <w:bCs/>
          <w:sz w:val="24"/>
          <w:szCs w:val="24"/>
          <w:lang w:val="en-GB"/>
        </w:rPr>
        <w:t>FU</w:t>
      </w:r>
      <w:proofErr w:type="gramEnd"/>
      <w:r w:rsidRPr="00D3192E">
        <w:rPr>
          <w:rFonts w:ascii="Times New Roman" w:eastAsia="Calibri" w:hAnsi="Times New Roman" w:cs="Times New Roman"/>
          <w:bCs/>
          <w:sz w:val="24"/>
          <w:szCs w:val="24"/>
          <w:lang w:val="en-GB"/>
        </w:rPr>
        <w:t xml:space="preserve"> and LS declare no conflict of interest. </w:t>
      </w:r>
    </w:p>
    <w:p w14:paraId="3EAE2924"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
          <w:bCs/>
          <w:sz w:val="24"/>
          <w:szCs w:val="24"/>
          <w:lang w:val="en-GB"/>
        </w:rPr>
        <w:t>Availability of data:</w:t>
      </w:r>
      <w:r w:rsidRPr="00D3192E">
        <w:rPr>
          <w:rFonts w:ascii="Times New Roman" w:eastAsia="Calibri" w:hAnsi="Times New Roman" w:cs="Times New Roman"/>
          <w:bCs/>
          <w:sz w:val="24"/>
          <w:szCs w:val="24"/>
          <w:lang w:val="en-GB"/>
        </w:rPr>
        <w:t xml:space="preserve"> The data that support the findings of this study are available from the corresponding author upon reasonable request.</w:t>
      </w:r>
    </w:p>
    <w:p w14:paraId="3A6D2D49" w14:textId="77777777" w:rsidR="00D3192E" w:rsidRPr="00D3192E" w:rsidRDefault="00D3192E" w:rsidP="00D3192E">
      <w:pPr>
        <w:spacing w:line="360" w:lineRule="auto"/>
        <w:rPr>
          <w:rFonts w:ascii="Times New Roman" w:eastAsia="Calibri" w:hAnsi="Times New Roman" w:cs="Times New Roman"/>
          <w:b/>
          <w:bCs/>
          <w:sz w:val="24"/>
          <w:szCs w:val="24"/>
          <w:lang w:val="en-GB"/>
        </w:rPr>
      </w:pPr>
      <w:r w:rsidRPr="00D3192E">
        <w:rPr>
          <w:rFonts w:ascii="Times New Roman" w:eastAsia="Calibri" w:hAnsi="Times New Roman" w:cs="Times New Roman"/>
          <w:b/>
          <w:bCs/>
          <w:sz w:val="24"/>
          <w:szCs w:val="24"/>
          <w:lang w:val="en-GB"/>
        </w:rPr>
        <w:t xml:space="preserve">Funding: </w:t>
      </w:r>
      <w:r w:rsidRPr="00D3192E">
        <w:rPr>
          <w:rFonts w:ascii="Times New Roman" w:eastAsia="Calibri" w:hAnsi="Times New Roman" w:cs="Times New Roman"/>
          <w:sz w:val="24"/>
          <w:szCs w:val="24"/>
          <w:lang w:val="en-GB"/>
        </w:rPr>
        <w:t>No funding.</w:t>
      </w:r>
    </w:p>
    <w:p w14:paraId="096F0FE1" w14:textId="77777777" w:rsidR="00D3192E" w:rsidRPr="00D3192E" w:rsidRDefault="00D3192E" w:rsidP="00D3192E">
      <w:pPr>
        <w:spacing w:line="360" w:lineRule="auto"/>
        <w:rPr>
          <w:rFonts w:ascii="Times New Roman" w:eastAsia="Calibri" w:hAnsi="Times New Roman" w:cs="Times New Roman"/>
          <w:bCs/>
          <w:sz w:val="24"/>
          <w:szCs w:val="24"/>
          <w:lang w:val="en-US"/>
        </w:rPr>
      </w:pPr>
      <w:r w:rsidRPr="00D3192E">
        <w:rPr>
          <w:rFonts w:ascii="Times New Roman" w:eastAsia="Calibri" w:hAnsi="Times New Roman" w:cs="Times New Roman"/>
          <w:b/>
          <w:bCs/>
          <w:sz w:val="24"/>
          <w:szCs w:val="24"/>
          <w:lang w:val="en-GB"/>
        </w:rPr>
        <w:t xml:space="preserve">Patient consent statement: </w:t>
      </w:r>
      <w:r w:rsidRPr="00D3192E">
        <w:rPr>
          <w:rFonts w:ascii="Times New Roman" w:eastAsia="Calibri" w:hAnsi="Times New Roman" w:cs="Times New Roman"/>
          <w:bCs/>
          <w:sz w:val="24"/>
          <w:szCs w:val="24"/>
          <w:lang w:val="en-US"/>
        </w:rPr>
        <w:t>Informed consent to participate was granted by individuals before starting the assessment.</w:t>
      </w:r>
    </w:p>
    <w:p w14:paraId="04C0F3B9" w14:textId="77777777" w:rsidR="00D3192E" w:rsidRPr="00D3192E" w:rsidRDefault="00D3192E" w:rsidP="00D3192E">
      <w:pPr>
        <w:spacing w:line="360" w:lineRule="auto"/>
        <w:jc w:val="both"/>
        <w:rPr>
          <w:rFonts w:ascii="Times New Roman" w:eastAsia="Calibri" w:hAnsi="Times New Roman" w:cs="Times New Roman"/>
          <w:bCs/>
          <w:sz w:val="24"/>
          <w:szCs w:val="24"/>
          <w:lang w:val="en-US"/>
        </w:rPr>
      </w:pPr>
      <w:r w:rsidRPr="00D3192E">
        <w:rPr>
          <w:rFonts w:ascii="Times New Roman" w:eastAsia="Calibri" w:hAnsi="Times New Roman" w:cs="Times New Roman"/>
          <w:b/>
          <w:bCs/>
          <w:sz w:val="24"/>
          <w:szCs w:val="24"/>
          <w:lang w:val="en-GB"/>
        </w:rPr>
        <w:t xml:space="preserve">Ethics approval statement: </w:t>
      </w:r>
      <w:r w:rsidRPr="00D3192E">
        <w:rPr>
          <w:rFonts w:ascii="Times New Roman" w:eastAsia="Calibri" w:hAnsi="Times New Roman" w:cs="Times New Roman"/>
          <w:sz w:val="24"/>
          <w:szCs w:val="24"/>
          <w:lang w:val="en-GB"/>
        </w:rPr>
        <w:t xml:space="preserve">It </w:t>
      </w:r>
      <w:r w:rsidRPr="00D3192E">
        <w:rPr>
          <w:rFonts w:ascii="Times New Roman" w:eastAsia="Calibri" w:hAnsi="Times New Roman" w:cs="Times New Roman"/>
          <w:sz w:val="24"/>
          <w:szCs w:val="24"/>
        </w:rPr>
        <w:t>was approved by the Bezmialem Vakif University local ethics committee (14/298).</w:t>
      </w:r>
    </w:p>
    <w:p w14:paraId="7952B088"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Word count for abstract: 247</w:t>
      </w:r>
    </w:p>
    <w:p w14:paraId="744B57AD"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Word count for main text: 3206</w:t>
      </w:r>
    </w:p>
    <w:p w14:paraId="096F74DF"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lastRenderedPageBreak/>
        <w:t>Reference count: 31</w:t>
      </w:r>
    </w:p>
    <w:p w14:paraId="13E34D94"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Tables count: 1</w:t>
      </w:r>
    </w:p>
    <w:p w14:paraId="1223F3F2" w14:textId="77777777" w:rsidR="00D3192E" w:rsidRPr="00D3192E" w:rsidRDefault="00D3192E" w:rsidP="00D3192E">
      <w:pPr>
        <w:spacing w:line="360" w:lineRule="auto"/>
        <w:rPr>
          <w:rFonts w:ascii="Times New Roman" w:eastAsia="Calibri" w:hAnsi="Times New Roman" w:cs="Times New Roman"/>
          <w:bCs/>
          <w:sz w:val="24"/>
          <w:szCs w:val="24"/>
          <w:lang w:val="en-GB"/>
        </w:rPr>
      </w:pPr>
      <w:r w:rsidRPr="00D3192E">
        <w:rPr>
          <w:rFonts w:ascii="Times New Roman" w:eastAsia="Calibri" w:hAnsi="Times New Roman" w:cs="Times New Roman"/>
          <w:bCs/>
          <w:sz w:val="24"/>
          <w:szCs w:val="24"/>
          <w:lang w:val="en-GB"/>
        </w:rPr>
        <w:t>Figure count: 2</w:t>
      </w:r>
    </w:p>
    <w:p w14:paraId="2E6EB72E" w14:textId="77777777" w:rsidR="00D3192E" w:rsidRDefault="00D3192E" w:rsidP="0011480E">
      <w:pPr>
        <w:spacing w:line="360" w:lineRule="auto"/>
        <w:jc w:val="center"/>
        <w:rPr>
          <w:rFonts w:ascii="Times New Roman" w:hAnsi="Times New Roman" w:cs="Times New Roman"/>
          <w:b/>
          <w:sz w:val="24"/>
          <w:szCs w:val="24"/>
        </w:rPr>
      </w:pPr>
    </w:p>
    <w:p w14:paraId="193A5707" w14:textId="77777777" w:rsidR="00D3192E" w:rsidRDefault="00D3192E" w:rsidP="0011480E">
      <w:pPr>
        <w:spacing w:line="360" w:lineRule="auto"/>
        <w:jc w:val="center"/>
        <w:rPr>
          <w:rFonts w:ascii="Times New Roman" w:hAnsi="Times New Roman" w:cs="Times New Roman"/>
          <w:b/>
          <w:sz w:val="24"/>
          <w:szCs w:val="24"/>
        </w:rPr>
      </w:pPr>
    </w:p>
    <w:p w14:paraId="46C8DBA1" w14:textId="77777777" w:rsidR="00D3192E" w:rsidRDefault="00D3192E" w:rsidP="0011480E">
      <w:pPr>
        <w:spacing w:line="360" w:lineRule="auto"/>
        <w:jc w:val="center"/>
        <w:rPr>
          <w:rFonts w:ascii="Times New Roman" w:hAnsi="Times New Roman" w:cs="Times New Roman"/>
          <w:b/>
          <w:sz w:val="24"/>
          <w:szCs w:val="24"/>
        </w:rPr>
      </w:pPr>
    </w:p>
    <w:p w14:paraId="392F145C" w14:textId="77777777" w:rsidR="00D3192E" w:rsidRDefault="00D3192E" w:rsidP="0011480E">
      <w:pPr>
        <w:spacing w:line="360" w:lineRule="auto"/>
        <w:jc w:val="center"/>
        <w:rPr>
          <w:rFonts w:ascii="Times New Roman" w:hAnsi="Times New Roman" w:cs="Times New Roman"/>
          <w:b/>
          <w:sz w:val="24"/>
          <w:szCs w:val="24"/>
        </w:rPr>
      </w:pPr>
    </w:p>
    <w:p w14:paraId="7807B12B" w14:textId="77777777" w:rsidR="00D3192E" w:rsidRDefault="00D3192E" w:rsidP="0011480E">
      <w:pPr>
        <w:spacing w:line="360" w:lineRule="auto"/>
        <w:jc w:val="center"/>
        <w:rPr>
          <w:rFonts w:ascii="Times New Roman" w:hAnsi="Times New Roman" w:cs="Times New Roman"/>
          <w:b/>
          <w:sz w:val="24"/>
          <w:szCs w:val="24"/>
        </w:rPr>
      </w:pPr>
    </w:p>
    <w:p w14:paraId="4EC4F5E2" w14:textId="77777777" w:rsidR="00D3192E" w:rsidRDefault="00D3192E" w:rsidP="0011480E">
      <w:pPr>
        <w:spacing w:line="360" w:lineRule="auto"/>
        <w:jc w:val="center"/>
        <w:rPr>
          <w:rFonts w:ascii="Times New Roman" w:hAnsi="Times New Roman" w:cs="Times New Roman"/>
          <w:b/>
          <w:sz w:val="24"/>
          <w:szCs w:val="24"/>
        </w:rPr>
      </w:pPr>
    </w:p>
    <w:p w14:paraId="755A786C" w14:textId="77777777" w:rsidR="00D3192E" w:rsidRDefault="00D3192E" w:rsidP="0011480E">
      <w:pPr>
        <w:spacing w:line="360" w:lineRule="auto"/>
        <w:jc w:val="center"/>
        <w:rPr>
          <w:rFonts w:ascii="Times New Roman" w:hAnsi="Times New Roman" w:cs="Times New Roman"/>
          <w:b/>
          <w:sz w:val="24"/>
          <w:szCs w:val="24"/>
        </w:rPr>
      </w:pPr>
    </w:p>
    <w:p w14:paraId="3C2A5549" w14:textId="77777777" w:rsidR="00D3192E" w:rsidRDefault="00D3192E" w:rsidP="0011480E">
      <w:pPr>
        <w:spacing w:line="360" w:lineRule="auto"/>
        <w:jc w:val="center"/>
        <w:rPr>
          <w:rFonts w:ascii="Times New Roman" w:hAnsi="Times New Roman" w:cs="Times New Roman"/>
          <w:b/>
          <w:sz w:val="24"/>
          <w:szCs w:val="24"/>
        </w:rPr>
      </w:pPr>
    </w:p>
    <w:p w14:paraId="633D1FA7" w14:textId="77777777" w:rsidR="00D3192E" w:rsidRDefault="00D3192E" w:rsidP="0011480E">
      <w:pPr>
        <w:spacing w:line="360" w:lineRule="auto"/>
        <w:jc w:val="center"/>
        <w:rPr>
          <w:rFonts w:ascii="Times New Roman" w:hAnsi="Times New Roman" w:cs="Times New Roman"/>
          <w:b/>
          <w:sz w:val="24"/>
          <w:szCs w:val="24"/>
        </w:rPr>
      </w:pPr>
    </w:p>
    <w:p w14:paraId="4680FBAE" w14:textId="77777777" w:rsidR="00D3192E" w:rsidRDefault="00D3192E" w:rsidP="0011480E">
      <w:pPr>
        <w:spacing w:line="360" w:lineRule="auto"/>
        <w:jc w:val="center"/>
        <w:rPr>
          <w:rFonts w:ascii="Times New Roman" w:hAnsi="Times New Roman" w:cs="Times New Roman"/>
          <w:b/>
          <w:sz w:val="24"/>
          <w:szCs w:val="24"/>
        </w:rPr>
      </w:pPr>
    </w:p>
    <w:p w14:paraId="168AEC34" w14:textId="77777777" w:rsidR="00D3192E" w:rsidRDefault="00D3192E" w:rsidP="0011480E">
      <w:pPr>
        <w:spacing w:line="360" w:lineRule="auto"/>
        <w:jc w:val="center"/>
        <w:rPr>
          <w:rFonts w:ascii="Times New Roman" w:hAnsi="Times New Roman" w:cs="Times New Roman"/>
          <w:b/>
          <w:sz w:val="24"/>
          <w:szCs w:val="24"/>
        </w:rPr>
      </w:pPr>
    </w:p>
    <w:p w14:paraId="540B9442" w14:textId="77777777" w:rsidR="00D3192E" w:rsidRDefault="00D3192E" w:rsidP="0011480E">
      <w:pPr>
        <w:spacing w:line="360" w:lineRule="auto"/>
        <w:jc w:val="center"/>
        <w:rPr>
          <w:rFonts w:ascii="Times New Roman" w:hAnsi="Times New Roman" w:cs="Times New Roman"/>
          <w:b/>
          <w:sz w:val="24"/>
          <w:szCs w:val="24"/>
        </w:rPr>
      </w:pPr>
    </w:p>
    <w:p w14:paraId="49F74828" w14:textId="77777777" w:rsidR="00D3192E" w:rsidRDefault="00D3192E" w:rsidP="0011480E">
      <w:pPr>
        <w:spacing w:line="360" w:lineRule="auto"/>
        <w:jc w:val="center"/>
        <w:rPr>
          <w:rFonts w:ascii="Times New Roman" w:hAnsi="Times New Roman" w:cs="Times New Roman"/>
          <w:b/>
          <w:sz w:val="24"/>
          <w:szCs w:val="24"/>
        </w:rPr>
      </w:pPr>
    </w:p>
    <w:p w14:paraId="16844302" w14:textId="77777777" w:rsidR="00D3192E" w:rsidRDefault="00D3192E" w:rsidP="0011480E">
      <w:pPr>
        <w:spacing w:line="360" w:lineRule="auto"/>
        <w:jc w:val="center"/>
        <w:rPr>
          <w:rFonts w:ascii="Times New Roman" w:hAnsi="Times New Roman" w:cs="Times New Roman"/>
          <w:b/>
          <w:sz w:val="24"/>
          <w:szCs w:val="24"/>
        </w:rPr>
      </w:pPr>
    </w:p>
    <w:p w14:paraId="2EBE04D0" w14:textId="77777777" w:rsidR="00D3192E" w:rsidRDefault="00D3192E" w:rsidP="0011480E">
      <w:pPr>
        <w:spacing w:line="360" w:lineRule="auto"/>
        <w:jc w:val="center"/>
        <w:rPr>
          <w:rFonts w:ascii="Times New Roman" w:hAnsi="Times New Roman" w:cs="Times New Roman"/>
          <w:b/>
          <w:sz w:val="24"/>
          <w:szCs w:val="24"/>
        </w:rPr>
      </w:pPr>
    </w:p>
    <w:p w14:paraId="779EDCE2" w14:textId="77777777" w:rsidR="00D3192E" w:rsidRDefault="00D3192E" w:rsidP="0011480E">
      <w:pPr>
        <w:spacing w:line="360" w:lineRule="auto"/>
        <w:jc w:val="center"/>
        <w:rPr>
          <w:rFonts w:ascii="Times New Roman" w:hAnsi="Times New Roman" w:cs="Times New Roman"/>
          <w:b/>
          <w:sz w:val="24"/>
          <w:szCs w:val="24"/>
        </w:rPr>
      </w:pPr>
    </w:p>
    <w:p w14:paraId="497615DB" w14:textId="77777777" w:rsidR="00D3192E" w:rsidRDefault="00D3192E" w:rsidP="0011480E">
      <w:pPr>
        <w:spacing w:line="360" w:lineRule="auto"/>
        <w:jc w:val="center"/>
        <w:rPr>
          <w:rFonts w:ascii="Times New Roman" w:hAnsi="Times New Roman" w:cs="Times New Roman"/>
          <w:b/>
          <w:sz w:val="24"/>
          <w:szCs w:val="24"/>
        </w:rPr>
      </w:pPr>
    </w:p>
    <w:p w14:paraId="4A54FF51" w14:textId="77777777" w:rsidR="00D3192E" w:rsidRDefault="00D3192E" w:rsidP="0011480E">
      <w:pPr>
        <w:spacing w:line="360" w:lineRule="auto"/>
        <w:jc w:val="center"/>
        <w:rPr>
          <w:rFonts w:ascii="Times New Roman" w:hAnsi="Times New Roman" w:cs="Times New Roman"/>
          <w:b/>
          <w:sz w:val="24"/>
          <w:szCs w:val="24"/>
        </w:rPr>
      </w:pPr>
    </w:p>
    <w:p w14:paraId="09DA1E4C" w14:textId="77777777" w:rsidR="00D3192E" w:rsidRDefault="00D3192E" w:rsidP="0011480E">
      <w:pPr>
        <w:spacing w:line="360" w:lineRule="auto"/>
        <w:jc w:val="center"/>
        <w:rPr>
          <w:rFonts w:ascii="Times New Roman" w:hAnsi="Times New Roman" w:cs="Times New Roman"/>
          <w:b/>
          <w:sz w:val="24"/>
          <w:szCs w:val="24"/>
        </w:rPr>
      </w:pPr>
    </w:p>
    <w:p w14:paraId="2CBBE580" w14:textId="77777777" w:rsidR="00D3192E" w:rsidRDefault="00D3192E" w:rsidP="0011480E">
      <w:pPr>
        <w:spacing w:line="360" w:lineRule="auto"/>
        <w:jc w:val="center"/>
        <w:rPr>
          <w:rFonts w:ascii="Times New Roman" w:hAnsi="Times New Roman" w:cs="Times New Roman"/>
          <w:b/>
          <w:sz w:val="24"/>
          <w:szCs w:val="24"/>
        </w:rPr>
      </w:pPr>
    </w:p>
    <w:p w14:paraId="69A42EDA" w14:textId="77777777" w:rsidR="00D3192E" w:rsidRDefault="00D3192E" w:rsidP="0011480E">
      <w:pPr>
        <w:spacing w:line="360" w:lineRule="auto"/>
        <w:jc w:val="center"/>
        <w:rPr>
          <w:rFonts w:ascii="Times New Roman" w:hAnsi="Times New Roman" w:cs="Times New Roman"/>
          <w:b/>
          <w:sz w:val="24"/>
          <w:szCs w:val="24"/>
        </w:rPr>
      </w:pPr>
    </w:p>
    <w:p w14:paraId="6401985C" w14:textId="72E69370" w:rsidR="00F47806" w:rsidRDefault="00393515" w:rsidP="0011480E">
      <w:pPr>
        <w:spacing w:line="360" w:lineRule="auto"/>
        <w:jc w:val="center"/>
        <w:rPr>
          <w:rFonts w:ascii="Times New Roman" w:hAnsi="Times New Roman" w:cs="Times New Roman"/>
          <w:b/>
          <w:sz w:val="24"/>
          <w:szCs w:val="24"/>
        </w:rPr>
      </w:pPr>
      <w:r w:rsidRPr="00393515">
        <w:rPr>
          <w:rFonts w:ascii="Times New Roman" w:hAnsi="Times New Roman" w:cs="Times New Roman"/>
          <w:b/>
          <w:sz w:val="24"/>
          <w:szCs w:val="24"/>
        </w:rPr>
        <w:lastRenderedPageBreak/>
        <w:t xml:space="preserve">Functional </w:t>
      </w:r>
      <w:r w:rsidR="0011480E">
        <w:rPr>
          <w:rFonts w:ascii="Times New Roman" w:hAnsi="Times New Roman" w:cs="Times New Roman"/>
          <w:b/>
          <w:sz w:val="24"/>
          <w:szCs w:val="24"/>
        </w:rPr>
        <w:t>l</w:t>
      </w:r>
      <w:r w:rsidRPr="00393515">
        <w:rPr>
          <w:rFonts w:ascii="Times New Roman" w:hAnsi="Times New Roman" w:cs="Times New Roman"/>
          <w:b/>
          <w:sz w:val="24"/>
          <w:szCs w:val="24"/>
        </w:rPr>
        <w:t>oss</w:t>
      </w:r>
      <w:r>
        <w:rPr>
          <w:rFonts w:ascii="Times New Roman" w:hAnsi="Times New Roman" w:cs="Times New Roman"/>
          <w:b/>
          <w:sz w:val="24"/>
          <w:szCs w:val="24"/>
        </w:rPr>
        <w:t xml:space="preserve"> and worsening </w:t>
      </w:r>
      <w:r w:rsidRPr="00393515">
        <w:rPr>
          <w:rFonts w:ascii="Times New Roman" w:hAnsi="Times New Roman" w:cs="Times New Roman"/>
          <w:b/>
          <w:sz w:val="24"/>
          <w:szCs w:val="24"/>
        </w:rPr>
        <w:t>geriatric assessment parameters</w:t>
      </w:r>
      <w:r>
        <w:rPr>
          <w:rFonts w:ascii="Times New Roman" w:hAnsi="Times New Roman" w:cs="Times New Roman"/>
          <w:b/>
          <w:sz w:val="24"/>
          <w:szCs w:val="24"/>
        </w:rPr>
        <w:t xml:space="preserve"> are more common in </w:t>
      </w:r>
      <w:r w:rsidR="0011480E">
        <w:rPr>
          <w:rFonts w:ascii="Times New Roman" w:hAnsi="Times New Roman" w:cs="Times New Roman"/>
          <w:b/>
          <w:sz w:val="24"/>
          <w:szCs w:val="24"/>
        </w:rPr>
        <w:t>d</w:t>
      </w:r>
      <w:r w:rsidR="008C6C3B" w:rsidRPr="00A0218C">
        <w:rPr>
          <w:rFonts w:ascii="Times New Roman" w:hAnsi="Times New Roman" w:cs="Times New Roman"/>
          <w:b/>
          <w:sz w:val="24"/>
          <w:szCs w:val="24"/>
        </w:rPr>
        <w:t>ementia with Lewy Bodies than Alzheimer’s disease</w:t>
      </w:r>
    </w:p>
    <w:p w14:paraId="4AF0E10F" w14:textId="57FB6FEC" w:rsidR="00936E7F" w:rsidRPr="00A0218C" w:rsidRDefault="00936E7F" w:rsidP="00E60179">
      <w:pPr>
        <w:spacing w:line="360" w:lineRule="auto"/>
        <w:jc w:val="both"/>
        <w:rPr>
          <w:rFonts w:ascii="Times New Roman" w:hAnsi="Times New Roman" w:cs="Times New Roman"/>
          <w:b/>
          <w:sz w:val="24"/>
          <w:szCs w:val="24"/>
        </w:rPr>
      </w:pPr>
      <w:r w:rsidRPr="00A0218C">
        <w:rPr>
          <w:rFonts w:ascii="Times New Roman" w:hAnsi="Times New Roman" w:cs="Times New Roman"/>
          <w:b/>
          <w:sz w:val="24"/>
          <w:szCs w:val="24"/>
        </w:rPr>
        <w:t>Abstract</w:t>
      </w:r>
    </w:p>
    <w:p w14:paraId="24000DA0" w14:textId="23B1DFD2" w:rsidR="00936E7F" w:rsidRPr="002D2C76" w:rsidRDefault="00936E7F" w:rsidP="00E60179">
      <w:pPr>
        <w:spacing w:line="360" w:lineRule="auto"/>
        <w:jc w:val="both"/>
        <w:rPr>
          <w:rFonts w:ascii="Times New Roman" w:hAnsi="Times New Roman" w:cs="Times New Roman"/>
          <w:sz w:val="24"/>
          <w:szCs w:val="24"/>
        </w:rPr>
      </w:pPr>
      <w:r w:rsidRPr="002D2C76">
        <w:rPr>
          <w:rFonts w:ascii="Times New Roman" w:hAnsi="Times New Roman" w:cs="Times New Roman"/>
          <w:b/>
          <w:sz w:val="24"/>
          <w:szCs w:val="24"/>
        </w:rPr>
        <w:t xml:space="preserve">Background: </w:t>
      </w:r>
      <w:r w:rsidR="00DA614E" w:rsidRPr="002D2C76">
        <w:rPr>
          <w:rFonts w:ascii="Times New Roman" w:hAnsi="Times New Roman" w:cs="Times New Roman"/>
          <w:sz w:val="24"/>
          <w:szCs w:val="24"/>
        </w:rPr>
        <w:t xml:space="preserve">The main aim of this study is to </w:t>
      </w:r>
      <w:r w:rsidR="00B83F1C" w:rsidRPr="002D2C76">
        <w:rPr>
          <w:rFonts w:ascii="Times New Roman" w:hAnsi="Times New Roman" w:cs="Times New Roman"/>
          <w:sz w:val="24"/>
          <w:szCs w:val="24"/>
        </w:rPr>
        <w:t>compare</w:t>
      </w:r>
      <w:r w:rsidR="00DA614E" w:rsidRPr="002D2C76">
        <w:rPr>
          <w:rFonts w:ascii="Times New Roman" w:hAnsi="Times New Roman" w:cs="Times New Roman"/>
          <w:sz w:val="24"/>
          <w:szCs w:val="24"/>
        </w:rPr>
        <w:t xml:space="preserve"> </w:t>
      </w:r>
      <w:r w:rsidR="00B83F1C" w:rsidRPr="002D2C76">
        <w:rPr>
          <w:rFonts w:ascii="Times New Roman" w:hAnsi="Times New Roman" w:cs="Times New Roman"/>
          <w:sz w:val="24"/>
          <w:szCs w:val="24"/>
        </w:rPr>
        <w:t xml:space="preserve">older </w:t>
      </w:r>
      <w:r w:rsidR="00DA614E" w:rsidRPr="002D2C76">
        <w:rPr>
          <w:rFonts w:ascii="Times New Roman" w:hAnsi="Times New Roman" w:cs="Times New Roman"/>
          <w:sz w:val="24"/>
          <w:szCs w:val="24"/>
        </w:rPr>
        <w:t xml:space="preserve">patients with </w:t>
      </w:r>
      <w:r w:rsidR="00940A3C" w:rsidRPr="002D2C76">
        <w:rPr>
          <w:rFonts w:ascii="Times New Roman" w:hAnsi="Times New Roman" w:cs="Times New Roman"/>
          <w:sz w:val="24"/>
          <w:szCs w:val="24"/>
        </w:rPr>
        <w:t xml:space="preserve">Alzheimer's disease (AD) </w:t>
      </w:r>
      <w:r w:rsidR="0030052A" w:rsidRPr="002D2C76">
        <w:rPr>
          <w:rFonts w:ascii="Times New Roman" w:hAnsi="Times New Roman" w:cs="Times New Roman"/>
          <w:sz w:val="24"/>
          <w:szCs w:val="24"/>
        </w:rPr>
        <w:t>to those with</w:t>
      </w:r>
      <w:r w:rsidR="00DA614E" w:rsidRPr="002D2C76">
        <w:rPr>
          <w:rFonts w:ascii="Times New Roman" w:hAnsi="Times New Roman" w:cs="Times New Roman"/>
          <w:sz w:val="24"/>
          <w:szCs w:val="24"/>
        </w:rPr>
        <w:t xml:space="preserve"> </w:t>
      </w:r>
      <w:r w:rsidR="00B067CB" w:rsidRPr="002D2C76">
        <w:rPr>
          <w:rFonts w:ascii="Times New Roman" w:hAnsi="Times New Roman" w:cs="Times New Roman"/>
          <w:sz w:val="24"/>
          <w:szCs w:val="24"/>
        </w:rPr>
        <w:t xml:space="preserve">dementia with </w:t>
      </w:r>
      <w:r w:rsidR="00940A3C" w:rsidRPr="002D2C76">
        <w:rPr>
          <w:rFonts w:ascii="Times New Roman" w:hAnsi="Times New Roman" w:cs="Times New Roman"/>
          <w:sz w:val="24"/>
          <w:szCs w:val="24"/>
        </w:rPr>
        <w:t xml:space="preserve">Lewy bodies (DLB) </w:t>
      </w:r>
      <w:r w:rsidR="00B83F1C" w:rsidRPr="002D2C76">
        <w:rPr>
          <w:rFonts w:ascii="Times New Roman" w:hAnsi="Times New Roman" w:cs="Times New Roman"/>
          <w:sz w:val="24"/>
          <w:szCs w:val="24"/>
        </w:rPr>
        <w:t>according to dependency on</w:t>
      </w:r>
      <w:r w:rsidR="00DA614E" w:rsidRPr="002D2C76">
        <w:rPr>
          <w:rFonts w:ascii="Times New Roman" w:hAnsi="Times New Roman" w:cs="Times New Roman"/>
          <w:sz w:val="24"/>
          <w:szCs w:val="24"/>
        </w:rPr>
        <w:t xml:space="preserve"> daily living activities </w:t>
      </w:r>
      <w:r w:rsidR="00977C6C" w:rsidRPr="002D2C76">
        <w:rPr>
          <w:rFonts w:ascii="Times New Roman" w:hAnsi="Times New Roman" w:cs="Times New Roman"/>
          <w:sz w:val="24"/>
          <w:szCs w:val="24"/>
        </w:rPr>
        <w:t xml:space="preserve">and compherensive </w:t>
      </w:r>
      <w:bookmarkStart w:id="1" w:name="_Hlk102478165"/>
      <w:r w:rsidR="00977C6C" w:rsidRPr="002D2C76">
        <w:rPr>
          <w:rFonts w:ascii="Times New Roman" w:hAnsi="Times New Roman" w:cs="Times New Roman"/>
          <w:sz w:val="24"/>
          <w:szCs w:val="24"/>
        </w:rPr>
        <w:t>geriatric assessment (CGA) parameters.</w:t>
      </w:r>
    </w:p>
    <w:bookmarkEnd w:id="1"/>
    <w:p w14:paraId="15F6D35E" w14:textId="766FDA25" w:rsidR="00936E7F" w:rsidRPr="002D2C76" w:rsidRDefault="00DA614E" w:rsidP="00E60179">
      <w:pPr>
        <w:spacing w:line="360" w:lineRule="auto"/>
        <w:jc w:val="both"/>
        <w:rPr>
          <w:rFonts w:ascii="Times New Roman" w:hAnsi="Times New Roman" w:cs="Times New Roman"/>
          <w:sz w:val="24"/>
          <w:szCs w:val="24"/>
        </w:rPr>
      </w:pPr>
      <w:r w:rsidRPr="00E26562">
        <w:rPr>
          <w:rFonts w:ascii="Times New Roman" w:hAnsi="Times New Roman" w:cs="Times New Roman"/>
          <w:b/>
          <w:bCs/>
          <w:sz w:val="24"/>
          <w:szCs w:val="24"/>
        </w:rPr>
        <w:t>Method:</w:t>
      </w:r>
      <w:r w:rsidR="00AC6825" w:rsidRPr="002D2C76">
        <w:rPr>
          <w:rFonts w:ascii="Times New Roman" w:hAnsi="Times New Roman" w:cs="Times New Roman"/>
          <w:sz w:val="24"/>
          <w:szCs w:val="24"/>
        </w:rPr>
        <w:t xml:space="preserve"> </w:t>
      </w:r>
      <w:r w:rsidR="00642BD2" w:rsidRPr="002D2C76">
        <w:rPr>
          <w:rFonts w:ascii="Times New Roman" w:hAnsi="Times New Roman" w:cs="Times New Roman"/>
          <w:sz w:val="24"/>
          <w:szCs w:val="24"/>
        </w:rPr>
        <w:t xml:space="preserve">227 </w:t>
      </w:r>
      <w:r w:rsidR="00251537" w:rsidRPr="002D2C76">
        <w:rPr>
          <w:rFonts w:ascii="Times New Roman" w:hAnsi="Times New Roman" w:cs="Times New Roman"/>
          <w:sz w:val="24"/>
          <w:szCs w:val="24"/>
        </w:rPr>
        <w:t xml:space="preserve">AD </w:t>
      </w:r>
      <w:r w:rsidR="00642BD2" w:rsidRPr="002D2C76">
        <w:rPr>
          <w:rFonts w:ascii="Times New Roman" w:hAnsi="Times New Roman" w:cs="Times New Roman"/>
          <w:sz w:val="24"/>
          <w:szCs w:val="24"/>
        </w:rPr>
        <w:t xml:space="preserve">patients and 123 DLB </w:t>
      </w:r>
      <w:r w:rsidR="0039179F" w:rsidRPr="002D2C76">
        <w:rPr>
          <w:rFonts w:ascii="Times New Roman" w:hAnsi="Times New Roman" w:cs="Times New Roman"/>
          <w:sz w:val="24"/>
          <w:szCs w:val="24"/>
        </w:rPr>
        <w:t xml:space="preserve">patients </w:t>
      </w:r>
      <w:r w:rsidR="00642BD2" w:rsidRPr="002D2C76">
        <w:rPr>
          <w:rFonts w:ascii="Times New Roman" w:hAnsi="Times New Roman" w:cs="Times New Roman"/>
          <w:sz w:val="24"/>
          <w:szCs w:val="24"/>
        </w:rPr>
        <w:t xml:space="preserve">underwent </w:t>
      </w:r>
      <w:r w:rsidRPr="002D2C76">
        <w:rPr>
          <w:rFonts w:ascii="Times New Roman" w:hAnsi="Times New Roman" w:cs="Times New Roman"/>
          <w:sz w:val="24"/>
          <w:szCs w:val="24"/>
        </w:rPr>
        <w:t>CGA</w:t>
      </w:r>
      <w:r w:rsidR="0045748D" w:rsidRPr="002D2C76">
        <w:rPr>
          <w:rFonts w:ascii="Times New Roman" w:hAnsi="Times New Roman" w:cs="Times New Roman"/>
          <w:sz w:val="24"/>
          <w:szCs w:val="24"/>
        </w:rPr>
        <w:t>,</w:t>
      </w:r>
      <w:r w:rsidRPr="002D2C76">
        <w:rPr>
          <w:rFonts w:ascii="Times New Roman" w:hAnsi="Times New Roman" w:cs="Times New Roman"/>
          <w:sz w:val="24"/>
          <w:szCs w:val="24"/>
        </w:rPr>
        <w:t xml:space="preserve"> including </w:t>
      </w:r>
      <w:r w:rsidR="00FA3A63" w:rsidRPr="002D2C76">
        <w:rPr>
          <w:rFonts w:ascii="Times New Roman" w:hAnsi="Times New Roman" w:cs="Times New Roman"/>
          <w:sz w:val="24"/>
          <w:szCs w:val="24"/>
        </w:rPr>
        <w:t xml:space="preserve">comorbidities, </w:t>
      </w:r>
      <w:r w:rsidR="005872E8" w:rsidRPr="002D2C76">
        <w:rPr>
          <w:rFonts w:ascii="Times New Roman" w:hAnsi="Times New Roman" w:cs="Times New Roman"/>
          <w:sz w:val="24"/>
          <w:szCs w:val="24"/>
        </w:rPr>
        <w:t>number o</w:t>
      </w:r>
      <w:r w:rsidR="00FA3A63" w:rsidRPr="002D2C76">
        <w:rPr>
          <w:rFonts w:ascii="Times New Roman" w:hAnsi="Times New Roman" w:cs="Times New Roman"/>
          <w:sz w:val="24"/>
          <w:szCs w:val="24"/>
        </w:rPr>
        <w:t>f</w:t>
      </w:r>
      <w:r w:rsidR="005872E8" w:rsidRPr="002D2C76">
        <w:rPr>
          <w:rFonts w:ascii="Times New Roman" w:hAnsi="Times New Roman" w:cs="Times New Roman"/>
          <w:sz w:val="24"/>
          <w:szCs w:val="24"/>
        </w:rPr>
        <w:t xml:space="preserve"> drug used, </w:t>
      </w:r>
      <w:r w:rsidR="0008488A" w:rsidRPr="002D2C76">
        <w:rPr>
          <w:rFonts w:ascii="Times New Roman" w:hAnsi="Times New Roman" w:cs="Times New Roman"/>
          <w:sz w:val="24"/>
          <w:szCs w:val="24"/>
        </w:rPr>
        <w:t xml:space="preserve">falls, </w:t>
      </w:r>
      <w:r w:rsidR="00BD42C5" w:rsidRPr="002D2C76">
        <w:rPr>
          <w:rFonts w:ascii="Times New Roman" w:hAnsi="Times New Roman" w:cs="Times New Roman"/>
          <w:sz w:val="24"/>
          <w:szCs w:val="24"/>
        </w:rPr>
        <w:t xml:space="preserve">urinary incontinence, handgrip muscle strength, </w:t>
      </w:r>
      <w:r w:rsidRPr="002D2C76">
        <w:rPr>
          <w:rFonts w:ascii="Times New Roman" w:hAnsi="Times New Roman" w:cs="Times New Roman"/>
          <w:sz w:val="24"/>
          <w:szCs w:val="24"/>
        </w:rPr>
        <w:t>Mini-Nutritional Assessment (MNA), Tinetti Performance Oriented Mobility Assessment Scale (POMA)</w:t>
      </w:r>
      <w:r w:rsidR="00BD42C5" w:rsidRPr="002D2C76">
        <w:rPr>
          <w:rFonts w:ascii="Times New Roman" w:hAnsi="Times New Roman" w:cs="Times New Roman"/>
          <w:sz w:val="24"/>
          <w:szCs w:val="24"/>
        </w:rPr>
        <w:t xml:space="preserve">, Insomnia severity Index </w:t>
      </w:r>
      <w:r w:rsidR="002E48B4" w:rsidRPr="002D2C76">
        <w:rPr>
          <w:rFonts w:ascii="Times New Roman" w:hAnsi="Times New Roman" w:cs="Times New Roman"/>
          <w:sz w:val="24"/>
          <w:szCs w:val="24"/>
        </w:rPr>
        <w:t xml:space="preserve">(ISI) </w:t>
      </w:r>
      <w:r w:rsidR="00BD42C5" w:rsidRPr="002D2C76">
        <w:rPr>
          <w:rFonts w:ascii="Times New Roman" w:hAnsi="Times New Roman" w:cs="Times New Roman"/>
          <w:sz w:val="24"/>
          <w:szCs w:val="24"/>
        </w:rPr>
        <w:t>and Epworth Daytime sleepiness</w:t>
      </w:r>
      <w:r w:rsidR="002E48B4" w:rsidRPr="002D2C76">
        <w:rPr>
          <w:rFonts w:ascii="Times New Roman" w:hAnsi="Times New Roman" w:cs="Times New Roman"/>
          <w:sz w:val="24"/>
          <w:szCs w:val="24"/>
        </w:rPr>
        <w:t xml:space="preserve"> (EDS)</w:t>
      </w:r>
      <w:r w:rsidR="00BD42C5" w:rsidRPr="002D2C76">
        <w:rPr>
          <w:rFonts w:ascii="Times New Roman" w:hAnsi="Times New Roman" w:cs="Times New Roman"/>
          <w:sz w:val="24"/>
          <w:szCs w:val="24"/>
        </w:rPr>
        <w:t xml:space="preserve">. </w:t>
      </w:r>
      <w:r w:rsidR="00087F7B" w:rsidRPr="002D2C76">
        <w:rPr>
          <w:rFonts w:ascii="Times New Roman" w:hAnsi="Times New Roman" w:cs="Times New Roman"/>
          <w:sz w:val="24"/>
          <w:szCs w:val="24"/>
        </w:rPr>
        <w:t>Basic and Instrumental Activities of Daily Living were assessed by Barthel Index and Lawton Scale</w:t>
      </w:r>
      <w:r w:rsidR="001B54B1" w:rsidRPr="002D2C76">
        <w:rPr>
          <w:rFonts w:ascii="Times New Roman" w:hAnsi="Times New Roman" w:cs="Times New Roman"/>
          <w:sz w:val="24"/>
          <w:szCs w:val="24"/>
        </w:rPr>
        <w:t xml:space="preserve">, respectively. </w:t>
      </w:r>
    </w:p>
    <w:p w14:paraId="13C3781C" w14:textId="5C83A36D" w:rsidR="0045748D" w:rsidRPr="002D2C76" w:rsidRDefault="00087F7B" w:rsidP="00E60179">
      <w:pPr>
        <w:spacing w:line="360" w:lineRule="auto"/>
        <w:jc w:val="both"/>
        <w:rPr>
          <w:rFonts w:ascii="Times New Roman" w:hAnsi="Times New Roman" w:cs="Times New Roman"/>
          <w:sz w:val="24"/>
          <w:szCs w:val="24"/>
        </w:rPr>
      </w:pPr>
      <w:r w:rsidRPr="002D2C76">
        <w:rPr>
          <w:rFonts w:ascii="Times New Roman" w:hAnsi="Times New Roman" w:cs="Times New Roman"/>
          <w:b/>
          <w:sz w:val="24"/>
          <w:szCs w:val="24"/>
        </w:rPr>
        <w:t>Results:</w:t>
      </w:r>
      <w:r w:rsidRPr="002D2C76">
        <w:rPr>
          <w:rFonts w:ascii="Times New Roman" w:hAnsi="Times New Roman" w:cs="Times New Roman"/>
          <w:sz w:val="24"/>
          <w:szCs w:val="24"/>
        </w:rPr>
        <w:t xml:space="preserve"> </w:t>
      </w:r>
      <w:r w:rsidR="00985F03" w:rsidRPr="002D2C76">
        <w:rPr>
          <w:rFonts w:ascii="Times New Roman" w:hAnsi="Times New Roman" w:cs="Times New Roman"/>
          <w:sz w:val="24"/>
          <w:szCs w:val="24"/>
        </w:rPr>
        <w:t>The</w:t>
      </w:r>
      <w:r w:rsidRPr="002D2C76">
        <w:rPr>
          <w:rFonts w:ascii="Times New Roman" w:hAnsi="Times New Roman" w:cs="Times New Roman"/>
          <w:sz w:val="24"/>
          <w:szCs w:val="24"/>
        </w:rPr>
        <w:t xml:space="preserve"> mean age</w:t>
      </w:r>
      <w:r w:rsidR="0030052A" w:rsidRPr="002D2C76">
        <w:rPr>
          <w:rFonts w:ascii="Times New Roman" w:hAnsi="Times New Roman" w:cs="Times New Roman"/>
          <w:sz w:val="24"/>
          <w:szCs w:val="24"/>
        </w:rPr>
        <w:t xml:space="preserve"> of participants</w:t>
      </w:r>
      <w:r w:rsidRPr="002D2C76">
        <w:rPr>
          <w:rFonts w:ascii="Times New Roman" w:hAnsi="Times New Roman" w:cs="Times New Roman"/>
          <w:sz w:val="24"/>
          <w:szCs w:val="24"/>
        </w:rPr>
        <w:t xml:space="preserve"> </w:t>
      </w:r>
      <w:r w:rsidR="0045748D" w:rsidRPr="002D2C76">
        <w:rPr>
          <w:rFonts w:ascii="Times New Roman" w:hAnsi="Times New Roman" w:cs="Times New Roman"/>
          <w:sz w:val="24"/>
          <w:szCs w:val="24"/>
        </w:rPr>
        <w:t xml:space="preserve">was </w:t>
      </w:r>
      <w:r w:rsidRPr="002D2C76">
        <w:rPr>
          <w:rFonts w:ascii="Times New Roman" w:hAnsi="Times New Roman" w:cs="Times New Roman"/>
          <w:sz w:val="24"/>
          <w:szCs w:val="24"/>
        </w:rPr>
        <w:t>83.4 years</w:t>
      </w:r>
      <w:r w:rsidR="00985F03" w:rsidRPr="002D2C76">
        <w:rPr>
          <w:rFonts w:ascii="Times New Roman" w:hAnsi="Times New Roman" w:cs="Times New Roman"/>
          <w:sz w:val="24"/>
          <w:szCs w:val="24"/>
        </w:rPr>
        <w:t xml:space="preserve">, and 73% </w:t>
      </w:r>
      <w:r w:rsidR="0045748D" w:rsidRPr="002D2C76">
        <w:rPr>
          <w:rFonts w:ascii="Times New Roman" w:hAnsi="Times New Roman" w:cs="Times New Roman"/>
          <w:sz w:val="24"/>
          <w:szCs w:val="24"/>
        </w:rPr>
        <w:t>were</w:t>
      </w:r>
      <w:r w:rsidR="00A373E2" w:rsidRPr="002D2C76">
        <w:rPr>
          <w:rFonts w:ascii="Times New Roman" w:hAnsi="Times New Roman" w:cs="Times New Roman"/>
          <w:sz w:val="24"/>
          <w:szCs w:val="24"/>
        </w:rPr>
        <w:t xml:space="preserve"> </w:t>
      </w:r>
      <w:r w:rsidR="00985F03" w:rsidRPr="002D2C76">
        <w:rPr>
          <w:rFonts w:ascii="Times New Roman" w:hAnsi="Times New Roman" w:cs="Times New Roman"/>
          <w:sz w:val="24"/>
          <w:szCs w:val="24"/>
        </w:rPr>
        <w:t>female</w:t>
      </w:r>
      <w:r w:rsidR="008A36A9" w:rsidRPr="002D2C76">
        <w:rPr>
          <w:rFonts w:ascii="Times New Roman" w:hAnsi="Times New Roman" w:cs="Times New Roman"/>
          <w:sz w:val="24"/>
          <w:szCs w:val="24"/>
        </w:rPr>
        <w:t xml:space="preserve">. There </w:t>
      </w:r>
      <w:r w:rsidR="0045748D" w:rsidRPr="002D2C76">
        <w:rPr>
          <w:rFonts w:ascii="Times New Roman" w:hAnsi="Times New Roman" w:cs="Times New Roman"/>
          <w:sz w:val="24"/>
          <w:szCs w:val="24"/>
        </w:rPr>
        <w:t>was</w:t>
      </w:r>
      <w:r w:rsidR="008A36A9" w:rsidRPr="002D2C76">
        <w:rPr>
          <w:rFonts w:ascii="Times New Roman" w:hAnsi="Times New Roman" w:cs="Times New Roman"/>
          <w:sz w:val="24"/>
          <w:szCs w:val="24"/>
        </w:rPr>
        <w:t xml:space="preserve"> no statistically significant difference in age, gender, cognitive function, and comorbidit</w:t>
      </w:r>
      <w:r w:rsidR="009B33B0" w:rsidRPr="002D2C76">
        <w:rPr>
          <w:rFonts w:ascii="Times New Roman" w:hAnsi="Times New Roman" w:cs="Times New Roman"/>
          <w:sz w:val="24"/>
          <w:szCs w:val="24"/>
        </w:rPr>
        <w:t>ies</w:t>
      </w:r>
      <w:r w:rsidR="008A36A9" w:rsidRPr="002D2C76">
        <w:rPr>
          <w:rFonts w:ascii="Times New Roman" w:hAnsi="Times New Roman" w:cs="Times New Roman"/>
          <w:sz w:val="24"/>
          <w:szCs w:val="24"/>
        </w:rPr>
        <w:t xml:space="preserve"> except for coronary artery disease in AD and DLB (p&lt;0.05).</w:t>
      </w:r>
      <w:r w:rsidR="007A2292" w:rsidRPr="002D2C76">
        <w:rPr>
          <w:rFonts w:ascii="Times New Roman" w:hAnsi="Times New Roman" w:cs="Times New Roman"/>
          <w:sz w:val="24"/>
          <w:szCs w:val="24"/>
        </w:rPr>
        <w:t xml:space="preserve"> </w:t>
      </w:r>
      <w:r w:rsidR="0045748D" w:rsidRPr="002D2C76">
        <w:rPr>
          <w:rFonts w:ascii="Times New Roman" w:hAnsi="Times New Roman" w:cs="Times New Roman"/>
          <w:sz w:val="24"/>
          <w:szCs w:val="24"/>
        </w:rPr>
        <w:t xml:space="preserve">The number of falls and drug used, ISI score and </w:t>
      </w:r>
      <w:r w:rsidR="00EF2163" w:rsidRPr="002D2C76">
        <w:rPr>
          <w:rFonts w:ascii="Times New Roman" w:hAnsi="Times New Roman" w:cs="Times New Roman"/>
          <w:sz w:val="24"/>
          <w:szCs w:val="24"/>
        </w:rPr>
        <w:t xml:space="preserve">EDS </w:t>
      </w:r>
      <w:r w:rsidR="0045748D" w:rsidRPr="002D2C76">
        <w:rPr>
          <w:rFonts w:ascii="Times New Roman" w:hAnsi="Times New Roman" w:cs="Times New Roman"/>
          <w:sz w:val="24"/>
          <w:szCs w:val="24"/>
        </w:rPr>
        <w:t xml:space="preserve">score were higher in patients with DLB than patients with AD (p&lt;0.05). </w:t>
      </w:r>
      <w:r w:rsidR="006170A5" w:rsidRPr="002D2C76">
        <w:rPr>
          <w:rFonts w:ascii="Times New Roman" w:hAnsi="Times New Roman" w:cs="Times New Roman"/>
          <w:sz w:val="24"/>
          <w:szCs w:val="24"/>
        </w:rPr>
        <w:t>DL</w:t>
      </w:r>
      <w:r w:rsidR="00C7362A" w:rsidRPr="002D2C76">
        <w:rPr>
          <w:rFonts w:ascii="Times New Roman" w:hAnsi="Times New Roman" w:cs="Times New Roman"/>
          <w:sz w:val="24"/>
          <w:szCs w:val="24"/>
        </w:rPr>
        <w:t>B</w:t>
      </w:r>
      <w:r w:rsidR="006170A5" w:rsidRPr="002D2C76">
        <w:rPr>
          <w:rFonts w:ascii="Times New Roman" w:hAnsi="Times New Roman" w:cs="Times New Roman"/>
          <w:sz w:val="24"/>
          <w:szCs w:val="24"/>
        </w:rPr>
        <w:t xml:space="preserve"> patients had lower MNA, </w:t>
      </w:r>
      <w:r w:rsidR="00251537" w:rsidRPr="002D2C76">
        <w:rPr>
          <w:rFonts w:ascii="Times New Roman" w:hAnsi="Times New Roman" w:cs="Times New Roman"/>
          <w:sz w:val="24"/>
          <w:szCs w:val="24"/>
        </w:rPr>
        <w:t>POMA</w:t>
      </w:r>
      <w:r w:rsidR="006170A5" w:rsidRPr="002D2C76">
        <w:rPr>
          <w:rFonts w:ascii="Times New Roman" w:hAnsi="Times New Roman" w:cs="Times New Roman"/>
          <w:sz w:val="24"/>
          <w:szCs w:val="24"/>
        </w:rPr>
        <w:t xml:space="preserve"> </w:t>
      </w:r>
      <w:r w:rsidR="009B33B0" w:rsidRPr="002D2C76">
        <w:rPr>
          <w:rFonts w:ascii="Times New Roman" w:hAnsi="Times New Roman" w:cs="Times New Roman"/>
          <w:sz w:val="24"/>
          <w:szCs w:val="24"/>
        </w:rPr>
        <w:t xml:space="preserve">scores </w:t>
      </w:r>
      <w:r w:rsidR="006170A5" w:rsidRPr="002D2C76">
        <w:rPr>
          <w:rFonts w:ascii="Times New Roman" w:hAnsi="Times New Roman" w:cs="Times New Roman"/>
          <w:sz w:val="24"/>
          <w:szCs w:val="24"/>
        </w:rPr>
        <w:t xml:space="preserve">and </w:t>
      </w:r>
      <w:r w:rsidR="009B33B0" w:rsidRPr="002D2C76">
        <w:rPr>
          <w:rFonts w:ascii="Times New Roman" w:hAnsi="Times New Roman" w:cs="Times New Roman"/>
          <w:sz w:val="24"/>
          <w:szCs w:val="24"/>
        </w:rPr>
        <w:t>h</w:t>
      </w:r>
      <w:r w:rsidR="006170A5" w:rsidRPr="002D2C76">
        <w:rPr>
          <w:rFonts w:ascii="Times New Roman" w:hAnsi="Times New Roman" w:cs="Times New Roman"/>
          <w:sz w:val="24"/>
          <w:szCs w:val="24"/>
        </w:rPr>
        <w:t xml:space="preserve">andgrip </w:t>
      </w:r>
      <w:r w:rsidR="009B33B0" w:rsidRPr="002D2C76">
        <w:rPr>
          <w:rFonts w:ascii="Times New Roman" w:hAnsi="Times New Roman" w:cs="Times New Roman"/>
          <w:sz w:val="24"/>
          <w:szCs w:val="24"/>
        </w:rPr>
        <w:t xml:space="preserve">muscle strength </w:t>
      </w:r>
      <w:r w:rsidR="006170A5" w:rsidRPr="002D2C76">
        <w:rPr>
          <w:rFonts w:ascii="Times New Roman" w:hAnsi="Times New Roman" w:cs="Times New Roman"/>
          <w:sz w:val="24"/>
          <w:szCs w:val="24"/>
        </w:rPr>
        <w:t xml:space="preserve">than AD patients. </w:t>
      </w:r>
      <w:r w:rsidR="00200450" w:rsidRPr="002D2C76">
        <w:rPr>
          <w:rFonts w:ascii="Times New Roman" w:hAnsi="Times New Roman" w:cs="Times New Roman"/>
          <w:sz w:val="24"/>
          <w:szCs w:val="24"/>
        </w:rPr>
        <w:t>D</w:t>
      </w:r>
      <w:r w:rsidR="009B33B0" w:rsidRPr="002D2C76">
        <w:rPr>
          <w:rFonts w:ascii="Times New Roman" w:hAnsi="Times New Roman" w:cs="Times New Roman"/>
          <w:sz w:val="24"/>
          <w:szCs w:val="24"/>
        </w:rPr>
        <w:t xml:space="preserve">ependency on </w:t>
      </w:r>
      <w:r w:rsidR="009141A2" w:rsidRPr="002D2C76">
        <w:rPr>
          <w:rFonts w:ascii="Times New Roman" w:hAnsi="Times New Roman" w:cs="Times New Roman"/>
          <w:sz w:val="24"/>
          <w:szCs w:val="24"/>
        </w:rPr>
        <w:t>basic ADL</w:t>
      </w:r>
      <w:r w:rsidR="009B33B0" w:rsidRPr="002D2C76">
        <w:rPr>
          <w:rFonts w:ascii="Times New Roman" w:hAnsi="Times New Roman" w:cs="Times New Roman"/>
          <w:sz w:val="24"/>
          <w:szCs w:val="24"/>
        </w:rPr>
        <w:t xml:space="preserve"> were higher in DLB than in AD</w:t>
      </w:r>
      <w:r w:rsidR="002E48B4" w:rsidRPr="002D2C76">
        <w:rPr>
          <w:rFonts w:ascii="Times New Roman" w:hAnsi="Times New Roman" w:cs="Times New Roman"/>
          <w:sz w:val="24"/>
          <w:szCs w:val="24"/>
        </w:rPr>
        <w:t xml:space="preserve"> </w:t>
      </w:r>
      <w:r w:rsidR="00864F31" w:rsidRPr="002D2C76">
        <w:rPr>
          <w:rFonts w:ascii="Times New Roman" w:hAnsi="Times New Roman" w:cs="Times New Roman"/>
          <w:sz w:val="24"/>
          <w:szCs w:val="24"/>
        </w:rPr>
        <w:t>(p&lt;</w:t>
      </w:r>
      <w:r w:rsidRPr="002D2C76">
        <w:rPr>
          <w:rFonts w:ascii="Times New Roman" w:hAnsi="Times New Roman" w:cs="Times New Roman"/>
          <w:sz w:val="24"/>
          <w:szCs w:val="24"/>
        </w:rPr>
        <w:t>0.05)</w:t>
      </w:r>
      <w:r w:rsidR="009141A2" w:rsidRPr="002D2C76">
        <w:rPr>
          <w:rFonts w:ascii="Times New Roman" w:hAnsi="Times New Roman" w:cs="Times New Roman"/>
          <w:sz w:val="24"/>
          <w:szCs w:val="24"/>
        </w:rPr>
        <w:t xml:space="preserve">, but there was no differences </w:t>
      </w:r>
      <w:r w:rsidR="00200450" w:rsidRPr="002D2C76">
        <w:rPr>
          <w:rFonts w:ascii="Times New Roman" w:hAnsi="Times New Roman" w:cs="Times New Roman"/>
          <w:sz w:val="24"/>
          <w:szCs w:val="24"/>
        </w:rPr>
        <w:t>in dependency on instrumental ADL (p&gt;0.05).</w:t>
      </w:r>
    </w:p>
    <w:p w14:paraId="31C70324" w14:textId="41F0B26B" w:rsidR="00936E7F" w:rsidRPr="00A0218C" w:rsidRDefault="00CF7B10" w:rsidP="00E60179">
      <w:pPr>
        <w:spacing w:line="360" w:lineRule="auto"/>
        <w:jc w:val="both"/>
        <w:rPr>
          <w:rFonts w:ascii="Times New Roman" w:hAnsi="Times New Roman" w:cs="Times New Roman"/>
          <w:b/>
          <w:sz w:val="24"/>
          <w:szCs w:val="24"/>
        </w:rPr>
      </w:pPr>
      <w:r w:rsidRPr="002D2C76">
        <w:rPr>
          <w:rFonts w:ascii="Times New Roman" w:hAnsi="Times New Roman" w:cs="Times New Roman"/>
          <w:b/>
          <w:sz w:val="24"/>
          <w:szCs w:val="24"/>
        </w:rPr>
        <w:t>Conclusion:</w:t>
      </w:r>
      <w:r w:rsidR="0045748D" w:rsidRPr="002D2C76">
        <w:rPr>
          <w:rFonts w:ascii="Times New Roman" w:hAnsi="Times New Roman" w:cs="Times New Roman"/>
          <w:bCs/>
          <w:sz w:val="24"/>
          <w:szCs w:val="24"/>
        </w:rPr>
        <w:t xml:space="preserve"> </w:t>
      </w:r>
      <w:bookmarkStart w:id="2" w:name="_Hlk102838177"/>
      <w:r w:rsidR="0045748D" w:rsidRPr="002D2C76">
        <w:rPr>
          <w:rFonts w:ascii="Times New Roman" w:hAnsi="Times New Roman" w:cs="Times New Roman"/>
          <w:bCs/>
          <w:sz w:val="24"/>
          <w:szCs w:val="24"/>
        </w:rPr>
        <w:t>DLB patients are more dependent on their caregivers</w:t>
      </w:r>
      <w:r w:rsidR="002E48B4" w:rsidRPr="002D2C76">
        <w:rPr>
          <w:rFonts w:ascii="Times New Roman" w:hAnsi="Times New Roman" w:cs="Times New Roman"/>
          <w:bCs/>
          <w:sz w:val="24"/>
          <w:szCs w:val="24"/>
        </w:rPr>
        <w:t xml:space="preserve"> than AD patients</w:t>
      </w:r>
      <w:bookmarkEnd w:id="2"/>
      <w:r w:rsidR="00E23DC4" w:rsidRPr="002D2C76">
        <w:rPr>
          <w:rFonts w:ascii="Times New Roman" w:hAnsi="Times New Roman" w:cs="Times New Roman"/>
          <w:bCs/>
          <w:sz w:val="24"/>
          <w:szCs w:val="24"/>
        </w:rPr>
        <w:t xml:space="preserve">. </w:t>
      </w:r>
      <w:r w:rsidR="00072BAA" w:rsidRPr="002D2C76">
        <w:rPr>
          <w:rFonts w:ascii="Times New Roman" w:hAnsi="Times New Roman" w:cs="Times New Roman"/>
          <w:sz w:val="24"/>
          <w:szCs w:val="24"/>
        </w:rPr>
        <w:t>N</w:t>
      </w:r>
      <w:r w:rsidR="0045748D" w:rsidRPr="002D2C76">
        <w:rPr>
          <w:rFonts w:ascii="Times New Roman" w:hAnsi="Times New Roman" w:cs="Times New Roman"/>
          <w:sz w:val="24"/>
          <w:szCs w:val="24"/>
        </w:rPr>
        <w:t>utritional deterioration</w:t>
      </w:r>
      <w:r w:rsidR="00C53D1C" w:rsidRPr="002D2C76">
        <w:rPr>
          <w:rFonts w:ascii="Times New Roman" w:hAnsi="Times New Roman" w:cs="Times New Roman"/>
          <w:sz w:val="24"/>
          <w:szCs w:val="24"/>
        </w:rPr>
        <w:t>,</w:t>
      </w:r>
      <w:r w:rsidR="0045748D" w:rsidRPr="002D2C76">
        <w:rPr>
          <w:rFonts w:ascii="Times New Roman" w:hAnsi="Times New Roman" w:cs="Times New Roman"/>
          <w:sz w:val="24"/>
          <w:szCs w:val="24"/>
        </w:rPr>
        <w:t xml:space="preserve"> and sleep disorders, falls, balance and </w:t>
      </w:r>
      <w:r w:rsidR="000E70DC" w:rsidRPr="002D2C76">
        <w:rPr>
          <w:rFonts w:ascii="Times New Roman" w:hAnsi="Times New Roman" w:cs="Times New Roman"/>
          <w:sz w:val="24"/>
          <w:szCs w:val="24"/>
        </w:rPr>
        <w:t>ga</w:t>
      </w:r>
      <w:r w:rsidR="00182CDA" w:rsidRPr="002D2C76">
        <w:rPr>
          <w:rFonts w:ascii="Times New Roman" w:hAnsi="Times New Roman" w:cs="Times New Roman"/>
          <w:sz w:val="24"/>
          <w:szCs w:val="24"/>
        </w:rPr>
        <w:t>it</w:t>
      </w:r>
      <w:r w:rsidR="0045748D" w:rsidRPr="002D2C76">
        <w:rPr>
          <w:rFonts w:ascii="Times New Roman" w:hAnsi="Times New Roman" w:cs="Times New Roman"/>
          <w:sz w:val="24"/>
          <w:szCs w:val="24"/>
        </w:rPr>
        <w:t xml:space="preserve"> problems, decreased muscle strength </w:t>
      </w:r>
      <w:r w:rsidR="00182CDA" w:rsidRPr="002D2C76">
        <w:rPr>
          <w:rFonts w:ascii="Times New Roman" w:hAnsi="Times New Roman" w:cs="Times New Roman"/>
          <w:sz w:val="24"/>
          <w:szCs w:val="24"/>
        </w:rPr>
        <w:t xml:space="preserve">and </w:t>
      </w:r>
      <w:r w:rsidR="0045748D" w:rsidRPr="002D2C76">
        <w:rPr>
          <w:rFonts w:ascii="Times New Roman" w:hAnsi="Times New Roman" w:cs="Times New Roman"/>
          <w:sz w:val="24"/>
          <w:szCs w:val="24"/>
        </w:rPr>
        <w:t>multiple drug use</w:t>
      </w:r>
      <w:r w:rsidR="00182CDA" w:rsidRPr="002D2C76">
        <w:rPr>
          <w:rFonts w:ascii="Times New Roman" w:hAnsi="Times New Roman" w:cs="Times New Roman"/>
          <w:sz w:val="24"/>
          <w:szCs w:val="24"/>
        </w:rPr>
        <w:t xml:space="preserve"> are more common in </w:t>
      </w:r>
      <w:r w:rsidR="0030052A" w:rsidRPr="002D2C76">
        <w:rPr>
          <w:rFonts w:ascii="Times New Roman" w:hAnsi="Times New Roman" w:cs="Times New Roman"/>
          <w:sz w:val="24"/>
          <w:szCs w:val="24"/>
        </w:rPr>
        <w:t>those</w:t>
      </w:r>
      <w:r w:rsidR="00A8736A" w:rsidRPr="002D2C76">
        <w:rPr>
          <w:rFonts w:ascii="Times New Roman" w:hAnsi="Times New Roman" w:cs="Times New Roman"/>
          <w:sz w:val="24"/>
          <w:szCs w:val="24"/>
        </w:rPr>
        <w:t xml:space="preserve"> with</w:t>
      </w:r>
      <w:r w:rsidR="0030052A" w:rsidRPr="002D2C76">
        <w:rPr>
          <w:rFonts w:ascii="Times New Roman" w:hAnsi="Times New Roman" w:cs="Times New Roman"/>
          <w:sz w:val="24"/>
          <w:szCs w:val="24"/>
        </w:rPr>
        <w:t xml:space="preserve"> </w:t>
      </w:r>
      <w:r w:rsidR="00182CDA" w:rsidRPr="002D2C76">
        <w:rPr>
          <w:rFonts w:ascii="Times New Roman" w:hAnsi="Times New Roman" w:cs="Times New Roman"/>
          <w:sz w:val="24"/>
          <w:szCs w:val="24"/>
        </w:rPr>
        <w:t>DLB</w:t>
      </w:r>
      <w:r w:rsidR="0030052A" w:rsidRPr="002D2C76">
        <w:rPr>
          <w:rFonts w:ascii="Times New Roman" w:hAnsi="Times New Roman" w:cs="Times New Roman"/>
          <w:sz w:val="24"/>
          <w:szCs w:val="24"/>
        </w:rPr>
        <w:t xml:space="preserve"> compared to those with AD</w:t>
      </w:r>
      <w:r w:rsidR="00182CDA" w:rsidRPr="002D2C76">
        <w:rPr>
          <w:rFonts w:ascii="Times New Roman" w:hAnsi="Times New Roman" w:cs="Times New Roman"/>
          <w:sz w:val="24"/>
          <w:szCs w:val="24"/>
        </w:rPr>
        <w:t xml:space="preserve">. </w:t>
      </w:r>
      <w:r w:rsidR="00393515" w:rsidRPr="002D2C76">
        <w:rPr>
          <w:rFonts w:ascii="Times New Roman" w:hAnsi="Times New Roman" w:cs="Times New Roman"/>
          <w:sz w:val="24"/>
          <w:szCs w:val="24"/>
        </w:rPr>
        <w:t xml:space="preserve">The management of older </w:t>
      </w:r>
      <w:r w:rsidR="00A8736A" w:rsidRPr="002D2C76">
        <w:rPr>
          <w:rFonts w:ascii="Times New Roman" w:hAnsi="Times New Roman" w:cs="Times New Roman"/>
          <w:sz w:val="24"/>
          <w:szCs w:val="24"/>
        </w:rPr>
        <w:t>p</w:t>
      </w:r>
      <w:r w:rsidR="00393515" w:rsidRPr="002D2C76">
        <w:rPr>
          <w:rFonts w:ascii="Times New Roman" w:hAnsi="Times New Roman" w:cs="Times New Roman"/>
          <w:sz w:val="24"/>
          <w:szCs w:val="24"/>
        </w:rPr>
        <w:t xml:space="preserve">atients with </w:t>
      </w:r>
      <w:r w:rsidR="002E48B4" w:rsidRPr="002D2C76">
        <w:rPr>
          <w:rFonts w:ascii="Times New Roman" w:hAnsi="Times New Roman" w:cs="Times New Roman"/>
          <w:sz w:val="24"/>
          <w:szCs w:val="24"/>
        </w:rPr>
        <w:t>DLB</w:t>
      </w:r>
      <w:r w:rsidR="00393515" w:rsidRPr="002D2C76">
        <w:rPr>
          <w:rFonts w:ascii="Times New Roman" w:hAnsi="Times New Roman" w:cs="Times New Roman"/>
          <w:sz w:val="24"/>
          <w:szCs w:val="24"/>
        </w:rPr>
        <w:t xml:space="preserve"> may be more difficult than </w:t>
      </w:r>
      <w:r w:rsidR="00A8736A" w:rsidRPr="002D2C76">
        <w:rPr>
          <w:rFonts w:ascii="Times New Roman" w:hAnsi="Times New Roman" w:cs="Times New Roman"/>
          <w:sz w:val="24"/>
          <w:szCs w:val="24"/>
        </w:rPr>
        <w:t xml:space="preserve">older patients with </w:t>
      </w:r>
      <w:r w:rsidR="002E48B4" w:rsidRPr="002D2C76">
        <w:rPr>
          <w:rFonts w:ascii="Times New Roman" w:hAnsi="Times New Roman" w:cs="Times New Roman"/>
          <w:sz w:val="24"/>
          <w:szCs w:val="24"/>
        </w:rPr>
        <w:t>AD.</w:t>
      </w:r>
    </w:p>
    <w:p w14:paraId="11BBA842" w14:textId="75C954A2" w:rsidR="002A7419" w:rsidRPr="004057F8" w:rsidRDefault="002A7419" w:rsidP="002A7419">
      <w:pPr>
        <w:pBdr>
          <w:top w:val="nil"/>
          <w:left w:val="nil"/>
          <w:bottom w:val="nil"/>
          <w:right w:val="nil"/>
          <w:between w:val="nil"/>
          <w:bar w:val="nil"/>
        </w:pBdr>
        <w:spacing w:after="0" w:line="360" w:lineRule="auto"/>
        <w:rPr>
          <w:rFonts w:ascii="Times New Roman" w:hAnsi="Times New Roman" w:cs="Times New Roman"/>
          <w:bCs/>
          <w:sz w:val="24"/>
          <w:szCs w:val="24"/>
        </w:rPr>
      </w:pPr>
      <w:r w:rsidRPr="002A7419">
        <w:rPr>
          <w:rFonts w:ascii="Calibri" w:eastAsia="Arial Unicode MS" w:hAnsi="Calibri" w:cs="Arial Unicode MS"/>
          <w:b/>
          <w:bCs/>
          <w:color w:val="000000"/>
          <w:u w:color="000000"/>
          <w:bdr w:val="nil"/>
          <w:lang w:val="en-US" w:eastAsia="en-GB"/>
        </w:rPr>
        <w:t>Keywords:</w:t>
      </w:r>
      <w:r w:rsidRPr="002A7419">
        <w:rPr>
          <w:rFonts w:ascii="Calibri" w:eastAsia="Arial Unicode MS" w:hAnsi="Calibri" w:cs="Arial Unicode MS"/>
          <w:color w:val="000000"/>
          <w:u w:color="000000"/>
          <w:bdr w:val="nil"/>
          <w:lang w:val="en-US" w:eastAsia="en-GB"/>
        </w:rPr>
        <w:t xml:space="preserve"> </w:t>
      </w:r>
      <w:r w:rsidRPr="004057F8">
        <w:rPr>
          <w:rFonts w:ascii="Times New Roman" w:hAnsi="Times New Roman" w:cs="Times New Roman"/>
          <w:bCs/>
          <w:sz w:val="24"/>
          <w:szCs w:val="24"/>
        </w:rPr>
        <w:t xml:space="preserve">dementia, Alzheimer’s disease, Lewy bodies, </w:t>
      </w:r>
      <w:r w:rsidR="005A7093" w:rsidRPr="004057F8">
        <w:rPr>
          <w:rFonts w:ascii="Times New Roman" w:hAnsi="Times New Roman" w:cs="Times New Roman"/>
          <w:bCs/>
          <w:sz w:val="24"/>
          <w:szCs w:val="24"/>
        </w:rPr>
        <w:t xml:space="preserve">activities of </w:t>
      </w:r>
      <w:r w:rsidR="00984266">
        <w:rPr>
          <w:rFonts w:ascii="Times New Roman" w:hAnsi="Times New Roman" w:cs="Times New Roman"/>
          <w:bCs/>
          <w:sz w:val="24"/>
          <w:szCs w:val="24"/>
        </w:rPr>
        <w:t>d</w:t>
      </w:r>
      <w:r w:rsidR="005A7093" w:rsidRPr="004057F8">
        <w:rPr>
          <w:rFonts w:ascii="Times New Roman" w:hAnsi="Times New Roman" w:cs="Times New Roman"/>
          <w:bCs/>
          <w:sz w:val="24"/>
          <w:szCs w:val="24"/>
        </w:rPr>
        <w:t xml:space="preserve">aily </w:t>
      </w:r>
      <w:r w:rsidR="00984266">
        <w:rPr>
          <w:rFonts w:ascii="Times New Roman" w:hAnsi="Times New Roman" w:cs="Times New Roman"/>
          <w:bCs/>
          <w:sz w:val="24"/>
          <w:szCs w:val="24"/>
        </w:rPr>
        <w:t>l</w:t>
      </w:r>
      <w:r w:rsidR="005A7093" w:rsidRPr="004057F8">
        <w:rPr>
          <w:rFonts w:ascii="Times New Roman" w:hAnsi="Times New Roman" w:cs="Times New Roman"/>
          <w:bCs/>
          <w:sz w:val="24"/>
          <w:szCs w:val="24"/>
        </w:rPr>
        <w:t xml:space="preserve">iving, </w:t>
      </w:r>
      <w:r w:rsidR="0038108A" w:rsidRPr="004057F8">
        <w:rPr>
          <w:rFonts w:ascii="Times New Roman" w:hAnsi="Times New Roman" w:cs="Times New Roman"/>
          <w:bCs/>
          <w:sz w:val="24"/>
          <w:szCs w:val="24"/>
        </w:rPr>
        <w:t>nutrition, sleep, falls, geriatric assessment</w:t>
      </w:r>
    </w:p>
    <w:p w14:paraId="42580D7A" w14:textId="77777777" w:rsidR="00504AB5" w:rsidRDefault="00504AB5"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5757C8EA" w14:textId="55FEC33B" w:rsidR="00021690" w:rsidRDefault="00021690"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2994A054" w14:textId="063C696A" w:rsidR="00B36ECB" w:rsidRDefault="00B36ECB"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56A4B1D7" w14:textId="7C36A1E9" w:rsidR="00B36ECB" w:rsidRDefault="00B36ECB"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56EE5F3B" w14:textId="18397CB9" w:rsidR="00B36ECB" w:rsidRDefault="00B36ECB"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70729228" w14:textId="13564503" w:rsidR="00B36ECB" w:rsidRDefault="00B36ECB"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6FA22EB9" w14:textId="51379A08" w:rsidR="00B36ECB" w:rsidRDefault="00B36ECB" w:rsidP="002A7419">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val="en-US"/>
        </w:rPr>
      </w:pPr>
    </w:p>
    <w:p w14:paraId="5D1CF8AD" w14:textId="77777777" w:rsidR="00B36ECB" w:rsidRPr="002A7419" w:rsidRDefault="00B36ECB" w:rsidP="002A7419">
      <w:pPr>
        <w:pBdr>
          <w:top w:val="nil"/>
          <w:left w:val="nil"/>
          <w:bottom w:val="nil"/>
          <w:right w:val="nil"/>
          <w:between w:val="nil"/>
          <w:bar w:val="nil"/>
        </w:pBdr>
        <w:spacing w:after="0" w:line="240" w:lineRule="auto"/>
        <w:rPr>
          <w:rFonts w:ascii="Calibri" w:eastAsia="Arial Unicode MS" w:hAnsi="Calibri" w:cs="Arial Unicode MS"/>
          <w:color w:val="000000"/>
          <w:u w:color="000000"/>
          <w:bdr w:val="nil"/>
          <w:lang w:val="en-US" w:eastAsia="en-GB"/>
        </w:rPr>
      </w:pPr>
    </w:p>
    <w:p w14:paraId="546E091E" w14:textId="77777777" w:rsidR="002A7419" w:rsidRPr="002A7419" w:rsidRDefault="002A7419" w:rsidP="002A7419">
      <w:pPr>
        <w:pBdr>
          <w:top w:val="nil"/>
          <w:left w:val="nil"/>
          <w:bottom w:val="nil"/>
          <w:right w:val="nil"/>
          <w:between w:val="nil"/>
          <w:bar w:val="nil"/>
        </w:pBdr>
        <w:spacing w:after="0" w:line="240" w:lineRule="auto"/>
        <w:rPr>
          <w:rFonts w:ascii="Calibri" w:eastAsia="Arial Unicode MS" w:hAnsi="Calibri" w:cs="Arial Unicode MS"/>
          <w:color w:val="000000"/>
          <w:u w:color="000000"/>
          <w:bdr w:val="nil"/>
          <w:lang w:val="en-US" w:eastAsia="en-GB"/>
        </w:rPr>
      </w:pPr>
    </w:p>
    <w:p w14:paraId="72845353" w14:textId="77777777" w:rsidR="00504AB5" w:rsidRDefault="00504AB5" w:rsidP="00E60179">
      <w:pPr>
        <w:spacing w:line="360" w:lineRule="auto"/>
        <w:jc w:val="both"/>
        <w:rPr>
          <w:rFonts w:ascii="Times New Roman" w:hAnsi="Times New Roman" w:cs="Times New Roman"/>
          <w:b/>
          <w:sz w:val="24"/>
          <w:szCs w:val="24"/>
        </w:rPr>
      </w:pPr>
    </w:p>
    <w:p w14:paraId="675FEE5F" w14:textId="75B9C340" w:rsidR="00594142" w:rsidRPr="00C91F39" w:rsidRDefault="00BE3A28" w:rsidP="00E60179">
      <w:pPr>
        <w:spacing w:line="360" w:lineRule="auto"/>
        <w:jc w:val="both"/>
        <w:rPr>
          <w:rFonts w:ascii="Times New Roman" w:hAnsi="Times New Roman" w:cs="Times New Roman"/>
          <w:b/>
          <w:sz w:val="24"/>
          <w:szCs w:val="24"/>
        </w:rPr>
      </w:pPr>
      <w:r w:rsidRPr="00C91F39">
        <w:rPr>
          <w:rFonts w:ascii="Times New Roman" w:hAnsi="Times New Roman" w:cs="Times New Roman"/>
          <w:b/>
          <w:sz w:val="24"/>
          <w:szCs w:val="24"/>
        </w:rPr>
        <w:lastRenderedPageBreak/>
        <w:t>Introduction</w:t>
      </w:r>
    </w:p>
    <w:p w14:paraId="150D0F8C" w14:textId="420E5C0B" w:rsidR="00402CDB" w:rsidRPr="00C91F39" w:rsidRDefault="0027659F" w:rsidP="00A50417">
      <w:pPr>
        <w:pStyle w:val="NormalWeb"/>
        <w:shd w:val="clear" w:color="auto" w:fill="FFFFFF"/>
        <w:spacing w:before="0" w:beforeAutospacing="0" w:after="0" w:afterAutospacing="0" w:line="360" w:lineRule="auto"/>
        <w:jc w:val="both"/>
      </w:pPr>
      <w:r w:rsidRPr="00C91F39">
        <w:t xml:space="preserve">Dementia is a common disorder that causes impairment, morbidity, and mortality, as well as increased </w:t>
      </w:r>
      <w:r w:rsidR="00C22C17" w:rsidRPr="00C91F39">
        <w:t>caregiver burden</w:t>
      </w:r>
      <w:r w:rsidRPr="00C91F39">
        <w:t>.</w:t>
      </w:r>
      <w:r w:rsidR="00F11DA3" w:rsidRPr="00C91F39">
        <w:t xml:space="preserve"> </w:t>
      </w:r>
      <w:r w:rsidR="003D0955" w:rsidRPr="00C91F39">
        <w:t xml:space="preserve">Alzheimer's disease </w:t>
      </w:r>
      <w:r w:rsidR="002D01DD" w:rsidRPr="00C91F39">
        <w:t xml:space="preserve">(AD) </w:t>
      </w:r>
      <w:r w:rsidR="003D0955" w:rsidRPr="00C91F39">
        <w:t>is the most common cause of dementia, accounting for about 60-80% of cases</w:t>
      </w:r>
      <w:r w:rsidR="00487525" w:rsidRPr="00C91F39">
        <w:rPr>
          <w:vertAlign w:val="superscript"/>
        </w:rPr>
        <w:t>1</w:t>
      </w:r>
      <w:r w:rsidR="003D0955" w:rsidRPr="00C91F39">
        <w:t xml:space="preserve"> and dementia with Lewy bodies </w:t>
      </w:r>
      <w:r w:rsidR="002D01DD" w:rsidRPr="00C91F39">
        <w:t xml:space="preserve">(DLB) </w:t>
      </w:r>
      <w:r w:rsidR="003D0955" w:rsidRPr="00C91F39">
        <w:t xml:space="preserve">is the second most common type of neurodegenerative dementia in the </w:t>
      </w:r>
      <w:r w:rsidR="002A2867" w:rsidRPr="00C91F39">
        <w:t>older adults</w:t>
      </w:r>
      <w:r w:rsidR="003D0955" w:rsidRPr="00C91F39">
        <w:t>, accounting for about 4</w:t>
      </w:r>
      <w:r w:rsidR="00402CDB" w:rsidRPr="00C91F39">
        <w:t>-</w:t>
      </w:r>
      <w:r w:rsidR="003D0955" w:rsidRPr="00C91F39">
        <w:t>10% of all dementia cases</w:t>
      </w:r>
      <w:r w:rsidR="00F33002" w:rsidRPr="00C91F39">
        <w:t>.</w:t>
      </w:r>
      <w:r w:rsidR="00EF07B5" w:rsidRPr="00C91F39">
        <w:rPr>
          <w:vertAlign w:val="superscript"/>
        </w:rPr>
        <w:t>2</w:t>
      </w:r>
      <w:r w:rsidR="003D0955" w:rsidRPr="00C91F39">
        <w:t xml:space="preserve"> There has been research showing that DLB has a worse prognosis than AD, as well as a greater burden on family caregivers, higher care costs, and higher admission rates to general hospitals and residential care facilities</w:t>
      </w:r>
      <w:r w:rsidR="00BE367E" w:rsidRPr="00C91F39">
        <w:t>.</w:t>
      </w:r>
      <w:r w:rsidR="00BE367E" w:rsidRPr="00C91F39">
        <w:rPr>
          <w:vertAlign w:val="superscript"/>
        </w:rPr>
        <w:t>3</w:t>
      </w:r>
      <w:r w:rsidR="003D0955" w:rsidRPr="00C91F39">
        <w:rPr>
          <w:vertAlign w:val="superscript"/>
        </w:rPr>
        <w:t xml:space="preserve"> </w:t>
      </w:r>
      <w:r w:rsidR="003D0955" w:rsidRPr="00C91F39">
        <w:rPr>
          <w:shd w:val="clear" w:color="auto" w:fill="FFFFFF"/>
        </w:rPr>
        <w:t>Among the reasons for this, autonomic dysfunction, extrapyramidal motor findings and neuropsychiatric symptoms, such as visual hallucinations, depression, daytime somnolence and delusions are more common in DLB than AD</w:t>
      </w:r>
      <w:r w:rsidR="00AA46D7" w:rsidRPr="00C91F39">
        <w:rPr>
          <w:shd w:val="clear" w:color="auto" w:fill="FFFFFF"/>
        </w:rPr>
        <w:t>.</w:t>
      </w:r>
      <w:r w:rsidR="00AA46D7" w:rsidRPr="00C91F39">
        <w:rPr>
          <w:shd w:val="clear" w:color="auto" w:fill="FFFFFF"/>
          <w:vertAlign w:val="superscript"/>
        </w:rPr>
        <w:t>4</w:t>
      </w:r>
      <w:r w:rsidR="00D87E3C" w:rsidRPr="00C91F39">
        <w:rPr>
          <w:shd w:val="clear" w:color="auto" w:fill="FFFFFF"/>
          <w:vertAlign w:val="superscript"/>
        </w:rPr>
        <w:t>,5</w:t>
      </w:r>
      <w:r w:rsidR="009A12CF" w:rsidRPr="00C91F39">
        <w:t xml:space="preserve"> </w:t>
      </w:r>
      <w:r w:rsidR="00C54532" w:rsidRPr="00C91F39">
        <w:t>In addition, few studies have shown that the reasons mentioned may be more affected by dependence on activities of daily living in DLB than in AD</w:t>
      </w:r>
      <w:r w:rsidR="00D87E3C" w:rsidRPr="00C91F39">
        <w:t>.</w:t>
      </w:r>
      <w:r w:rsidR="00D87E3C" w:rsidRPr="00C91F39">
        <w:rPr>
          <w:vertAlign w:val="superscript"/>
        </w:rPr>
        <w:t>6</w:t>
      </w:r>
      <w:r w:rsidR="00BF6C55" w:rsidRPr="00C91F39">
        <w:rPr>
          <w:vertAlign w:val="superscript"/>
        </w:rPr>
        <w:t>,7</w:t>
      </w:r>
      <w:r w:rsidR="007F5C15" w:rsidRPr="00C91F39">
        <w:t xml:space="preserve"> </w:t>
      </w:r>
      <w:r w:rsidR="00C54532" w:rsidRPr="00C91F39">
        <w:t>However, how independence in basic and instrumental activities of daily living, which is already reduced in the</w:t>
      </w:r>
      <w:r w:rsidR="002A2867" w:rsidRPr="00C91F39">
        <w:t xml:space="preserve"> older adults</w:t>
      </w:r>
      <w:r w:rsidR="00C54532" w:rsidRPr="00C91F39">
        <w:t>, is affected in both types of dementia has not been compared in detail.</w:t>
      </w:r>
    </w:p>
    <w:p w14:paraId="29D907CC" w14:textId="77777777" w:rsidR="002542EE" w:rsidRPr="00C91F39" w:rsidRDefault="002542EE" w:rsidP="00A50417">
      <w:pPr>
        <w:pStyle w:val="NormalWeb"/>
        <w:shd w:val="clear" w:color="auto" w:fill="FFFFFF"/>
        <w:spacing w:before="0" w:beforeAutospacing="0" w:after="0" w:afterAutospacing="0" w:line="360" w:lineRule="auto"/>
        <w:jc w:val="both"/>
      </w:pPr>
    </w:p>
    <w:p w14:paraId="0D3FBF0A" w14:textId="77777777" w:rsidR="007F2F11" w:rsidRPr="00C91F39" w:rsidRDefault="00A45103" w:rsidP="00D3192E">
      <w:pPr>
        <w:pStyle w:val="NormalWeb"/>
        <w:shd w:val="clear" w:color="auto" w:fill="FFFFFF"/>
        <w:spacing w:before="0" w:beforeAutospacing="0" w:after="0" w:afterAutospacing="0" w:line="360" w:lineRule="auto"/>
        <w:jc w:val="both"/>
      </w:pPr>
      <w:r w:rsidRPr="00C91F39">
        <w:t>Moreover</w:t>
      </w:r>
      <w:r w:rsidR="00A6077F" w:rsidRPr="00C91F39">
        <w:t>, geriatric syndromes such as nutritional problems, sarcopenia, polypharmacy, fear of falling, balance and gait disturbances, falls, and sleep problems, which increase in frequency with aging, occur due to multifactorial causes</w:t>
      </w:r>
      <w:r w:rsidRPr="00C91F39">
        <w:t>.</w:t>
      </w:r>
      <w:r w:rsidR="0079011D" w:rsidRPr="00C91F39">
        <w:rPr>
          <w:vertAlign w:val="superscript"/>
        </w:rPr>
        <w:t>8</w:t>
      </w:r>
      <w:r w:rsidR="00A6077F" w:rsidRPr="00C91F39">
        <w:t xml:space="preserve"> </w:t>
      </w:r>
      <w:r w:rsidRPr="00C91F39">
        <w:t>These factors are indeed</w:t>
      </w:r>
      <w:r w:rsidR="00A6077F" w:rsidRPr="00C91F39">
        <w:t xml:space="preserve"> </w:t>
      </w:r>
      <w:r w:rsidR="001A7318" w:rsidRPr="00C91F39">
        <w:t xml:space="preserve">observed at a high rate in both </w:t>
      </w:r>
      <w:r w:rsidR="00A813FE" w:rsidRPr="00C91F39">
        <w:t xml:space="preserve">older </w:t>
      </w:r>
      <w:r w:rsidR="001A7318" w:rsidRPr="00C91F39">
        <w:t xml:space="preserve">DLB and </w:t>
      </w:r>
      <w:r w:rsidR="00A813FE" w:rsidRPr="00C91F39">
        <w:t>older</w:t>
      </w:r>
      <w:r w:rsidR="001A7318" w:rsidRPr="00C91F39">
        <w:t xml:space="preserve"> AD patients from an earl</w:t>
      </w:r>
      <w:r w:rsidRPr="00C91F39">
        <w:t>y</w:t>
      </w:r>
      <w:r w:rsidR="001A7318" w:rsidRPr="00C91F39">
        <w:t xml:space="preserve"> stage</w:t>
      </w:r>
      <w:r w:rsidRPr="00C91F39">
        <w:t xml:space="preserve"> in disease progression</w:t>
      </w:r>
      <w:r w:rsidR="001A7318" w:rsidRPr="00C91F39">
        <w:t xml:space="preserve">, which </w:t>
      </w:r>
      <w:r w:rsidRPr="00C91F39">
        <w:t>is detrimental to</w:t>
      </w:r>
      <w:r w:rsidR="00BE4428" w:rsidRPr="00C91F39">
        <w:t xml:space="preserve"> </w:t>
      </w:r>
      <w:r w:rsidR="00A6077F" w:rsidRPr="00C91F39">
        <w:t>both quality of life and life expectancy</w:t>
      </w:r>
      <w:r w:rsidR="006A79EF" w:rsidRPr="00C91F39">
        <w:t>.</w:t>
      </w:r>
      <w:r w:rsidR="00351538" w:rsidRPr="00C91F39">
        <w:rPr>
          <w:vertAlign w:val="superscript"/>
        </w:rPr>
        <w:t>9</w:t>
      </w:r>
      <w:r w:rsidR="00851D22" w:rsidRPr="00C91F39">
        <w:rPr>
          <w:vertAlign w:val="superscript"/>
        </w:rPr>
        <w:t xml:space="preserve"> </w:t>
      </w:r>
      <w:r w:rsidR="006A79EF" w:rsidRPr="00C91F39">
        <w:t>Moreover, such factors increase caregiver burden and complicated clinician treatment and follow-up.</w:t>
      </w:r>
      <w:r w:rsidR="00A6077F" w:rsidRPr="00C91F39">
        <w:t xml:space="preserve"> </w:t>
      </w:r>
      <w:r w:rsidR="00CA020A" w:rsidRPr="00C91F39">
        <w:t xml:space="preserve">However, in the studies conducted so far, DLB and AD have been compared </w:t>
      </w:r>
      <w:r w:rsidR="006A79EF" w:rsidRPr="00C91F39">
        <w:t xml:space="preserve">on </w:t>
      </w:r>
      <w:r w:rsidR="00CA020A" w:rsidRPr="00C91F39">
        <w:t>neuropsychiatric symptoms, cognitive and functional decline, parki</w:t>
      </w:r>
      <w:r w:rsidR="007D4E91" w:rsidRPr="00C91F39">
        <w:t>n</w:t>
      </w:r>
      <w:r w:rsidR="00CA020A" w:rsidRPr="00C91F39">
        <w:t>s</w:t>
      </w:r>
      <w:r w:rsidR="007D4E91" w:rsidRPr="00C91F39">
        <w:t>o</w:t>
      </w:r>
      <w:r w:rsidR="00CA020A" w:rsidRPr="00C91F39">
        <w:t>nism and caregiver burden.</w:t>
      </w:r>
      <w:r w:rsidR="00851D22" w:rsidRPr="00C91F39">
        <w:rPr>
          <w:vertAlign w:val="superscript"/>
        </w:rPr>
        <w:t>6</w:t>
      </w:r>
      <w:r w:rsidR="00510888" w:rsidRPr="00C91F39">
        <w:rPr>
          <w:vertAlign w:val="superscript"/>
        </w:rPr>
        <w:t xml:space="preserve">,7 </w:t>
      </w:r>
      <w:r w:rsidR="00CA020A" w:rsidRPr="00C91F39">
        <w:t xml:space="preserve">When discussing the difficulties in the management of these patients, attention has </w:t>
      </w:r>
      <w:r w:rsidR="006A79EF" w:rsidRPr="00C91F39">
        <w:t xml:space="preserve">often focused on </w:t>
      </w:r>
      <w:r w:rsidR="00CA020A" w:rsidRPr="00C91F39">
        <w:t xml:space="preserve">these issues. However, from a geriatrician perspective, the two types of dementia have </w:t>
      </w:r>
      <w:r w:rsidR="006A79EF" w:rsidRPr="00C91F39">
        <w:t xml:space="preserve">seldom </w:t>
      </w:r>
      <w:r w:rsidR="00CA020A" w:rsidRPr="00C91F39">
        <w:t>been compared.</w:t>
      </w:r>
      <w:r w:rsidR="000516BC" w:rsidRPr="00C91F39">
        <w:t xml:space="preserve"> </w:t>
      </w:r>
    </w:p>
    <w:p w14:paraId="24EA48CB" w14:textId="77777777" w:rsidR="00961331" w:rsidRPr="00C91F39" w:rsidRDefault="00961331" w:rsidP="00D3192E">
      <w:pPr>
        <w:pStyle w:val="NormalWeb"/>
        <w:shd w:val="clear" w:color="auto" w:fill="FFFFFF"/>
        <w:spacing w:before="0" w:beforeAutospacing="0" w:after="0" w:afterAutospacing="0" w:line="360" w:lineRule="auto"/>
        <w:jc w:val="both"/>
      </w:pPr>
    </w:p>
    <w:p w14:paraId="32F33F88" w14:textId="158EEC5B" w:rsidR="00D3101F" w:rsidRPr="00C91F39" w:rsidRDefault="00963F0F" w:rsidP="00D3192E">
      <w:pPr>
        <w:pStyle w:val="NormalWeb"/>
        <w:shd w:val="clear" w:color="auto" w:fill="FFFFFF"/>
        <w:spacing w:before="0" w:beforeAutospacing="0" w:after="0" w:afterAutospacing="0" w:line="360" w:lineRule="auto"/>
        <w:jc w:val="both"/>
      </w:pPr>
      <w:r w:rsidRPr="00C91F39">
        <w:t>P</w:t>
      </w:r>
      <w:r w:rsidR="00BE15D7" w:rsidRPr="00C91F39">
        <w:t xml:space="preserve">atients </w:t>
      </w:r>
      <w:r w:rsidRPr="00C91F39">
        <w:t xml:space="preserve">with dementia </w:t>
      </w:r>
      <w:r w:rsidR="00BE15D7" w:rsidRPr="00C91F39">
        <w:t>are affected in activities of daily living at varying rates depending on the stage of the disease.</w:t>
      </w:r>
      <w:r w:rsidR="00A77619" w:rsidRPr="00C91F39">
        <w:rPr>
          <w:vertAlign w:val="superscript"/>
        </w:rPr>
        <w:t>1</w:t>
      </w:r>
      <w:r w:rsidR="00BE15D7" w:rsidRPr="00C91F39">
        <w:t xml:space="preserve"> On the other hand, it can be predicted that </w:t>
      </w:r>
      <w:r w:rsidR="002C7B78" w:rsidRPr="00C91F39">
        <w:t>a decreased</w:t>
      </w:r>
      <w:r w:rsidR="00BE15D7" w:rsidRPr="00C91F39">
        <w:t xml:space="preserve"> in quality of life </w:t>
      </w:r>
      <w:r w:rsidR="002C7B78" w:rsidRPr="00C91F39">
        <w:t>may</w:t>
      </w:r>
      <w:r w:rsidR="00BE15D7" w:rsidRPr="00C91F39">
        <w:t xml:space="preserve"> be at the forefront in older dementia patients due to deterioration in </w:t>
      </w:r>
      <w:r w:rsidR="00E77E1C" w:rsidRPr="00C91F39">
        <w:t>activities of daily livings</w:t>
      </w:r>
      <w:r w:rsidR="00BE15D7" w:rsidRPr="00C91F39">
        <w:t xml:space="preserve"> and geriatric syndromes.</w:t>
      </w:r>
      <w:r w:rsidR="007F2F11" w:rsidRPr="00C91F39">
        <w:t xml:space="preserve"> </w:t>
      </w:r>
      <w:r w:rsidR="00A77619" w:rsidRPr="00C91F39">
        <w:rPr>
          <w:vertAlign w:val="superscript"/>
        </w:rPr>
        <w:t xml:space="preserve">1,3 </w:t>
      </w:r>
      <w:r w:rsidR="007F2F11" w:rsidRPr="00C91F39">
        <w:t>A</w:t>
      </w:r>
      <w:r w:rsidR="00D3101F" w:rsidRPr="00C91F39">
        <w:t xml:space="preserve">lthough the importance of </w:t>
      </w:r>
      <w:r w:rsidR="007F2F11" w:rsidRPr="00C91F39">
        <w:t>these factors</w:t>
      </w:r>
      <w:r w:rsidR="00D3101F" w:rsidRPr="00C91F39">
        <w:t xml:space="preserve"> for dementia practice is well known, there are no previous studies comparing the most common dementia subtypes in </w:t>
      </w:r>
      <w:r w:rsidR="007F2F11" w:rsidRPr="00C91F39">
        <w:t>older adults</w:t>
      </w:r>
      <w:r w:rsidR="00366D91" w:rsidRPr="00C91F39">
        <w:t xml:space="preserve"> </w:t>
      </w:r>
      <w:r w:rsidR="00A22BEF" w:rsidRPr="00C91F39">
        <w:t>in terms of them.</w:t>
      </w:r>
    </w:p>
    <w:p w14:paraId="11D32B64" w14:textId="77777777" w:rsidR="00D3101F" w:rsidRPr="00C91F39" w:rsidRDefault="00D3101F" w:rsidP="00D3192E">
      <w:pPr>
        <w:pStyle w:val="NormalWeb"/>
        <w:shd w:val="clear" w:color="auto" w:fill="FFFFFF"/>
        <w:spacing w:before="0" w:beforeAutospacing="0" w:after="0" w:afterAutospacing="0" w:line="360" w:lineRule="auto"/>
        <w:jc w:val="both"/>
        <w:rPr>
          <w:shd w:val="clear" w:color="auto" w:fill="FFFFFF"/>
        </w:rPr>
      </w:pPr>
    </w:p>
    <w:p w14:paraId="7C57ACE4" w14:textId="5EE6C0BF" w:rsidR="00752A1B" w:rsidRPr="00C91F39" w:rsidRDefault="006A79EF" w:rsidP="00D3192E">
      <w:pPr>
        <w:pStyle w:val="NormalWeb"/>
        <w:shd w:val="clear" w:color="auto" w:fill="FFFFFF"/>
        <w:spacing w:before="0" w:beforeAutospacing="0" w:after="0" w:afterAutospacing="0" w:line="360" w:lineRule="auto"/>
        <w:jc w:val="both"/>
      </w:pPr>
      <w:r w:rsidRPr="00C91F39">
        <w:lastRenderedPageBreak/>
        <w:t>Given this background</w:t>
      </w:r>
      <w:r w:rsidR="00CA020A" w:rsidRPr="00C91F39">
        <w:t>, the aim of this study is to make a detailed comparison of DLB ​​and AD, the two most common dementias in the</w:t>
      </w:r>
      <w:r w:rsidR="002A2867" w:rsidRPr="00C91F39">
        <w:t xml:space="preserve"> older adults</w:t>
      </w:r>
      <w:r w:rsidR="00CA020A" w:rsidRPr="00C91F39">
        <w:t>, with dependencies on basic and instrumental activities of daily living, and geriatric assessment parameters.</w:t>
      </w:r>
    </w:p>
    <w:p w14:paraId="75E16058" w14:textId="77777777" w:rsidR="00FB400E" w:rsidRPr="00C91F39" w:rsidRDefault="00FB400E" w:rsidP="00E60179">
      <w:pPr>
        <w:spacing w:line="360" w:lineRule="auto"/>
        <w:jc w:val="both"/>
        <w:rPr>
          <w:rFonts w:ascii="Times New Roman" w:hAnsi="Times New Roman" w:cs="Times New Roman"/>
          <w:b/>
          <w:sz w:val="24"/>
          <w:szCs w:val="24"/>
        </w:rPr>
      </w:pPr>
    </w:p>
    <w:p w14:paraId="0C40C484" w14:textId="76488BCA" w:rsidR="00376F51" w:rsidRPr="00C91F39" w:rsidRDefault="00FB400E" w:rsidP="00E60179">
      <w:pPr>
        <w:spacing w:line="360" w:lineRule="auto"/>
        <w:jc w:val="both"/>
        <w:rPr>
          <w:rFonts w:ascii="Times New Roman" w:hAnsi="Times New Roman" w:cs="Times New Roman"/>
          <w:b/>
          <w:sz w:val="24"/>
          <w:szCs w:val="24"/>
        </w:rPr>
      </w:pPr>
      <w:r w:rsidRPr="00C91F39">
        <w:rPr>
          <w:rFonts w:ascii="Times New Roman" w:hAnsi="Times New Roman" w:cs="Times New Roman"/>
          <w:b/>
          <w:sz w:val="24"/>
          <w:szCs w:val="24"/>
        </w:rPr>
        <w:t>M</w:t>
      </w:r>
      <w:r w:rsidR="00376F51" w:rsidRPr="00C91F39">
        <w:rPr>
          <w:rFonts w:ascii="Times New Roman" w:hAnsi="Times New Roman" w:cs="Times New Roman"/>
          <w:b/>
          <w:sz w:val="24"/>
          <w:szCs w:val="24"/>
        </w:rPr>
        <w:t>ethod</w:t>
      </w:r>
    </w:p>
    <w:p w14:paraId="72301259" w14:textId="7C2C0DDA" w:rsidR="002057F4" w:rsidRPr="00C91F39" w:rsidRDefault="00376F51" w:rsidP="00E60179">
      <w:pPr>
        <w:spacing w:line="360" w:lineRule="auto"/>
        <w:jc w:val="both"/>
        <w:rPr>
          <w:rFonts w:ascii="Times New Roman" w:hAnsi="Times New Roman" w:cs="Times New Roman"/>
          <w:b/>
          <w:bCs/>
          <w:iCs/>
          <w:sz w:val="24"/>
          <w:szCs w:val="24"/>
        </w:rPr>
      </w:pPr>
      <w:r w:rsidRPr="00C91F39">
        <w:rPr>
          <w:rFonts w:ascii="Times New Roman" w:hAnsi="Times New Roman" w:cs="Times New Roman"/>
          <w:b/>
          <w:bCs/>
          <w:iCs/>
          <w:sz w:val="24"/>
          <w:szCs w:val="24"/>
        </w:rPr>
        <w:t>Participants</w:t>
      </w:r>
    </w:p>
    <w:p w14:paraId="5629A1F0" w14:textId="77777777" w:rsidR="00A93BB9" w:rsidRPr="00C91F39" w:rsidRDefault="00C5045C" w:rsidP="00E60179">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A t</w:t>
      </w:r>
      <w:r w:rsidR="00376F51" w:rsidRPr="00C91F39">
        <w:rPr>
          <w:rFonts w:ascii="Times New Roman" w:hAnsi="Times New Roman" w:cs="Times New Roman"/>
          <w:sz w:val="24"/>
          <w:szCs w:val="24"/>
        </w:rPr>
        <w:t xml:space="preserve">otal of 1531 older adult outpatients who were admitted to a geriatric clinic based in Turkey for any reason and who had no exclusion criteria were included in this cross-sectional study. The investigation conformed to the Declaration of Helsinki and </w:t>
      </w:r>
      <w:bookmarkStart w:id="3" w:name="_Hlk102837507"/>
      <w:r w:rsidR="00376F51" w:rsidRPr="00C91F39">
        <w:rPr>
          <w:rFonts w:ascii="Times New Roman" w:hAnsi="Times New Roman" w:cs="Times New Roman"/>
          <w:sz w:val="24"/>
          <w:szCs w:val="24"/>
        </w:rPr>
        <w:t xml:space="preserve">was approved by the local ethics committee (14/298). </w:t>
      </w:r>
      <w:bookmarkEnd w:id="3"/>
      <w:r w:rsidR="00376F51" w:rsidRPr="00C91F39">
        <w:rPr>
          <w:rFonts w:ascii="Times New Roman" w:hAnsi="Times New Roman" w:cs="Times New Roman"/>
          <w:sz w:val="24"/>
          <w:szCs w:val="24"/>
        </w:rPr>
        <w:t xml:space="preserve">Informed consent was provided by each participant or a legal guardian before participating in the study. </w:t>
      </w:r>
    </w:p>
    <w:p w14:paraId="35781019" w14:textId="1C1E6C33" w:rsidR="005E6FFE" w:rsidRPr="00C91F39" w:rsidRDefault="00376F51" w:rsidP="00D3192E">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Probable AD was diagnosed with National Institute on Aging-Alzheimer’s Association workgroup’s criteria and probable DLB was diagnosed with Fourth consensus report of the DLB Consortium</w:t>
      </w:r>
      <w:r w:rsidR="00BD582C" w:rsidRPr="00C91F39">
        <w:rPr>
          <w:rFonts w:ascii="Times New Roman" w:hAnsi="Times New Roman" w:cs="Times New Roman"/>
          <w:sz w:val="24"/>
          <w:szCs w:val="24"/>
        </w:rPr>
        <w:t>.</w:t>
      </w:r>
      <w:r w:rsidR="00BD582C" w:rsidRPr="00C91F39">
        <w:rPr>
          <w:rFonts w:ascii="Times New Roman" w:hAnsi="Times New Roman" w:cs="Times New Roman"/>
          <w:sz w:val="24"/>
          <w:szCs w:val="24"/>
          <w:vertAlign w:val="superscript"/>
        </w:rPr>
        <w:t>10</w:t>
      </w:r>
      <w:r w:rsidR="00541866" w:rsidRPr="00C91F39">
        <w:rPr>
          <w:rFonts w:ascii="Times New Roman" w:hAnsi="Times New Roman" w:cs="Times New Roman"/>
          <w:sz w:val="24"/>
          <w:szCs w:val="24"/>
          <w:vertAlign w:val="superscript"/>
        </w:rPr>
        <w:t>,11</w:t>
      </w:r>
      <w:r w:rsidR="005E6FFE" w:rsidRPr="00C91F39">
        <w:rPr>
          <w:rFonts w:ascii="Times New Roman" w:hAnsi="Times New Roman" w:cs="Times New Roman"/>
          <w:sz w:val="24"/>
          <w:szCs w:val="24"/>
        </w:rPr>
        <w:t xml:space="preserve"> </w:t>
      </w:r>
      <w:bookmarkStart w:id="4" w:name="_Hlk102746296"/>
      <w:r w:rsidR="00541866" w:rsidRPr="00C91F39">
        <w:rPr>
          <w:rFonts w:ascii="Times New Roman" w:hAnsi="Times New Roman" w:cs="Times New Roman"/>
          <w:sz w:val="16"/>
          <w:szCs w:val="16"/>
        </w:rPr>
        <w:t xml:space="preserve"> </w:t>
      </w:r>
    </w:p>
    <w:bookmarkEnd w:id="4"/>
    <w:p w14:paraId="59AC3706" w14:textId="72B357B8" w:rsidR="0052584B" w:rsidRPr="00C91F39" w:rsidRDefault="00376F51" w:rsidP="00D3192E">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All patients underwent neuro-imaging protocols such as cranial magnetic resonance imaging or computed tomography</w:t>
      </w:r>
      <w:r w:rsidR="00F07FA7" w:rsidRPr="00C91F39">
        <w:rPr>
          <w:rFonts w:ascii="Times New Roman" w:hAnsi="Times New Roman" w:cs="Times New Roman"/>
          <w:sz w:val="24"/>
          <w:szCs w:val="24"/>
        </w:rPr>
        <w:t xml:space="preserve"> </w:t>
      </w:r>
      <w:r w:rsidR="00F07FA7" w:rsidRPr="00C91F39">
        <w:rPr>
          <w:rFonts w:ascii="Times New Roman" w:hAnsi="Times New Roman" w:cs="Times New Roman"/>
          <w:sz w:val="24"/>
          <w:szCs w:val="24"/>
          <w:shd w:val="clear" w:color="auto" w:fill="FFFFFF"/>
        </w:rPr>
        <w:t>to rule out other causes of cognitive impairment (such as intracranial hemorrhage, brain cancer</w:t>
      </w:r>
      <w:r w:rsidR="009B5ADF" w:rsidRPr="00C91F39">
        <w:rPr>
          <w:rFonts w:ascii="Times New Roman" w:hAnsi="Times New Roman" w:cs="Times New Roman"/>
          <w:sz w:val="24"/>
          <w:szCs w:val="24"/>
          <w:shd w:val="clear" w:color="auto" w:fill="FFFFFF"/>
        </w:rPr>
        <w:t>)</w:t>
      </w:r>
      <w:r w:rsidR="00F07FA7" w:rsidRPr="00C91F39">
        <w:rPr>
          <w:rFonts w:ascii="Times New Roman" w:hAnsi="Times New Roman" w:cs="Times New Roman"/>
          <w:sz w:val="24"/>
          <w:szCs w:val="24"/>
          <w:shd w:val="clear" w:color="auto" w:fill="FFFFFF"/>
        </w:rPr>
        <w:t>.</w:t>
      </w:r>
      <w:r w:rsidRPr="00C91F39">
        <w:rPr>
          <w:rFonts w:ascii="Times New Roman" w:hAnsi="Times New Roman" w:cs="Times New Roman"/>
          <w:sz w:val="24"/>
          <w:szCs w:val="24"/>
        </w:rPr>
        <w:t xml:space="preserve"> Patients who had severe illness that may impair their general health status, such as acute cerebrovascular event, sepsis, acute renal failure, acute coronary syndrome, and acute respiratory failure; and </w:t>
      </w:r>
      <w:r w:rsidR="00E84FE9" w:rsidRPr="00C91F39">
        <w:rPr>
          <w:rFonts w:ascii="Times New Roman" w:hAnsi="Times New Roman" w:cs="Times New Roman"/>
          <w:sz w:val="24"/>
          <w:szCs w:val="24"/>
        </w:rPr>
        <w:t>those</w:t>
      </w:r>
      <w:r w:rsidRPr="00C91F39">
        <w:rPr>
          <w:rFonts w:ascii="Times New Roman" w:hAnsi="Times New Roman" w:cs="Times New Roman"/>
          <w:sz w:val="24"/>
          <w:szCs w:val="24"/>
        </w:rPr>
        <w:t xml:space="preserve"> who did not agree to undergo the Comprehensive Geriatric Assessment (CGA)</w:t>
      </w:r>
      <w:r w:rsidR="004A2931" w:rsidRPr="00C91F39">
        <w:rPr>
          <w:rFonts w:ascii="Times New Roman" w:hAnsi="Times New Roman" w:cs="Times New Roman"/>
          <w:sz w:val="24"/>
          <w:szCs w:val="24"/>
        </w:rPr>
        <w:t xml:space="preserve">; </w:t>
      </w:r>
      <w:r w:rsidR="004A2931" w:rsidRPr="00C91F39">
        <w:rPr>
          <w:rFonts w:ascii="Times New Roman" w:eastAsia="Times New Roman" w:hAnsi="Times New Roman" w:cs="Times New Roman"/>
          <w:sz w:val="24"/>
          <w:szCs w:val="24"/>
          <w:lang w:val="en-US" w:eastAsia="en-GB"/>
        </w:rPr>
        <w:t>those who have severe vision and hearing impairment that prevent communication and understanding commands during the examination</w:t>
      </w:r>
      <w:r w:rsidRPr="00C91F39">
        <w:rPr>
          <w:rFonts w:ascii="Times New Roman" w:hAnsi="Times New Roman" w:cs="Times New Roman"/>
          <w:sz w:val="24"/>
          <w:szCs w:val="24"/>
        </w:rPr>
        <w:t xml:space="preserve"> were excluded. </w:t>
      </w:r>
      <w:r w:rsidR="00B9605D" w:rsidRPr="00C91F39">
        <w:rPr>
          <w:rFonts w:ascii="Times New Roman" w:hAnsi="Times New Roman" w:cs="Times New Roman"/>
          <w:sz w:val="24"/>
          <w:szCs w:val="24"/>
        </w:rPr>
        <w:t xml:space="preserve">Except for those with probable DLB or AD, the patients with MCI were also excluded from the study. </w:t>
      </w:r>
      <w:r w:rsidR="00E66C23" w:rsidRPr="00C91F39">
        <w:rPr>
          <w:rFonts w:ascii="Times New Roman" w:hAnsi="Times New Roman" w:cs="Times New Roman"/>
          <w:sz w:val="24"/>
          <w:szCs w:val="24"/>
        </w:rPr>
        <w:t xml:space="preserve">Moreover, </w:t>
      </w:r>
      <w:r w:rsidRPr="00C91F39">
        <w:rPr>
          <w:rFonts w:ascii="Times New Roman" w:hAnsi="Times New Roman" w:cs="Times New Roman"/>
          <w:sz w:val="24"/>
          <w:szCs w:val="24"/>
        </w:rPr>
        <w:t>other types of dementia were excluded such as vascular dementia, f</w:t>
      </w:r>
      <w:r w:rsidR="002057F4" w:rsidRPr="00C91F39">
        <w:rPr>
          <w:rFonts w:ascii="Times New Roman" w:hAnsi="Times New Roman" w:cs="Times New Roman"/>
          <w:sz w:val="24"/>
          <w:szCs w:val="24"/>
        </w:rPr>
        <w:t xml:space="preserve">rontotemporal dementia and </w:t>
      </w:r>
      <w:r w:rsidR="0042511F" w:rsidRPr="00C91F39">
        <w:rPr>
          <w:rFonts w:ascii="Times New Roman" w:hAnsi="Times New Roman" w:cs="Times New Roman"/>
          <w:sz w:val="24"/>
          <w:szCs w:val="24"/>
        </w:rPr>
        <w:t>P</w:t>
      </w:r>
      <w:r w:rsidRPr="00C91F39">
        <w:rPr>
          <w:rFonts w:ascii="Times New Roman" w:hAnsi="Times New Roman" w:cs="Times New Roman"/>
          <w:sz w:val="24"/>
          <w:szCs w:val="24"/>
        </w:rPr>
        <w:t>arkinson</w:t>
      </w:r>
      <w:r w:rsidR="002C7B78" w:rsidRPr="00C91F39">
        <w:rPr>
          <w:rFonts w:ascii="Times New Roman" w:hAnsi="Times New Roman" w:cs="Times New Roman"/>
          <w:sz w:val="24"/>
          <w:szCs w:val="24"/>
        </w:rPr>
        <w:t>s</w:t>
      </w:r>
      <w:r w:rsidR="00DF2CC3" w:rsidRPr="00C91F39">
        <w:rPr>
          <w:rFonts w:ascii="Times New Roman" w:hAnsi="Times New Roman" w:cs="Times New Roman"/>
          <w:sz w:val="24"/>
          <w:szCs w:val="24"/>
        </w:rPr>
        <w:t xml:space="preserve"> disease’</w:t>
      </w:r>
      <w:r w:rsidRPr="00C91F39">
        <w:rPr>
          <w:rFonts w:ascii="Times New Roman" w:hAnsi="Times New Roman" w:cs="Times New Roman"/>
          <w:sz w:val="24"/>
          <w:szCs w:val="24"/>
        </w:rPr>
        <w:t xml:space="preserve"> dementia.</w:t>
      </w:r>
      <w:r w:rsidR="00B9605D" w:rsidRPr="00C91F39">
        <w:rPr>
          <w:rFonts w:ascii="Times New Roman" w:hAnsi="Times New Roman" w:cs="Times New Roman"/>
          <w:sz w:val="24"/>
          <w:szCs w:val="24"/>
        </w:rPr>
        <w:t xml:space="preserve"> </w:t>
      </w:r>
      <w:r w:rsidR="00A93BB9" w:rsidRPr="00C91F39">
        <w:rPr>
          <w:rFonts w:ascii="Times New Roman" w:hAnsi="Times New Roman" w:cs="Times New Roman"/>
          <w:sz w:val="24"/>
          <w:szCs w:val="24"/>
        </w:rPr>
        <w:t xml:space="preserve"> </w:t>
      </w:r>
    </w:p>
    <w:p w14:paraId="3C14EAB0" w14:textId="0E7C82A2" w:rsidR="00893012" w:rsidRPr="00C91F39" w:rsidRDefault="00893012" w:rsidP="00D3192E">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Finally</w:t>
      </w:r>
      <w:r w:rsidR="00376F51" w:rsidRPr="00C91F39">
        <w:rPr>
          <w:rFonts w:ascii="Times New Roman" w:hAnsi="Times New Roman" w:cs="Times New Roman"/>
          <w:sz w:val="24"/>
          <w:szCs w:val="24"/>
        </w:rPr>
        <w:t xml:space="preserve">, </w:t>
      </w:r>
      <w:r w:rsidRPr="00C91F39">
        <w:rPr>
          <w:rFonts w:ascii="Times New Roman" w:hAnsi="Times New Roman" w:cs="Times New Roman"/>
          <w:sz w:val="24"/>
          <w:szCs w:val="24"/>
        </w:rPr>
        <w:t>35</w:t>
      </w:r>
      <w:r w:rsidR="00230C95" w:rsidRPr="00C91F39">
        <w:rPr>
          <w:rFonts w:ascii="Times New Roman" w:hAnsi="Times New Roman" w:cs="Times New Roman"/>
          <w:sz w:val="24"/>
          <w:szCs w:val="24"/>
        </w:rPr>
        <w:t>0</w:t>
      </w:r>
      <w:r w:rsidRPr="00C91F39">
        <w:rPr>
          <w:rFonts w:ascii="Times New Roman" w:hAnsi="Times New Roman" w:cs="Times New Roman"/>
          <w:sz w:val="24"/>
          <w:szCs w:val="24"/>
        </w:rPr>
        <w:t xml:space="preserve"> patients with dementia (</w:t>
      </w:r>
      <w:r w:rsidR="002B299F" w:rsidRPr="00C91F39">
        <w:rPr>
          <w:rFonts w:ascii="Times New Roman" w:hAnsi="Times New Roman" w:cs="Times New Roman"/>
          <w:sz w:val="24"/>
          <w:szCs w:val="24"/>
        </w:rPr>
        <w:t>227 AD, and 123 DLB)</w:t>
      </w:r>
      <w:r w:rsidR="00230C95" w:rsidRPr="00C91F39">
        <w:rPr>
          <w:rFonts w:ascii="Times New Roman" w:hAnsi="Times New Roman" w:cs="Times New Roman"/>
          <w:sz w:val="24"/>
          <w:szCs w:val="24"/>
        </w:rPr>
        <w:t xml:space="preserve"> </w:t>
      </w:r>
      <w:r w:rsidRPr="00C91F39">
        <w:rPr>
          <w:rFonts w:ascii="Times New Roman" w:hAnsi="Times New Roman" w:cs="Times New Roman"/>
          <w:sz w:val="24"/>
          <w:szCs w:val="24"/>
        </w:rPr>
        <w:t xml:space="preserve">were included. </w:t>
      </w:r>
    </w:p>
    <w:p w14:paraId="601487F3" w14:textId="17EBC437" w:rsidR="002057F4" w:rsidRPr="00C91F39" w:rsidRDefault="002057F4" w:rsidP="00E60179">
      <w:pPr>
        <w:spacing w:line="360" w:lineRule="auto"/>
        <w:jc w:val="both"/>
        <w:rPr>
          <w:rFonts w:ascii="Times New Roman" w:hAnsi="Times New Roman" w:cs="Times New Roman"/>
          <w:b/>
          <w:bCs/>
          <w:iCs/>
          <w:sz w:val="24"/>
          <w:szCs w:val="24"/>
        </w:rPr>
      </w:pPr>
      <w:r w:rsidRPr="00C91F39">
        <w:rPr>
          <w:rFonts w:ascii="Times New Roman" w:hAnsi="Times New Roman" w:cs="Times New Roman"/>
          <w:b/>
          <w:bCs/>
          <w:iCs/>
          <w:sz w:val="24"/>
          <w:szCs w:val="24"/>
        </w:rPr>
        <w:t>Comprehensive geriatric assessment</w:t>
      </w:r>
      <w:r w:rsidR="00044A64" w:rsidRPr="00C91F39">
        <w:rPr>
          <w:rFonts w:ascii="Times New Roman" w:hAnsi="Times New Roman" w:cs="Times New Roman"/>
          <w:b/>
          <w:bCs/>
          <w:iCs/>
          <w:sz w:val="24"/>
          <w:szCs w:val="24"/>
        </w:rPr>
        <w:t xml:space="preserve"> (CGA)</w:t>
      </w:r>
      <w:r w:rsidR="00A93BB9" w:rsidRPr="00C91F39">
        <w:rPr>
          <w:rFonts w:ascii="Times New Roman" w:hAnsi="Times New Roman" w:cs="Times New Roman"/>
          <w:b/>
          <w:bCs/>
          <w:iCs/>
          <w:sz w:val="24"/>
          <w:szCs w:val="24"/>
          <w:vertAlign w:val="superscript"/>
        </w:rPr>
        <w:t>8</w:t>
      </w:r>
      <w:r w:rsidR="00B5140B" w:rsidRPr="00C91F39">
        <w:rPr>
          <w:rFonts w:ascii="Times New Roman" w:hAnsi="Times New Roman" w:cs="Times New Roman"/>
          <w:b/>
          <w:bCs/>
          <w:iCs/>
          <w:sz w:val="24"/>
          <w:szCs w:val="24"/>
        </w:rPr>
        <w:t xml:space="preserve"> </w:t>
      </w:r>
    </w:p>
    <w:p w14:paraId="47AC891A" w14:textId="51866EB7" w:rsidR="00B2505E" w:rsidRPr="00C91F39" w:rsidRDefault="00B9605D" w:rsidP="00657129">
      <w:pPr>
        <w:spacing w:line="360" w:lineRule="auto"/>
        <w:jc w:val="both"/>
        <w:rPr>
          <w:rFonts w:ascii="Times New Roman" w:hAnsi="Times New Roman" w:cs="Times New Roman"/>
          <w:sz w:val="24"/>
          <w:szCs w:val="24"/>
          <w:shd w:val="clear" w:color="auto" w:fill="FFFFFF"/>
        </w:rPr>
      </w:pPr>
      <w:r w:rsidRPr="00C91F39">
        <w:rPr>
          <w:rFonts w:ascii="Times New Roman" w:hAnsi="Times New Roman" w:cs="Times New Roman"/>
          <w:sz w:val="24"/>
          <w:szCs w:val="24"/>
        </w:rPr>
        <w:t xml:space="preserve">A geriatrician, a psychologist, and a gerontologist interviewed family members or caregivers of each included patient, thereby obtaining information about the participants. </w:t>
      </w:r>
      <w:r w:rsidR="002057F4" w:rsidRPr="00C91F39">
        <w:rPr>
          <w:rFonts w:ascii="Times New Roman" w:hAnsi="Times New Roman" w:cs="Times New Roman"/>
          <w:sz w:val="24"/>
          <w:szCs w:val="24"/>
        </w:rPr>
        <w:t>Demographic characteristics (age, gender, and years of education) were recorded</w:t>
      </w:r>
      <w:r w:rsidR="00DF1BE1" w:rsidRPr="00C91F39">
        <w:rPr>
          <w:rFonts w:ascii="Times New Roman" w:hAnsi="Times New Roman" w:cs="Times New Roman"/>
          <w:sz w:val="24"/>
          <w:szCs w:val="24"/>
        </w:rPr>
        <w:t xml:space="preserve">. </w:t>
      </w:r>
      <w:r w:rsidR="00455F07" w:rsidRPr="00C91F39">
        <w:rPr>
          <w:rFonts w:ascii="Times New Roman" w:hAnsi="Times New Roman" w:cs="Times New Roman"/>
          <w:sz w:val="24"/>
          <w:szCs w:val="24"/>
        </w:rPr>
        <w:t xml:space="preserve">Comorbid diseases </w:t>
      </w:r>
      <w:r w:rsidR="00DF1BE1" w:rsidRPr="00C91F39">
        <w:rPr>
          <w:rFonts w:ascii="Times New Roman" w:hAnsi="Times New Roman" w:cs="Times New Roman"/>
          <w:sz w:val="24"/>
          <w:szCs w:val="24"/>
        </w:rPr>
        <w:t xml:space="preserve">including hypertension, </w:t>
      </w:r>
      <w:r w:rsidR="00DB385F" w:rsidRPr="00C91F39">
        <w:rPr>
          <w:rFonts w:ascii="Times New Roman" w:hAnsi="Times New Roman" w:cs="Times New Roman"/>
          <w:sz w:val="24"/>
          <w:szCs w:val="24"/>
        </w:rPr>
        <w:t xml:space="preserve">diabetes mellitus, </w:t>
      </w:r>
      <w:r w:rsidR="004720AF" w:rsidRPr="00C91F39">
        <w:rPr>
          <w:rFonts w:ascii="Times New Roman" w:hAnsi="Times New Roman" w:cs="Times New Roman"/>
          <w:bCs/>
          <w:sz w:val="24"/>
          <w:szCs w:val="24"/>
        </w:rPr>
        <w:t>c</w:t>
      </w:r>
      <w:r w:rsidR="00E66C23" w:rsidRPr="00C91F39">
        <w:rPr>
          <w:rFonts w:ascii="Times New Roman" w:hAnsi="Times New Roman" w:cs="Times New Roman"/>
          <w:bCs/>
          <w:sz w:val="24"/>
          <w:szCs w:val="24"/>
        </w:rPr>
        <w:t>o</w:t>
      </w:r>
      <w:r w:rsidR="00DB385F" w:rsidRPr="00C91F39">
        <w:rPr>
          <w:rFonts w:ascii="Times New Roman" w:hAnsi="Times New Roman" w:cs="Times New Roman"/>
          <w:bCs/>
          <w:sz w:val="24"/>
          <w:szCs w:val="24"/>
        </w:rPr>
        <w:t>ronary</w:t>
      </w:r>
      <w:r w:rsidR="00DB385F" w:rsidRPr="00C91F39">
        <w:rPr>
          <w:rFonts w:ascii="Times New Roman" w:hAnsi="Times New Roman" w:cs="Times New Roman"/>
          <w:sz w:val="24"/>
          <w:szCs w:val="24"/>
        </w:rPr>
        <w:t xml:space="preserve"> </w:t>
      </w:r>
      <w:r w:rsidR="004720AF" w:rsidRPr="00C91F39">
        <w:rPr>
          <w:rFonts w:ascii="Times New Roman" w:hAnsi="Times New Roman" w:cs="Times New Roman"/>
          <w:sz w:val="24"/>
          <w:szCs w:val="24"/>
        </w:rPr>
        <w:t>a</w:t>
      </w:r>
      <w:r w:rsidR="00DB385F" w:rsidRPr="00C91F39">
        <w:rPr>
          <w:rFonts w:ascii="Times New Roman" w:hAnsi="Times New Roman" w:cs="Times New Roman"/>
          <w:sz w:val="24"/>
          <w:szCs w:val="24"/>
        </w:rPr>
        <w:t xml:space="preserve">rtery </w:t>
      </w:r>
      <w:r w:rsidR="004720AF" w:rsidRPr="00C91F39">
        <w:rPr>
          <w:rFonts w:ascii="Times New Roman" w:hAnsi="Times New Roman" w:cs="Times New Roman"/>
          <w:sz w:val="24"/>
          <w:szCs w:val="24"/>
        </w:rPr>
        <w:t>d</w:t>
      </w:r>
      <w:r w:rsidR="00DB385F" w:rsidRPr="00C91F39">
        <w:rPr>
          <w:rFonts w:ascii="Times New Roman" w:hAnsi="Times New Roman" w:cs="Times New Roman"/>
          <w:sz w:val="24"/>
          <w:szCs w:val="24"/>
        </w:rPr>
        <w:t xml:space="preserve">isease, </w:t>
      </w:r>
      <w:r w:rsidR="004720AF" w:rsidRPr="00C91F39">
        <w:rPr>
          <w:rFonts w:ascii="Times New Roman" w:hAnsi="Times New Roman" w:cs="Times New Roman"/>
          <w:sz w:val="24"/>
          <w:szCs w:val="24"/>
        </w:rPr>
        <w:t>c</w:t>
      </w:r>
      <w:r w:rsidR="00DB385F" w:rsidRPr="00C91F39">
        <w:rPr>
          <w:rFonts w:ascii="Times New Roman" w:hAnsi="Times New Roman" w:cs="Times New Roman"/>
          <w:sz w:val="24"/>
          <w:szCs w:val="24"/>
        </w:rPr>
        <w:t xml:space="preserve">ongestive </w:t>
      </w:r>
      <w:r w:rsidR="007C3B51" w:rsidRPr="00C91F39">
        <w:rPr>
          <w:rFonts w:ascii="Times New Roman" w:hAnsi="Times New Roman" w:cs="Times New Roman"/>
          <w:sz w:val="24"/>
          <w:szCs w:val="24"/>
        </w:rPr>
        <w:t>h</w:t>
      </w:r>
      <w:r w:rsidR="00DB385F" w:rsidRPr="00C91F39">
        <w:rPr>
          <w:rFonts w:ascii="Times New Roman" w:hAnsi="Times New Roman" w:cs="Times New Roman"/>
          <w:sz w:val="24"/>
          <w:szCs w:val="24"/>
        </w:rPr>
        <w:t xml:space="preserve">eart </w:t>
      </w:r>
      <w:r w:rsidR="007C3B51" w:rsidRPr="00C91F39">
        <w:rPr>
          <w:rFonts w:ascii="Times New Roman" w:hAnsi="Times New Roman" w:cs="Times New Roman"/>
          <w:sz w:val="24"/>
          <w:szCs w:val="24"/>
        </w:rPr>
        <w:t>f</w:t>
      </w:r>
      <w:r w:rsidR="00DB385F" w:rsidRPr="00C91F39">
        <w:rPr>
          <w:rFonts w:ascii="Times New Roman" w:hAnsi="Times New Roman" w:cs="Times New Roman"/>
          <w:sz w:val="24"/>
          <w:szCs w:val="24"/>
        </w:rPr>
        <w:t xml:space="preserve">ailure, </w:t>
      </w:r>
      <w:r w:rsidR="007C3B51" w:rsidRPr="00C91F39">
        <w:rPr>
          <w:rFonts w:ascii="Times New Roman" w:hAnsi="Times New Roman" w:cs="Times New Roman"/>
          <w:sz w:val="24"/>
          <w:szCs w:val="24"/>
        </w:rPr>
        <w:t>c</w:t>
      </w:r>
      <w:r w:rsidR="00DB385F" w:rsidRPr="00C91F39">
        <w:rPr>
          <w:rFonts w:ascii="Times New Roman" w:hAnsi="Times New Roman" w:cs="Times New Roman"/>
          <w:sz w:val="24"/>
          <w:szCs w:val="24"/>
        </w:rPr>
        <w:t xml:space="preserve">hronic </w:t>
      </w:r>
      <w:r w:rsidR="007C3B51" w:rsidRPr="00C91F39">
        <w:rPr>
          <w:rFonts w:ascii="Times New Roman" w:hAnsi="Times New Roman" w:cs="Times New Roman"/>
          <w:sz w:val="24"/>
          <w:szCs w:val="24"/>
        </w:rPr>
        <w:t>o</w:t>
      </w:r>
      <w:r w:rsidR="00DB385F" w:rsidRPr="00C91F39">
        <w:rPr>
          <w:rFonts w:ascii="Times New Roman" w:hAnsi="Times New Roman" w:cs="Times New Roman"/>
          <w:sz w:val="24"/>
          <w:szCs w:val="24"/>
        </w:rPr>
        <w:t xml:space="preserve">bstructive </w:t>
      </w:r>
      <w:r w:rsidR="007C3B51" w:rsidRPr="00C91F39">
        <w:rPr>
          <w:rFonts w:ascii="Times New Roman" w:hAnsi="Times New Roman" w:cs="Times New Roman"/>
          <w:sz w:val="24"/>
          <w:szCs w:val="24"/>
        </w:rPr>
        <w:t>p</w:t>
      </w:r>
      <w:r w:rsidR="00DB385F" w:rsidRPr="00C91F39">
        <w:rPr>
          <w:rFonts w:ascii="Times New Roman" w:hAnsi="Times New Roman" w:cs="Times New Roman"/>
          <w:sz w:val="24"/>
          <w:szCs w:val="24"/>
        </w:rPr>
        <w:t xml:space="preserve">ulmonary </w:t>
      </w:r>
      <w:r w:rsidR="007C3B51" w:rsidRPr="00C91F39">
        <w:rPr>
          <w:rFonts w:ascii="Times New Roman" w:hAnsi="Times New Roman" w:cs="Times New Roman"/>
          <w:sz w:val="24"/>
          <w:szCs w:val="24"/>
        </w:rPr>
        <w:t>d</w:t>
      </w:r>
      <w:r w:rsidR="00DB385F" w:rsidRPr="00C91F39">
        <w:rPr>
          <w:rFonts w:ascii="Times New Roman" w:hAnsi="Times New Roman" w:cs="Times New Roman"/>
          <w:sz w:val="24"/>
          <w:szCs w:val="24"/>
        </w:rPr>
        <w:t xml:space="preserve">isease, </w:t>
      </w:r>
      <w:bookmarkStart w:id="5" w:name="_Hlk92028563"/>
      <w:r w:rsidR="007C3B51" w:rsidRPr="00C91F39">
        <w:rPr>
          <w:rFonts w:ascii="Times New Roman" w:hAnsi="Times New Roman" w:cs="Times New Roman"/>
          <w:sz w:val="24"/>
          <w:szCs w:val="24"/>
        </w:rPr>
        <w:t>c</w:t>
      </w:r>
      <w:r w:rsidR="00DB385F" w:rsidRPr="00C91F39">
        <w:rPr>
          <w:rFonts w:ascii="Times New Roman" w:hAnsi="Times New Roman" w:cs="Times New Roman"/>
          <w:sz w:val="24"/>
          <w:szCs w:val="24"/>
        </w:rPr>
        <w:t>erebrovascular events</w:t>
      </w:r>
      <w:bookmarkEnd w:id="5"/>
      <w:r w:rsidR="00DB385F" w:rsidRPr="00C91F39">
        <w:rPr>
          <w:rFonts w:ascii="Times New Roman" w:hAnsi="Times New Roman" w:cs="Times New Roman"/>
          <w:sz w:val="24"/>
          <w:szCs w:val="24"/>
        </w:rPr>
        <w:t xml:space="preserve">, osteoarthritis, and peripheral </w:t>
      </w:r>
      <w:r w:rsidR="00DB385F" w:rsidRPr="00C91F39">
        <w:rPr>
          <w:rFonts w:ascii="Times New Roman" w:hAnsi="Times New Roman" w:cs="Times New Roman"/>
          <w:sz w:val="24"/>
          <w:szCs w:val="24"/>
        </w:rPr>
        <w:lastRenderedPageBreak/>
        <w:t xml:space="preserve">artery disease </w:t>
      </w:r>
      <w:r w:rsidR="00455F07" w:rsidRPr="00C91F39">
        <w:rPr>
          <w:rFonts w:ascii="Times New Roman" w:hAnsi="Times New Roman" w:cs="Times New Roman"/>
          <w:sz w:val="24"/>
          <w:szCs w:val="24"/>
        </w:rPr>
        <w:t xml:space="preserve">were </w:t>
      </w:r>
      <w:r w:rsidR="00E66C23" w:rsidRPr="00C91F39">
        <w:rPr>
          <w:rFonts w:ascii="Times New Roman" w:hAnsi="Times New Roman" w:cs="Times New Roman"/>
          <w:sz w:val="24"/>
          <w:szCs w:val="24"/>
        </w:rPr>
        <w:t>reported</w:t>
      </w:r>
      <w:r w:rsidR="00455F07" w:rsidRPr="00C91F39">
        <w:rPr>
          <w:rFonts w:ascii="Times New Roman" w:hAnsi="Times New Roman" w:cs="Times New Roman"/>
          <w:sz w:val="24"/>
          <w:szCs w:val="24"/>
        </w:rPr>
        <w:t xml:space="preserve">. </w:t>
      </w:r>
      <w:r w:rsidRPr="00C91F39">
        <w:rPr>
          <w:rFonts w:ascii="Times New Roman" w:hAnsi="Times New Roman" w:cs="Times New Roman"/>
          <w:sz w:val="24"/>
          <w:szCs w:val="24"/>
        </w:rPr>
        <w:t xml:space="preserve">All the drugs and drug counts were recorded. The patients were also questioned in terms of recurrent falls (≥1 falls/year) within the past year. </w:t>
      </w:r>
      <w:r w:rsidR="009E0E52" w:rsidRPr="00C91F39">
        <w:rPr>
          <w:rFonts w:ascii="Times New Roman" w:hAnsi="Times New Roman" w:cs="Times New Roman"/>
          <w:sz w:val="24"/>
          <w:szCs w:val="24"/>
        </w:rPr>
        <w:t xml:space="preserve">Urinary incontinence was </w:t>
      </w:r>
      <w:r w:rsidR="005A1999" w:rsidRPr="00C91F39">
        <w:rPr>
          <w:rFonts w:ascii="Times New Roman" w:hAnsi="Times New Roman" w:cs="Times New Roman"/>
          <w:sz w:val="24"/>
          <w:szCs w:val="24"/>
        </w:rPr>
        <w:t>considered</w:t>
      </w:r>
      <w:r w:rsidR="009E0E52" w:rsidRPr="00C91F39">
        <w:rPr>
          <w:rFonts w:ascii="Times New Roman" w:hAnsi="Times New Roman" w:cs="Times New Roman"/>
          <w:sz w:val="24"/>
          <w:szCs w:val="24"/>
        </w:rPr>
        <w:t xml:space="preserve"> as </w:t>
      </w:r>
      <w:r w:rsidR="00260C93" w:rsidRPr="00C91F39">
        <w:rPr>
          <w:rFonts w:ascii="Times New Roman" w:hAnsi="Times New Roman" w:cs="Times New Roman"/>
          <w:sz w:val="24"/>
          <w:szCs w:val="24"/>
        </w:rPr>
        <w:t>the involuntary leakage in the last 3 months except when urinary tract infection was present.</w:t>
      </w:r>
      <w:r w:rsidR="009E0E52" w:rsidRPr="00C91F39">
        <w:rPr>
          <w:rFonts w:ascii="Times New Roman" w:hAnsi="Times New Roman" w:cs="Times New Roman"/>
          <w:sz w:val="24"/>
          <w:szCs w:val="24"/>
        </w:rPr>
        <w:t xml:space="preserve"> </w:t>
      </w:r>
      <w:r w:rsidR="002057F4" w:rsidRPr="00C91F39">
        <w:rPr>
          <w:rFonts w:ascii="Times New Roman" w:hAnsi="Times New Roman" w:cs="Times New Roman"/>
          <w:sz w:val="24"/>
          <w:szCs w:val="24"/>
        </w:rPr>
        <w:t>Nutritional status was assessed using the Mini-Nutritional Assessment (MNA) score.</w:t>
      </w:r>
      <w:r w:rsidR="004057F8" w:rsidRPr="00C91F39">
        <w:rPr>
          <w:rFonts w:ascii="Times New Roman" w:hAnsi="Times New Roman" w:cs="Times New Roman"/>
          <w:shd w:val="clear" w:color="auto" w:fill="FFFFFF"/>
        </w:rPr>
        <w:t xml:space="preserve"> </w:t>
      </w:r>
      <w:r w:rsidR="004057F8" w:rsidRPr="00C91F39">
        <w:rPr>
          <w:rFonts w:ascii="Times New Roman" w:hAnsi="Times New Roman" w:cs="Times New Roman"/>
          <w:sz w:val="24"/>
          <w:szCs w:val="24"/>
          <w:shd w:val="clear" w:color="auto" w:fill="FFFFFF"/>
        </w:rPr>
        <w:t>Cognitive status was evaluated by Mini-Mental State Examination (MMSE)</w:t>
      </w:r>
      <w:r w:rsidR="00D53355" w:rsidRPr="00C91F39">
        <w:rPr>
          <w:rFonts w:ascii="Times New Roman" w:hAnsi="Times New Roman" w:cs="Times New Roman"/>
          <w:sz w:val="24"/>
          <w:szCs w:val="24"/>
          <w:shd w:val="clear" w:color="auto" w:fill="FFFFFF"/>
          <w:vertAlign w:val="superscript"/>
        </w:rPr>
        <w:t xml:space="preserve">12 </w:t>
      </w:r>
      <w:r w:rsidR="004057F8" w:rsidRPr="00C91F39">
        <w:rPr>
          <w:rFonts w:ascii="Times New Roman" w:hAnsi="Times New Roman" w:cs="Times New Roman"/>
          <w:sz w:val="24"/>
          <w:szCs w:val="24"/>
          <w:shd w:val="clear" w:color="auto" w:fill="FFFFFF"/>
        </w:rPr>
        <w:t>or the Montreal Cognitive Assessment scale (MOCA)</w:t>
      </w:r>
      <w:r w:rsidR="00D53355" w:rsidRPr="00C91F39">
        <w:rPr>
          <w:rFonts w:ascii="Times New Roman" w:hAnsi="Times New Roman" w:cs="Times New Roman"/>
          <w:sz w:val="24"/>
          <w:szCs w:val="24"/>
          <w:shd w:val="clear" w:color="auto" w:fill="FFFFFF"/>
          <w:vertAlign w:val="superscript"/>
        </w:rPr>
        <w:t xml:space="preserve">13 </w:t>
      </w:r>
      <w:r w:rsidR="004057F8" w:rsidRPr="00C91F39">
        <w:rPr>
          <w:rFonts w:ascii="Times New Roman" w:hAnsi="Times New Roman" w:cs="Times New Roman"/>
          <w:sz w:val="24"/>
          <w:szCs w:val="24"/>
          <w:shd w:val="clear" w:color="auto" w:fill="FFFFFF"/>
        </w:rPr>
        <w:t xml:space="preserve">according to the patients’ education levels. </w:t>
      </w:r>
      <w:r w:rsidR="005F21AF" w:rsidRPr="00C91F39">
        <w:rPr>
          <w:rFonts w:ascii="Times New Roman" w:hAnsi="Times New Roman" w:cs="Times New Roman"/>
          <w:sz w:val="24"/>
          <w:szCs w:val="24"/>
          <w:shd w:val="clear" w:color="auto" w:fill="FFFFFF"/>
        </w:rPr>
        <w:t>T</w:t>
      </w:r>
      <w:r w:rsidR="004057F8" w:rsidRPr="00C91F39">
        <w:rPr>
          <w:rFonts w:ascii="Times New Roman" w:hAnsi="Times New Roman" w:cs="Times New Roman"/>
          <w:sz w:val="24"/>
          <w:szCs w:val="24"/>
          <w:shd w:val="clear" w:color="auto" w:fill="FFFFFF"/>
        </w:rPr>
        <w:t xml:space="preserve">he MOCA were used for the individuals who </w:t>
      </w:r>
      <w:r w:rsidR="00B2505E" w:rsidRPr="00C91F39">
        <w:rPr>
          <w:rFonts w:ascii="Times New Roman" w:hAnsi="Times New Roman" w:cs="Times New Roman"/>
          <w:sz w:val="24"/>
          <w:szCs w:val="24"/>
          <w:shd w:val="clear" w:color="auto" w:fill="FFFFFF"/>
        </w:rPr>
        <w:t xml:space="preserve">had 11 or more years of education. </w:t>
      </w:r>
      <w:r w:rsidR="00D00817" w:rsidRPr="00C91F39">
        <w:rPr>
          <w:rFonts w:ascii="Times New Roman" w:hAnsi="Times New Roman" w:cs="Times New Roman"/>
          <w:sz w:val="24"/>
          <w:szCs w:val="24"/>
          <w:shd w:val="clear" w:color="auto" w:fill="FFFFFF"/>
          <w:vertAlign w:val="superscript"/>
        </w:rPr>
        <w:t>13</w:t>
      </w:r>
      <w:r w:rsidR="004057F8" w:rsidRPr="00C91F39">
        <w:rPr>
          <w:rFonts w:ascii="Times New Roman" w:hAnsi="Times New Roman" w:cs="Times New Roman"/>
          <w:sz w:val="24"/>
          <w:szCs w:val="24"/>
          <w:shd w:val="clear" w:color="auto" w:fill="FFFFFF"/>
        </w:rPr>
        <w:t xml:space="preserve"> </w:t>
      </w:r>
    </w:p>
    <w:p w14:paraId="46252EAE" w14:textId="4C39277B" w:rsidR="00657129" w:rsidRPr="00C91F39" w:rsidRDefault="00F442B8" w:rsidP="00657129">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 xml:space="preserve">Gait and balance function was assessed by Tinetti Performance Oriented Mobility Assessment Scale (POMA). A hand dynamometer was used to determine muscle strength, and the highest of the 3 measurements of the dominant hand was accepted as the hand grip strength value. </w:t>
      </w:r>
      <w:r w:rsidR="00657129" w:rsidRPr="00C91F39">
        <w:rPr>
          <w:rFonts w:ascii="Times New Roman" w:hAnsi="Times New Roman" w:cs="Times New Roman"/>
          <w:sz w:val="24"/>
          <w:szCs w:val="24"/>
        </w:rPr>
        <w:t>Insomnia Severity Index and Epworth Sleepiness Scale were used to detect ins</w:t>
      </w:r>
      <w:r w:rsidR="00E66C23" w:rsidRPr="00C91F39">
        <w:rPr>
          <w:rFonts w:ascii="Times New Roman" w:hAnsi="Times New Roman" w:cs="Times New Roman"/>
          <w:sz w:val="24"/>
          <w:szCs w:val="24"/>
        </w:rPr>
        <w:t>o</w:t>
      </w:r>
      <w:r w:rsidR="00657129" w:rsidRPr="00C91F39">
        <w:rPr>
          <w:rFonts w:ascii="Times New Roman" w:hAnsi="Times New Roman" w:cs="Times New Roman"/>
          <w:sz w:val="24"/>
          <w:szCs w:val="24"/>
        </w:rPr>
        <w:t>mnia and daytime sleepiness, respectively.</w:t>
      </w:r>
      <w:r w:rsidR="007C2D0B" w:rsidRPr="00C91F39">
        <w:rPr>
          <w:rFonts w:ascii="Times New Roman" w:hAnsi="Times New Roman" w:cs="Times New Roman"/>
          <w:sz w:val="24"/>
          <w:szCs w:val="24"/>
          <w:vertAlign w:val="superscript"/>
        </w:rPr>
        <w:t>1</w:t>
      </w:r>
      <w:r w:rsidR="00C87841" w:rsidRPr="00C91F39">
        <w:rPr>
          <w:rFonts w:ascii="Times New Roman" w:hAnsi="Times New Roman" w:cs="Times New Roman"/>
          <w:sz w:val="24"/>
          <w:szCs w:val="24"/>
          <w:vertAlign w:val="superscript"/>
        </w:rPr>
        <w:t>4</w:t>
      </w:r>
      <w:hyperlink r:id="rId6" w:history="1"/>
      <w:r w:rsidR="006A59D6" w:rsidRPr="00C91F39">
        <w:rPr>
          <w:rStyle w:val="Hyperlink"/>
          <w:rFonts w:ascii="Times New Roman" w:hAnsi="Times New Roman" w:cs="Times New Roman"/>
          <w:color w:val="auto"/>
          <w:sz w:val="24"/>
          <w:szCs w:val="24"/>
        </w:rPr>
        <w:t xml:space="preserve"> </w:t>
      </w:r>
      <w:r w:rsidR="000920C0" w:rsidRPr="00C91F39">
        <w:rPr>
          <w:rFonts w:ascii="Times New Roman" w:hAnsi="Times New Roman" w:cs="Times New Roman"/>
          <w:sz w:val="24"/>
          <w:szCs w:val="24"/>
        </w:rPr>
        <w:t xml:space="preserve"> </w:t>
      </w:r>
    </w:p>
    <w:p w14:paraId="1E257492" w14:textId="5CF85AAC" w:rsidR="002057F4" w:rsidRPr="00C91F39" w:rsidRDefault="00BA7AE3" w:rsidP="00E60179">
      <w:pPr>
        <w:spacing w:line="360" w:lineRule="auto"/>
        <w:jc w:val="both"/>
        <w:rPr>
          <w:rFonts w:ascii="Times New Roman" w:hAnsi="Times New Roman" w:cs="Times New Roman"/>
          <w:b/>
          <w:bCs/>
          <w:iCs/>
          <w:sz w:val="24"/>
          <w:szCs w:val="24"/>
        </w:rPr>
      </w:pPr>
      <w:bookmarkStart w:id="6" w:name="_Hlk95302502"/>
      <w:r w:rsidRPr="00C91F39">
        <w:rPr>
          <w:rFonts w:ascii="Times New Roman" w:hAnsi="Times New Roman" w:cs="Times New Roman"/>
          <w:b/>
          <w:bCs/>
          <w:iCs/>
          <w:sz w:val="24"/>
          <w:szCs w:val="24"/>
        </w:rPr>
        <w:t xml:space="preserve">Barthel Index for </w:t>
      </w:r>
      <w:r w:rsidR="00D90ED1" w:rsidRPr="00C91F39">
        <w:rPr>
          <w:rFonts w:ascii="Times New Roman" w:hAnsi="Times New Roman" w:cs="Times New Roman"/>
          <w:b/>
          <w:bCs/>
          <w:iCs/>
          <w:sz w:val="24"/>
          <w:szCs w:val="24"/>
        </w:rPr>
        <w:t xml:space="preserve">Basic </w:t>
      </w:r>
      <w:r w:rsidRPr="00C91F39">
        <w:rPr>
          <w:rFonts w:ascii="Times New Roman" w:hAnsi="Times New Roman" w:cs="Times New Roman"/>
          <w:b/>
          <w:bCs/>
          <w:iCs/>
          <w:sz w:val="24"/>
          <w:szCs w:val="24"/>
        </w:rPr>
        <w:t xml:space="preserve">Activities of Daily Living </w:t>
      </w:r>
      <w:r w:rsidR="0044627D" w:rsidRPr="00C91F39">
        <w:rPr>
          <w:rFonts w:ascii="Times New Roman" w:hAnsi="Times New Roman" w:cs="Times New Roman"/>
          <w:b/>
          <w:bCs/>
          <w:iCs/>
          <w:sz w:val="24"/>
          <w:szCs w:val="24"/>
        </w:rPr>
        <w:t xml:space="preserve">Scale </w:t>
      </w:r>
      <w:r w:rsidR="0075009A" w:rsidRPr="00C91F39">
        <w:rPr>
          <w:rFonts w:ascii="Times New Roman" w:hAnsi="Times New Roman" w:cs="Times New Roman"/>
          <w:b/>
          <w:bCs/>
          <w:iCs/>
          <w:sz w:val="24"/>
          <w:szCs w:val="24"/>
        </w:rPr>
        <w:t xml:space="preserve">(BADL) </w:t>
      </w:r>
      <w:r w:rsidRPr="00C91F39">
        <w:rPr>
          <w:rFonts w:ascii="Times New Roman" w:hAnsi="Times New Roman" w:cs="Times New Roman"/>
          <w:b/>
          <w:bCs/>
          <w:iCs/>
          <w:sz w:val="24"/>
          <w:szCs w:val="24"/>
        </w:rPr>
        <w:t xml:space="preserve">and Lawton </w:t>
      </w:r>
      <w:r w:rsidR="00D90ED1" w:rsidRPr="00C91F39">
        <w:rPr>
          <w:rFonts w:ascii="Times New Roman" w:hAnsi="Times New Roman" w:cs="Times New Roman"/>
          <w:b/>
          <w:bCs/>
          <w:iCs/>
          <w:sz w:val="24"/>
          <w:szCs w:val="24"/>
        </w:rPr>
        <w:t xml:space="preserve">for </w:t>
      </w:r>
      <w:r w:rsidRPr="00C91F39">
        <w:rPr>
          <w:rFonts w:ascii="Times New Roman" w:hAnsi="Times New Roman" w:cs="Times New Roman"/>
          <w:b/>
          <w:bCs/>
          <w:iCs/>
          <w:sz w:val="24"/>
          <w:szCs w:val="24"/>
        </w:rPr>
        <w:t xml:space="preserve">Instrumental Activities of Daily Living </w:t>
      </w:r>
      <w:r w:rsidR="0075009A" w:rsidRPr="00C91F39">
        <w:rPr>
          <w:rFonts w:ascii="Times New Roman" w:hAnsi="Times New Roman" w:cs="Times New Roman"/>
          <w:b/>
          <w:bCs/>
          <w:iCs/>
          <w:sz w:val="24"/>
          <w:szCs w:val="24"/>
        </w:rPr>
        <w:t xml:space="preserve">(IADL) </w:t>
      </w:r>
      <w:r w:rsidRPr="00C91F39">
        <w:rPr>
          <w:rFonts w:ascii="Times New Roman" w:hAnsi="Times New Roman" w:cs="Times New Roman"/>
          <w:b/>
          <w:bCs/>
          <w:iCs/>
          <w:sz w:val="24"/>
          <w:szCs w:val="24"/>
        </w:rPr>
        <w:t>Scale</w:t>
      </w:r>
    </w:p>
    <w:bookmarkEnd w:id="6"/>
    <w:p w14:paraId="54D55ECB" w14:textId="03D7DD5A" w:rsidR="00AC7931" w:rsidRPr="00C91F39" w:rsidRDefault="005A1999" w:rsidP="00AC7931">
      <w:pPr>
        <w:spacing w:line="360" w:lineRule="auto"/>
        <w:jc w:val="both"/>
        <w:rPr>
          <w:rFonts w:ascii="Times New Roman" w:hAnsi="Times New Roman" w:cs="Times New Roman"/>
          <w:sz w:val="18"/>
          <w:szCs w:val="18"/>
          <w:shd w:val="clear" w:color="auto" w:fill="FFFFFF"/>
        </w:rPr>
      </w:pPr>
      <w:r w:rsidRPr="00C91F39">
        <w:rPr>
          <w:rFonts w:ascii="Times New Roman" w:hAnsi="Times New Roman" w:cs="Times New Roman"/>
          <w:sz w:val="24"/>
          <w:szCs w:val="24"/>
        </w:rPr>
        <w:t xml:space="preserve">Barthel Index </w:t>
      </w:r>
      <w:r w:rsidR="00743C50" w:rsidRPr="00C91F39">
        <w:rPr>
          <w:rFonts w:ascii="Times New Roman" w:hAnsi="Times New Roman" w:cs="Times New Roman"/>
          <w:sz w:val="24"/>
          <w:szCs w:val="24"/>
        </w:rPr>
        <w:t xml:space="preserve">measures the level of independence and functional status in daily activities like feeding, bathing, dressing, bowels/bladder control, using the toilet, and transfers (from bed to chair), mobility (on flat surfaces) and stair climbing. A score of 100 indicates complete independence, whereas a score of </w:t>
      </w:r>
      <w:r w:rsidRPr="00C91F39">
        <w:rPr>
          <w:rFonts w:ascii="Times New Roman" w:hAnsi="Times New Roman" w:cs="Times New Roman"/>
          <w:sz w:val="24"/>
          <w:szCs w:val="24"/>
        </w:rPr>
        <w:t>0 indicates complet</w:t>
      </w:r>
      <w:r w:rsidR="00E66C23" w:rsidRPr="00C91F39">
        <w:rPr>
          <w:rFonts w:ascii="Times New Roman" w:hAnsi="Times New Roman" w:cs="Times New Roman"/>
          <w:sz w:val="24"/>
          <w:szCs w:val="24"/>
        </w:rPr>
        <w:t>te</w:t>
      </w:r>
      <w:r w:rsidRPr="00C91F39">
        <w:rPr>
          <w:rFonts w:ascii="Times New Roman" w:hAnsi="Times New Roman" w:cs="Times New Roman"/>
          <w:sz w:val="24"/>
          <w:szCs w:val="24"/>
        </w:rPr>
        <w:t xml:space="preserve"> dependency</w:t>
      </w:r>
      <w:r w:rsidR="00743C50" w:rsidRPr="00C91F39">
        <w:rPr>
          <w:rFonts w:ascii="Times New Roman" w:hAnsi="Times New Roman" w:cs="Times New Roman"/>
          <w:sz w:val="24"/>
          <w:szCs w:val="24"/>
        </w:rPr>
        <w:t xml:space="preserve"> on another person. Furthermore, the Barthel Index has been divided into five separate score ranges (100-91: fully independent; 99-91: mildly dependent; 62-90:</w:t>
      </w:r>
      <w:r w:rsidR="0007335B" w:rsidRPr="00C91F39">
        <w:rPr>
          <w:rFonts w:ascii="Times New Roman" w:hAnsi="Times New Roman" w:cs="Times New Roman"/>
          <w:sz w:val="24"/>
          <w:szCs w:val="24"/>
        </w:rPr>
        <w:t xml:space="preserve"> moderately dependent; 61-21: highly dependent; 20-0: fully dependent</w:t>
      </w:r>
      <w:r w:rsidR="007D3E48" w:rsidRPr="00C91F39">
        <w:rPr>
          <w:rFonts w:ascii="Times New Roman" w:hAnsi="Times New Roman" w:cs="Times New Roman"/>
          <w:sz w:val="24"/>
          <w:szCs w:val="24"/>
        </w:rPr>
        <w:t>.</w:t>
      </w:r>
      <w:r w:rsidR="007D3E48" w:rsidRPr="00C91F39">
        <w:rPr>
          <w:rFonts w:ascii="Times New Roman" w:hAnsi="Times New Roman" w:cs="Times New Roman"/>
          <w:sz w:val="24"/>
          <w:szCs w:val="24"/>
          <w:vertAlign w:val="superscript"/>
        </w:rPr>
        <w:t>1</w:t>
      </w:r>
      <w:r w:rsidR="00C87841" w:rsidRPr="00C91F39">
        <w:rPr>
          <w:rFonts w:ascii="Times New Roman" w:hAnsi="Times New Roman" w:cs="Times New Roman"/>
          <w:sz w:val="24"/>
          <w:szCs w:val="24"/>
          <w:vertAlign w:val="superscript"/>
        </w:rPr>
        <w:t>5</w:t>
      </w:r>
    </w:p>
    <w:p w14:paraId="762E8380" w14:textId="6E7AD139" w:rsidR="005D07F7" w:rsidRPr="00C91F39" w:rsidRDefault="003B6375" w:rsidP="0075009A">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 xml:space="preserve">Disability levels and other factors in community-dwelling </w:t>
      </w:r>
      <w:r w:rsidR="002A2867" w:rsidRPr="00C91F39">
        <w:rPr>
          <w:rFonts w:ascii="Times New Roman" w:hAnsi="Times New Roman" w:cs="Times New Roman"/>
          <w:sz w:val="24"/>
          <w:szCs w:val="24"/>
        </w:rPr>
        <w:t>older adults</w:t>
      </w:r>
      <w:r w:rsidRPr="00C91F39">
        <w:rPr>
          <w:rFonts w:ascii="Times New Roman" w:hAnsi="Times New Roman" w:cs="Times New Roman"/>
          <w:sz w:val="28"/>
          <w:szCs w:val="28"/>
        </w:rPr>
        <w:t xml:space="preserve"> </w:t>
      </w:r>
      <w:r w:rsidRPr="00C91F39">
        <w:rPr>
          <w:rFonts w:ascii="Times New Roman" w:hAnsi="Times New Roman" w:cs="Times New Roman"/>
          <w:sz w:val="24"/>
          <w:szCs w:val="24"/>
        </w:rPr>
        <w:t>individuals were first measured and evaluated by researchers Lawton and Brody in 1969 using the Lawton Instrumental Activities of Daily Living Scale (Lawton-IADL). In</w:t>
      </w:r>
      <w:r w:rsidR="0007335B" w:rsidRPr="00C91F39">
        <w:rPr>
          <w:rFonts w:ascii="Times New Roman" w:hAnsi="Times New Roman" w:cs="Times New Roman"/>
          <w:sz w:val="24"/>
          <w:szCs w:val="24"/>
        </w:rPr>
        <w:t xml:space="preserve"> older pe</w:t>
      </w:r>
      <w:r w:rsidRPr="00C91F39">
        <w:rPr>
          <w:rFonts w:ascii="Times New Roman" w:hAnsi="Times New Roman" w:cs="Times New Roman"/>
          <w:sz w:val="24"/>
          <w:szCs w:val="24"/>
        </w:rPr>
        <w:t xml:space="preserve">ople, the Lawton-IADL, </w:t>
      </w:r>
      <w:r w:rsidR="0007335B" w:rsidRPr="00C91F39">
        <w:rPr>
          <w:rFonts w:ascii="Times New Roman" w:hAnsi="Times New Roman" w:cs="Times New Roman"/>
          <w:sz w:val="24"/>
          <w:szCs w:val="24"/>
        </w:rPr>
        <w:t>the most commonly used assessment tool for instrumental activit</w:t>
      </w:r>
      <w:r w:rsidRPr="00C91F39">
        <w:rPr>
          <w:rFonts w:ascii="Times New Roman" w:hAnsi="Times New Roman" w:cs="Times New Roman"/>
          <w:sz w:val="24"/>
          <w:szCs w:val="24"/>
        </w:rPr>
        <w:t>ies of daily living, measures</w:t>
      </w:r>
      <w:r w:rsidR="0007335B" w:rsidRPr="00C91F39">
        <w:rPr>
          <w:rFonts w:ascii="Times New Roman" w:hAnsi="Times New Roman" w:cs="Times New Roman"/>
          <w:sz w:val="24"/>
          <w:szCs w:val="24"/>
        </w:rPr>
        <w:t xml:space="preserve"> eight abilities, including </w:t>
      </w:r>
      <w:r w:rsidR="00CA0DFA" w:rsidRPr="00C91F39">
        <w:rPr>
          <w:rFonts w:ascii="Times New Roman" w:hAnsi="Times New Roman" w:cs="Times New Roman"/>
          <w:sz w:val="24"/>
          <w:szCs w:val="24"/>
        </w:rPr>
        <w:t>ability to use telephone</w:t>
      </w:r>
      <w:r w:rsidR="0007335B" w:rsidRPr="00C91F39">
        <w:rPr>
          <w:rFonts w:ascii="Times New Roman" w:hAnsi="Times New Roman" w:cs="Times New Roman"/>
          <w:sz w:val="24"/>
          <w:szCs w:val="24"/>
        </w:rPr>
        <w:t xml:space="preserve">, shopping, food preparation, </w:t>
      </w:r>
      <w:r w:rsidR="00CA0DFA" w:rsidRPr="00C91F39">
        <w:rPr>
          <w:rFonts w:ascii="Times New Roman" w:hAnsi="Times New Roman" w:cs="Times New Roman"/>
          <w:sz w:val="24"/>
          <w:szCs w:val="24"/>
        </w:rPr>
        <w:t>housekeeping</w:t>
      </w:r>
      <w:r w:rsidR="0007335B" w:rsidRPr="00C91F39">
        <w:rPr>
          <w:rFonts w:ascii="Times New Roman" w:hAnsi="Times New Roman" w:cs="Times New Roman"/>
          <w:sz w:val="24"/>
          <w:szCs w:val="24"/>
        </w:rPr>
        <w:t xml:space="preserve">, laundry, </w:t>
      </w:r>
      <w:r w:rsidR="00CA0DFA" w:rsidRPr="00C91F39">
        <w:rPr>
          <w:rFonts w:ascii="Times New Roman" w:hAnsi="Times New Roman" w:cs="Times New Roman"/>
          <w:sz w:val="24"/>
          <w:szCs w:val="24"/>
        </w:rPr>
        <w:t>mode of transportation</w:t>
      </w:r>
      <w:r w:rsidR="0007335B" w:rsidRPr="00C91F39">
        <w:rPr>
          <w:rFonts w:ascii="Times New Roman" w:hAnsi="Times New Roman" w:cs="Times New Roman"/>
          <w:sz w:val="24"/>
          <w:szCs w:val="24"/>
        </w:rPr>
        <w:t xml:space="preserve">, </w:t>
      </w:r>
      <w:r w:rsidR="00CA0DFA" w:rsidRPr="00C91F39">
        <w:rPr>
          <w:rFonts w:ascii="Times New Roman" w:hAnsi="Times New Roman" w:cs="Times New Roman"/>
          <w:sz w:val="24"/>
          <w:szCs w:val="24"/>
        </w:rPr>
        <w:t>responsibility of own medication</w:t>
      </w:r>
      <w:r w:rsidR="0007335B" w:rsidRPr="00C91F39">
        <w:rPr>
          <w:rFonts w:ascii="Times New Roman" w:hAnsi="Times New Roman" w:cs="Times New Roman"/>
          <w:sz w:val="24"/>
          <w:szCs w:val="24"/>
        </w:rPr>
        <w:t xml:space="preserve">, and </w:t>
      </w:r>
      <w:r w:rsidR="00CA0DFA" w:rsidRPr="00C91F39">
        <w:rPr>
          <w:rFonts w:ascii="Times New Roman" w:hAnsi="Times New Roman" w:cs="Times New Roman"/>
          <w:sz w:val="24"/>
          <w:szCs w:val="24"/>
        </w:rPr>
        <w:t>ability to handle finances</w:t>
      </w:r>
      <w:r w:rsidR="005D07F7" w:rsidRPr="00C91F39">
        <w:rPr>
          <w:rFonts w:ascii="Times New Roman" w:hAnsi="Times New Roman" w:cs="Times New Roman"/>
          <w:sz w:val="24"/>
          <w:szCs w:val="24"/>
        </w:rPr>
        <w:t xml:space="preserve">. </w:t>
      </w:r>
      <w:r w:rsidR="0081443B" w:rsidRPr="00C91F39">
        <w:rPr>
          <w:rFonts w:ascii="Times New Roman" w:hAnsi="Times New Roman" w:cs="Times New Roman"/>
          <w:sz w:val="24"/>
          <w:szCs w:val="24"/>
          <w:shd w:val="clear" w:color="auto" w:fill="FFFFFF"/>
        </w:rPr>
        <w:t>Each activity is given a score ranging from 0 to 2-4. Low scores indicate a high degree of dependency, and the scale runs from 0 to 23. The total score is interpreted as follows: 0-8: dependent; 9-16: sem</w:t>
      </w:r>
      <w:r w:rsidR="0072025F" w:rsidRPr="00C91F39">
        <w:rPr>
          <w:rFonts w:ascii="Times New Roman" w:hAnsi="Times New Roman" w:cs="Times New Roman"/>
          <w:sz w:val="24"/>
          <w:szCs w:val="24"/>
          <w:shd w:val="clear" w:color="auto" w:fill="FFFFFF"/>
        </w:rPr>
        <w:t>i-dependent; 17-23: independent</w:t>
      </w:r>
      <w:r w:rsidR="00543915" w:rsidRPr="00C91F39">
        <w:rPr>
          <w:rFonts w:ascii="Times New Roman" w:hAnsi="Times New Roman" w:cs="Times New Roman"/>
          <w:sz w:val="24"/>
          <w:szCs w:val="24"/>
          <w:shd w:val="clear" w:color="auto" w:fill="FFFFFF"/>
        </w:rPr>
        <w:t>.</w:t>
      </w:r>
      <w:r w:rsidR="00543915" w:rsidRPr="00C91F39">
        <w:rPr>
          <w:rFonts w:ascii="Times New Roman" w:hAnsi="Times New Roman" w:cs="Times New Roman"/>
          <w:sz w:val="24"/>
          <w:szCs w:val="24"/>
          <w:shd w:val="clear" w:color="auto" w:fill="FFFFFF"/>
          <w:vertAlign w:val="superscript"/>
        </w:rPr>
        <w:t>1</w:t>
      </w:r>
      <w:r w:rsidR="00C87841" w:rsidRPr="00C91F39">
        <w:rPr>
          <w:rFonts w:ascii="Times New Roman" w:hAnsi="Times New Roman" w:cs="Times New Roman"/>
          <w:sz w:val="24"/>
          <w:szCs w:val="24"/>
          <w:shd w:val="clear" w:color="auto" w:fill="FFFFFF"/>
          <w:vertAlign w:val="superscript"/>
        </w:rPr>
        <w:t>6</w:t>
      </w:r>
      <w:r w:rsidR="002E7BDA" w:rsidRPr="00C91F39">
        <w:rPr>
          <w:rFonts w:ascii="Times New Roman" w:hAnsi="Times New Roman" w:cs="Times New Roman"/>
          <w:sz w:val="24"/>
          <w:szCs w:val="24"/>
          <w:shd w:val="clear" w:color="auto" w:fill="FFFFFF"/>
          <w:vertAlign w:val="superscript"/>
        </w:rPr>
        <w:t>,1</w:t>
      </w:r>
      <w:r w:rsidR="00C87841" w:rsidRPr="00C91F39">
        <w:rPr>
          <w:rFonts w:ascii="Times New Roman" w:hAnsi="Times New Roman" w:cs="Times New Roman"/>
          <w:sz w:val="24"/>
          <w:szCs w:val="24"/>
          <w:shd w:val="clear" w:color="auto" w:fill="FFFFFF"/>
          <w:vertAlign w:val="superscript"/>
        </w:rPr>
        <w:t>7</w:t>
      </w:r>
      <w:r w:rsidR="0072025F" w:rsidRPr="00C91F39">
        <w:rPr>
          <w:rFonts w:ascii="Times New Roman" w:hAnsi="Times New Roman" w:cs="Times New Roman"/>
          <w:sz w:val="24"/>
          <w:szCs w:val="24"/>
          <w:shd w:val="clear" w:color="auto" w:fill="FFFFFF"/>
        </w:rPr>
        <w:t xml:space="preserve"> </w:t>
      </w:r>
      <w:bookmarkStart w:id="7" w:name="_Hlk102746833"/>
      <w:r w:rsidR="00543915" w:rsidRPr="00C91F39">
        <w:rPr>
          <w:rFonts w:ascii="Times New Roman" w:hAnsi="Times New Roman" w:cs="Times New Roman"/>
          <w:sz w:val="24"/>
          <w:szCs w:val="24"/>
          <w:shd w:val="clear" w:color="auto" w:fill="FFFFFF"/>
        </w:rPr>
        <w:t xml:space="preserve"> </w:t>
      </w:r>
      <w:bookmarkStart w:id="8" w:name="_Hlk102746969"/>
      <w:bookmarkEnd w:id="7"/>
    </w:p>
    <w:bookmarkEnd w:id="8"/>
    <w:p w14:paraId="7EA2EFA4" w14:textId="236AD479" w:rsidR="00B457A6" w:rsidRPr="00C91F39" w:rsidRDefault="00B457A6" w:rsidP="00B457A6">
      <w:pPr>
        <w:spacing w:line="360" w:lineRule="auto"/>
        <w:jc w:val="both"/>
        <w:rPr>
          <w:rFonts w:ascii="Times New Roman" w:hAnsi="Times New Roman" w:cs="Times New Roman"/>
          <w:sz w:val="24"/>
          <w:szCs w:val="24"/>
          <w:lang w:val="en-US"/>
        </w:rPr>
      </w:pPr>
      <w:r w:rsidRPr="00C91F39">
        <w:rPr>
          <w:rFonts w:ascii="Times New Roman" w:hAnsi="Times New Roman" w:cs="Times New Roman"/>
          <w:b/>
          <w:sz w:val="24"/>
          <w:szCs w:val="24"/>
          <w:lang w:val="en-US"/>
        </w:rPr>
        <w:t>Laboratory Findings</w:t>
      </w:r>
    </w:p>
    <w:p w14:paraId="35BADED1" w14:textId="77777777" w:rsidR="00F66473" w:rsidRPr="00C91F39" w:rsidRDefault="00B457A6" w:rsidP="00E60179">
      <w:pPr>
        <w:spacing w:line="360" w:lineRule="auto"/>
        <w:jc w:val="both"/>
        <w:rPr>
          <w:rFonts w:ascii="Times New Roman" w:hAnsi="Times New Roman" w:cs="Times New Roman"/>
          <w:sz w:val="24"/>
          <w:szCs w:val="24"/>
          <w:lang w:val="en-US"/>
        </w:rPr>
      </w:pPr>
      <w:r w:rsidRPr="00C91F39">
        <w:rPr>
          <w:rFonts w:ascii="Times New Roman" w:hAnsi="Times New Roman" w:cs="Times New Roman"/>
          <w:sz w:val="24"/>
          <w:szCs w:val="24"/>
          <w:lang w:val="en-US"/>
        </w:rPr>
        <w:lastRenderedPageBreak/>
        <w:t>Laboratory tests, including complete blood count, kidney functions and cholesterol levels, were performed to evaluate the biochemical and metabolic status of the patients. Serum vitamin B12 level</w:t>
      </w:r>
      <w:r w:rsidR="00141003" w:rsidRPr="00C91F39">
        <w:rPr>
          <w:rFonts w:ascii="Times New Roman" w:hAnsi="Times New Roman" w:cs="Times New Roman"/>
          <w:sz w:val="24"/>
          <w:szCs w:val="24"/>
          <w:lang w:val="en-US"/>
        </w:rPr>
        <w:t xml:space="preserve">, folate levels and </w:t>
      </w:r>
      <w:r w:rsidRPr="00C91F39">
        <w:rPr>
          <w:rFonts w:ascii="Times New Roman" w:hAnsi="Times New Roman" w:cs="Times New Roman"/>
          <w:sz w:val="24"/>
          <w:szCs w:val="24"/>
          <w:lang w:val="en-US"/>
        </w:rPr>
        <w:t>25(OH)D was measured</w:t>
      </w:r>
      <w:r w:rsidR="00141003" w:rsidRPr="00C91F39">
        <w:rPr>
          <w:rFonts w:ascii="Times New Roman" w:hAnsi="Times New Roman" w:cs="Times New Roman"/>
          <w:sz w:val="24"/>
          <w:szCs w:val="24"/>
          <w:lang w:val="en-US"/>
        </w:rPr>
        <w:t xml:space="preserve">. All these biochemical tests were </w:t>
      </w:r>
      <w:r w:rsidR="00EC6E18" w:rsidRPr="00C91F39">
        <w:rPr>
          <w:rFonts w:ascii="Times New Roman" w:hAnsi="Times New Roman" w:cs="Times New Roman"/>
          <w:sz w:val="24"/>
          <w:szCs w:val="24"/>
          <w:lang w:val="en-US"/>
        </w:rPr>
        <w:t>conducted</w:t>
      </w:r>
      <w:r w:rsidR="00141003" w:rsidRPr="00C91F39">
        <w:rPr>
          <w:rFonts w:ascii="Times New Roman" w:hAnsi="Times New Roman" w:cs="Times New Roman"/>
          <w:sz w:val="24"/>
          <w:szCs w:val="24"/>
          <w:lang w:val="en-US"/>
        </w:rPr>
        <w:t xml:space="preserve"> using the Diagnostic Modular Systems auto </w:t>
      </w:r>
      <w:r w:rsidR="00025D0E" w:rsidRPr="00C91F39">
        <w:rPr>
          <w:rFonts w:ascii="Times New Roman" w:hAnsi="Times New Roman" w:cs="Times New Roman"/>
          <w:sz w:val="24"/>
          <w:szCs w:val="24"/>
          <w:lang w:val="en-US"/>
        </w:rPr>
        <w:t>analyzer</w:t>
      </w:r>
      <w:r w:rsidR="00141003" w:rsidRPr="00C91F39">
        <w:rPr>
          <w:rFonts w:ascii="Times New Roman" w:hAnsi="Times New Roman" w:cs="Times New Roman"/>
          <w:sz w:val="24"/>
          <w:szCs w:val="24"/>
          <w:lang w:val="en-US"/>
        </w:rPr>
        <w:t xml:space="preserve"> (Roche E170 and P-800).</w:t>
      </w:r>
    </w:p>
    <w:p w14:paraId="235313F7" w14:textId="18E21E8E" w:rsidR="00743C50" w:rsidRPr="00C91F39" w:rsidRDefault="0072025F" w:rsidP="00E60179">
      <w:pPr>
        <w:spacing w:line="360" w:lineRule="auto"/>
        <w:jc w:val="both"/>
        <w:rPr>
          <w:rFonts w:ascii="Times New Roman" w:hAnsi="Times New Roman" w:cs="Times New Roman"/>
          <w:sz w:val="24"/>
          <w:szCs w:val="24"/>
          <w:lang w:val="en-US"/>
        </w:rPr>
      </w:pPr>
      <w:r w:rsidRPr="00C91F39">
        <w:rPr>
          <w:rFonts w:ascii="Times New Roman" w:hAnsi="Times New Roman" w:cs="Times New Roman"/>
          <w:b/>
          <w:bCs/>
          <w:iCs/>
          <w:sz w:val="24"/>
          <w:szCs w:val="24"/>
        </w:rPr>
        <w:t>Statistical analyses</w:t>
      </w:r>
    </w:p>
    <w:p w14:paraId="4531B1D6" w14:textId="51918F21" w:rsidR="0072025F" w:rsidRPr="00C91F39" w:rsidRDefault="0072025F" w:rsidP="00E60179">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Data were analyzed using SPSS, version 22. The participants were divided into t</w:t>
      </w:r>
      <w:r w:rsidR="0060004F" w:rsidRPr="00C91F39">
        <w:rPr>
          <w:rFonts w:ascii="Times New Roman" w:hAnsi="Times New Roman" w:cs="Times New Roman"/>
          <w:sz w:val="24"/>
          <w:szCs w:val="24"/>
        </w:rPr>
        <w:t>wo</w:t>
      </w:r>
      <w:r w:rsidRPr="00C91F39">
        <w:rPr>
          <w:rFonts w:ascii="Times New Roman" w:hAnsi="Times New Roman" w:cs="Times New Roman"/>
          <w:sz w:val="24"/>
          <w:szCs w:val="24"/>
        </w:rPr>
        <w:t xml:space="preserve"> groups: AD</w:t>
      </w:r>
      <w:r w:rsidR="0060004F" w:rsidRPr="00C91F39">
        <w:rPr>
          <w:rFonts w:ascii="Times New Roman" w:hAnsi="Times New Roman" w:cs="Times New Roman"/>
          <w:sz w:val="24"/>
          <w:szCs w:val="24"/>
        </w:rPr>
        <w:t xml:space="preserve"> and </w:t>
      </w:r>
      <w:r w:rsidRPr="00C91F39">
        <w:rPr>
          <w:rFonts w:ascii="Times New Roman" w:hAnsi="Times New Roman" w:cs="Times New Roman"/>
          <w:sz w:val="24"/>
          <w:szCs w:val="24"/>
        </w:rPr>
        <w:t>DLB</w:t>
      </w:r>
      <w:r w:rsidR="00EC6E18" w:rsidRPr="00C91F39">
        <w:rPr>
          <w:rFonts w:ascii="Times New Roman" w:hAnsi="Times New Roman" w:cs="Times New Roman"/>
          <w:sz w:val="24"/>
          <w:szCs w:val="24"/>
        </w:rPr>
        <w:t>,</w:t>
      </w:r>
      <w:r w:rsidRPr="00C91F39">
        <w:rPr>
          <w:rFonts w:ascii="Times New Roman" w:hAnsi="Times New Roman" w:cs="Times New Roman"/>
          <w:sz w:val="24"/>
          <w:szCs w:val="24"/>
        </w:rPr>
        <w:t xml:space="preserve"> and all </w:t>
      </w:r>
      <w:r w:rsidR="00EC6E18" w:rsidRPr="00C91F39">
        <w:rPr>
          <w:rFonts w:ascii="Times New Roman" w:hAnsi="Times New Roman" w:cs="Times New Roman"/>
          <w:sz w:val="24"/>
          <w:szCs w:val="24"/>
        </w:rPr>
        <w:t xml:space="preserve">the </w:t>
      </w:r>
      <w:r w:rsidRPr="00C91F39">
        <w:rPr>
          <w:rFonts w:ascii="Times New Roman" w:hAnsi="Times New Roman" w:cs="Times New Roman"/>
          <w:sz w:val="24"/>
          <w:szCs w:val="24"/>
        </w:rPr>
        <w:t xml:space="preserve">statistical analyses were performed to compare </w:t>
      </w:r>
      <w:r w:rsidR="00EC6E18" w:rsidRPr="00C91F39">
        <w:rPr>
          <w:rFonts w:ascii="Times New Roman" w:hAnsi="Times New Roman" w:cs="Times New Roman"/>
          <w:sz w:val="24"/>
          <w:szCs w:val="24"/>
        </w:rPr>
        <w:t xml:space="preserve">the </w:t>
      </w:r>
      <w:r w:rsidRPr="00C91F39">
        <w:rPr>
          <w:rFonts w:ascii="Times New Roman" w:hAnsi="Times New Roman" w:cs="Times New Roman"/>
          <w:sz w:val="24"/>
          <w:szCs w:val="24"/>
        </w:rPr>
        <w:t>t</w:t>
      </w:r>
      <w:r w:rsidR="00211577" w:rsidRPr="00C91F39">
        <w:rPr>
          <w:rFonts w:ascii="Times New Roman" w:hAnsi="Times New Roman" w:cs="Times New Roman"/>
          <w:sz w:val="24"/>
          <w:szCs w:val="24"/>
        </w:rPr>
        <w:t>wo</w:t>
      </w:r>
      <w:r w:rsidRPr="00C91F39">
        <w:rPr>
          <w:rFonts w:ascii="Times New Roman" w:hAnsi="Times New Roman" w:cs="Times New Roman"/>
          <w:sz w:val="24"/>
          <w:szCs w:val="24"/>
        </w:rPr>
        <w:t xml:space="preserve"> groups. </w:t>
      </w:r>
      <w:r w:rsidR="00EC6E18" w:rsidRPr="00C91F39">
        <w:rPr>
          <w:rFonts w:ascii="Times New Roman" w:hAnsi="Times New Roman" w:cs="Times New Roman"/>
          <w:sz w:val="24"/>
          <w:szCs w:val="24"/>
        </w:rPr>
        <w:t>Continuous variables were evaluated as mean and standard deviation, and for normal distribution by the Kolmogorov-Smirnov test.</w:t>
      </w:r>
      <w:r w:rsidRPr="00C91F39">
        <w:rPr>
          <w:rFonts w:ascii="Times New Roman" w:hAnsi="Times New Roman" w:cs="Times New Roman"/>
          <w:sz w:val="24"/>
          <w:szCs w:val="24"/>
        </w:rPr>
        <w:t xml:space="preserve"> Normally distributed continuous variables were analyzed by paired sample t-test. In case of non-normal distribution, continuous variables were </w:t>
      </w:r>
      <w:r w:rsidR="00EC6E18" w:rsidRPr="00C91F39">
        <w:rPr>
          <w:rFonts w:ascii="Times New Roman" w:hAnsi="Times New Roman" w:cs="Times New Roman"/>
          <w:sz w:val="24"/>
          <w:szCs w:val="24"/>
        </w:rPr>
        <w:t>assessed</w:t>
      </w:r>
      <w:r w:rsidRPr="00C91F39">
        <w:rPr>
          <w:rFonts w:ascii="Times New Roman" w:hAnsi="Times New Roman" w:cs="Times New Roman"/>
          <w:sz w:val="24"/>
          <w:szCs w:val="24"/>
        </w:rPr>
        <w:t xml:space="preserve"> by Mann Whitney U test. Differences between categorical variables were evaluated by Chi-square and Fisher’s exact Chi-square tests. A probability</w:t>
      </w:r>
      <w:r w:rsidR="00151AF0" w:rsidRPr="00C91F39">
        <w:rPr>
          <w:rFonts w:ascii="Times New Roman" w:hAnsi="Times New Roman" w:cs="Times New Roman"/>
          <w:sz w:val="24"/>
          <w:szCs w:val="24"/>
        </w:rPr>
        <w:t xml:space="preserve"> p</w:t>
      </w:r>
      <w:r w:rsidRPr="00C91F39">
        <w:rPr>
          <w:rFonts w:ascii="Times New Roman" w:hAnsi="Times New Roman" w:cs="Times New Roman"/>
          <w:sz w:val="24"/>
          <w:szCs w:val="24"/>
        </w:rPr>
        <w:t xml:space="preserve">&lt;0.05 was considered significant. All </w:t>
      </w:r>
      <w:r w:rsidR="00EC6E18" w:rsidRPr="00C91F39">
        <w:rPr>
          <w:rFonts w:ascii="Times New Roman" w:hAnsi="Times New Roman" w:cs="Times New Roman"/>
          <w:sz w:val="24"/>
          <w:szCs w:val="24"/>
        </w:rPr>
        <w:t xml:space="preserve">the </w:t>
      </w:r>
      <w:r w:rsidRPr="00C91F39">
        <w:rPr>
          <w:rFonts w:ascii="Times New Roman" w:hAnsi="Times New Roman" w:cs="Times New Roman"/>
          <w:sz w:val="24"/>
          <w:szCs w:val="24"/>
        </w:rPr>
        <w:t xml:space="preserve">statistical analyses were carried out using SPSS 22.0 (SPSS Inc.). </w:t>
      </w:r>
    </w:p>
    <w:p w14:paraId="1E80470B" w14:textId="50CABE60" w:rsidR="00743C50" w:rsidRPr="00C91F39" w:rsidRDefault="000F5CA9" w:rsidP="00E60179">
      <w:pPr>
        <w:spacing w:line="360" w:lineRule="auto"/>
        <w:jc w:val="both"/>
        <w:rPr>
          <w:rFonts w:ascii="Times New Roman" w:hAnsi="Times New Roman" w:cs="Times New Roman"/>
          <w:b/>
          <w:sz w:val="24"/>
          <w:szCs w:val="24"/>
        </w:rPr>
      </w:pPr>
      <w:r w:rsidRPr="00C91F39">
        <w:rPr>
          <w:rFonts w:ascii="Times New Roman" w:hAnsi="Times New Roman" w:cs="Times New Roman"/>
          <w:b/>
          <w:sz w:val="24"/>
          <w:szCs w:val="24"/>
        </w:rPr>
        <w:t>Results</w:t>
      </w:r>
    </w:p>
    <w:p w14:paraId="3A3244D7" w14:textId="23E1C4CE" w:rsidR="00743C50" w:rsidRPr="00C91F39" w:rsidRDefault="000F5CA9" w:rsidP="00E60179">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The participants in this study included 35</w:t>
      </w:r>
      <w:r w:rsidR="00EF2BC5" w:rsidRPr="00C91F39">
        <w:rPr>
          <w:rFonts w:ascii="Times New Roman" w:hAnsi="Times New Roman" w:cs="Times New Roman"/>
          <w:sz w:val="24"/>
          <w:szCs w:val="24"/>
        </w:rPr>
        <w:t>0</w:t>
      </w:r>
      <w:r w:rsidRPr="00C91F39">
        <w:rPr>
          <w:rFonts w:ascii="Times New Roman" w:hAnsi="Times New Roman" w:cs="Times New Roman"/>
          <w:sz w:val="24"/>
          <w:szCs w:val="24"/>
        </w:rPr>
        <w:t xml:space="preserve"> individuals with a mean age of 83.4 years. </w:t>
      </w:r>
      <w:r w:rsidR="003F2787" w:rsidRPr="00C91F39">
        <w:rPr>
          <w:rFonts w:ascii="Times New Roman" w:hAnsi="Times New Roman" w:cs="Times New Roman"/>
          <w:sz w:val="24"/>
          <w:szCs w:val="24"/>
        </w:rPr>
        <w:t>There were</w:t>
      </w:r>
      <w:r w:rsidR="000D0C2C" w:rsidRPr="00C91F39">
        <w:rPr>
          <w:rFonts w:ascii="Times New Roman" w:hAnsi="Times New Roman" w:cs="Times New Roman"/>
          <w:sz w:val="24"/>
          <w:szCs w:val="24"/>
        </w:rPr>
        <w:t xml:space="preserve"> 2</w:t>
      </w:r>
      <w:r w:rsidR="003D70D2" w:rsidRPr="00C91F39">
        <w:rPr>
          <w:rFonts w:ascii="Times New Roman" w:hAnsi="Times New Roman" w:cs="Times New Roman"/>
          <w:sz w:val="24"/>
          <w:szCs w:val="24"/>
        </w:rPr>
        <w:t>27</w:t>
      </w:r>
      <w:r w:rsidR="000D0C2C" w:rsidRPr="00C91F39">
        <w:rPr>
          <w:rFonts w:ascii="Times New Roman" w:hAnsi="Times New Roman" w:cs="Times New Roman"/>
          <w:sz w:val="24"/>
          <w:szCs w:val="24"/>
        </w:rPr>
        <w:t xml:space="preserve"> (65</w:t>
      </w:r>
      <w:r w:rsidR="009C615D" w:rsidRPr="00C91F39">
        <w:rPr>
          <w:rFonts w:ascii="Times New Roman" w:hAnsi="Times New Roman" w:cs="Times New Roman"/>
          <w:sz w:val="24"/>
          <w:szCs w:val="24"/>
        </w:rPr>
        <w:t>.</w:t>
      </w:r>
      <w:r w:rsidR="000D0C2C" w:rsidRPr="00C91F39">
        <w:rPr>
          <w:rFonts w:ascii="Times New Roman" w:hAnsi="Times New Roman" w:cs="Times New Roman"/>
          <w:sz w:val="24"/>
          <w:szCs w:val="24"/>
        </w:rPr>
        <w:t>3</w:t>
      </w:r>
      <w:r w:rsidR="009C615D" w:rsidRPr="00C91F39">
        <w:rPr>
          <w:rFonts w:ascii="Times New Roman" w:hAnsi="Times New Roman" w:cs="Times New Roman"/>
          <w:sz w:val="24"/>
          <w:szCs w:val="24"/>
        </w:rPr>
        <w:t>%</w:t>
      </w:r>
      <w:r w:rsidR="000D0C2C" w:rsidRPr="00C91F39">
        <w:rPr>
          <w:rFonts w:ascii="Times New Roman" w:hAnsi="Times New Roman" w:cs="Times New Roman"/>
          <w:sz w:val="24"/>
          <w:szCs w:val="24"/>
        </w:rPr>
        <w:t xml:space="preserve">) </w:t>
      </w:r>
      <w:r w:rsidR="003D70D2" w:rsidRPr="00C91F39">
        <w:rPr>
          <w:rFonts w:ascii="Times New Roman" w:hAnsi="Times New Roman" w:cs="Times New Roman"/>
          <w:sz w:val="24"/>
          <w:szCs w:val="24"/>
        </w:rPr>
        <w:t>AD</w:t>
      </w:r>
      <w:r w:rsidR="000D0C2C" w:rsidRPr="00C91F39">
        <w:rPr>
          <w:rFonts w:ascii="Times New Roman" w:hAnsi="Times New Roman" w:cs="Times New Roman"/>
          <w:sz w:val="24"/>
          <w:szCs w:val="24"/>
        </w:rPr>
        <w:t xml:space="preserve"> and 123 (34.7</w:t>
      </w:r>
      <w:r w:rsidR="009C615D" w:rsidRPr="00C91F39">
        <w:rPr>
          <w:rFonts w:ascii="Times New Roman" w:hAnsi="Times New Roman" w:cs="Times New Roman"/>
          <w:sz w:val="24"/>
          <w:szCs w:val="24"/>
        </w:rPr>
        <w:t>%</w:t>
      </w:r>
      <w:r w:rsidR="000D0C2C" w:rsidRPr="00C91F39">
        <w:rPr>
          <w:rFonts w:ascii="Times New Roman" w:hAnsi="Times New Roman" w:cs="Times New Roman"/>
          <w:sz w:val="24"/>
          <w:szCs w:val="24"/>
        </w:rPr>
        <w:t xml:space="preserve">) people with </w:t>
      </w:r>
      <w:r w:rsidR="003D70D2" w:rsidRPr="00C91F39">
        <w:rPr>
          <w:rFonts w:ascii="Times New Roman" w:hAnsi="Times New Roman" w:cs="Times New Roman"/>
          <w:sz w:val="24"/>
          <w:szCs w:val="24"/>
        </w:rPr>
        <w:t>DLB.</w:t>
      </w:r>
      <w:r w:rsidR="00F45846" w:rsidRPr="00C91F39">
        <w:rPr>
          <w:rFonts w:ascii="Times New Roman" w:hAnsi="Times New Roman" w:cs="Times New Roman"/>
          <w:sz w:val="24"/>
          <w:szCs w:val="24"/>
        </w:rPr>
        <w:t xml:space="preserve"> </w:t>
      </w:r>
      <w:r w:rsidR="003F2787" w:rsidRPr="00C91F39">
        <w:rPr>
          <w:rFonts w:ascii="Times New Roman" w:hAnsi="Times New Roman" w:cs="Times New Roman"/>
          <w:sz w:val="24"/>
          <w:szCs w:val="24"/>
        </w:rPr>
        <w:t>There was</w:t>
      </w:r>
      <w:r w:rsidR="008735B0" w:rsidRPr="00C91F39">
        <w:rPr>
          <w:rFonts w:ascii="Times New Roman" w:hAnsi="Times New Roman" w:cs="Times New Roman"/>
          <w:sz w:val="24"/>
          <w:szCs w:val="24"/>
        </w:rPr>
        <w:t xml:space="preserve"> no statistically significant difference in the patients'</w:t>
      </w:r>
      <w:r w:rsidR="003461FE" w:rsidRPr="00C91F39">
        <w:rPr>
          <w:rFonts w:ascii="Times New Roman" w:hAnsi="Times New Roman" w:cs="Times New Roman"/>
          <w:sz w:val="24"/>
          <w:szCs w:val="24"/>
        </w:rPr>
        <w:t xml:space="preserve"> </w:t>
      </w:r>
      <w:r w:rsidR="008735B0" w:rsidRPr="00C91F39">
        <w:rPr>
          <w:rFonts w:ascii="Times New Roman" w:hAnsi="Times New Roman" w:cs="Times New Roman"/>
          <w:sz w:val="24"/>
          <w:szCs w:val="24"/>
        </w:rPr>
        <w:t>ages, genders</w:t>
      </w:r>
      <w:r w:rsidR="003461FE" w:rsidRPr="00C91F39">
        <w:rPr>
          <w:rFonts w:ascii="Times New Roman" w:hAnsi="Times New Roman" w:cs="Times New Roman"/>
          <w:sz w:val="24"/>
          <w:szCs w:val="24"/>
        </w:rPr>
        <w:t xml:space="preserve"> and</w:t>
      </w:r>
      <w:r w:rsidR="008735B0" w:rsidRPr="00C91F39">
        <w:rPr>
          <w:rFonts w:ascii="Times New Roman" w:hAnsi="Times New Roman" w:cs="Times New Roman"/>
          <w:sz w:val="24"/>
          <w:szCs w:val="24"/>
        </w:rPr>
        <w:t xml:space="preserve"> </w:t>
      </w:r>
      <w:r w:rsidR="003D70D2" w:rsidRPr="00C91F39">
        <w:rPr>
          <w:rFonts w:ascii="Times New Roman" w:hAnsi="Times New Roman" w:cs="Times New Roman"/>
          <w:sz w:val="24"/>
          <w:szCs w:val="24"/>
        </w:rPr>
        <w:t xml:space="preserve">MMSE/MOCA scores. </w:t>
      </w:r>
      <w:r w:rsidR="001C21C6" w:rsidRPr="00C91F39">
        <w:rPr>
          <w:rFonts w:ascii="Times New Roman" w:hAnsi="Times New Roman" w:cs="Times New Roman"/>
          <w:sz w:val="24"/>
          <w:szCs w:val="24"/>
        </w:rPr>
        <w:t xml:space="preserve">Additionally, there </w:t>
      </w:r>
      <w:r w:rsidR="003F2787" w:rsidRPr="00C91F39">
        <w:rPr>
          <w:rFonts w:ascii="Times New Roman" w:hAnsi="Times New Roman" w:cs="Times New Roman"/>
          <w:sz w:val="24"/>
          <w:szCs w:val="24"/>
        </w:rPr>
        <w:t>was</w:t>
      </w:r>
      <w:r w:rsidR="001C21C6" w:rsidRPr="00C91F39">
        <w:rPr>
          <w:rFonts w:ascii="Times New Roman" w:hAnsi="Times New Roman" w:cs="Times New Roman"/>
          <w:sz w:val="24"/>
          <w:szCs w:val="24"/>
        </w:rPr>
        <w:t xml:space="preserve"> no statistically significant difference in comorbidit</w:t>
      </w:r>
      <w:r w:rsidR="00622216" w:rsidRPr="00C91F39">
        <w:rPr>
          <w:rFonts w:ascii="Times New Roman" w:hAnsi="Times New Roman" w:cs="Times New Roman"/>
          <w:sz w:val="24"/>
          <w:szCs w:val="24"/>
        </w:rPr>
        <w:t>ies</w:t>
      </w:r>
      <w:r w:rsidR="001C21C6" w:rsidRPr="00C91F39">
        <w:rPr>
          <w:rFonts w:ascii="Times New Roman" w:hAnsi="Times New Roman" w:cs="Times New Roman"/>
          <w:sz w:val="24"/>
          <w:szCs w:val="24"/>
        </w:rPr>
        <w:t xml:space="preserve"> </w:t>
      </w:r>
      <w:r w:rsidR="00F45846" w:rsidRPr="00C91F39">
        <w:rPr>
          <w:rFonts w:ascii="Times New Roman" w:hAnsi="Times New Roman" w:cs="Times New Roman"/>
          <w:sz w:val="24"/>
          <w:szCs w:val="24"/>
        </w:rPr>
        <w:t>except for</w:t>
      </w:r>
      <w:r w:rsidR="001C21C6" w:rsidRPr="00C91F39">
        <w:rPr>
          <w:rFonts w:ascii="Times New Roman" w:hAnsi="Times New Roman" w:cs="Times New Roman"/>
          <w:sz w:val="24"/>
          <w:szCs w:val="24"/>
        </w:rPr>
        <w:t xml:space="preserve"> coronary artery disease</w:t>
      </w:r>
      <w:r w:rsidR="007218DC" w:rsidRPr="00C91F39">
        <w:rPr>
          <w:rFonts w:ascii="Times New Roman" w:hAnsi="Times New Roman" w:cs="Times New Roman"/>
          <w:sz w:val="24"/>
          <w:szCs w:val="24"/>
        </w:rPr>
        <w:t xml:space="preserve"> </w:t>
      </w:r>
      <w:r w:rsidR="00864F31" w:rsidRPr="00C91F39">
        <w:rPr>
          <w:rFonts w:ascii="Times New Roman" w:hAnsi="Times New Roman" w:cs="Times New Roman"/>
          <w:sz w:val="24"/>
          <w:szCs w:val="24"/>
        </w:rPr>
        <w:t>(p&lt;</w:t>
      </w:r>
      <w:r w:rsidR="001C21C6" w:rsidRPr="00C91F39">
        <w:rPr>
          <w:rFonts w:ascii="Times New Roman" w:hAnsi="Times New Roman" w:cs="Times New Roman"/>
          <w:sz w:val="24"/>
          <w:szCs w:val="24"/>
        </w:rPr>
        <w:t xml:space="preserve">0.05). </w:t>
      </w:r>
    </w:p>
    <w:p w14:paraId="40EDDCBC" w14:textId="09DC463D" w:rsidR="001E60C1" w:rsidRPr="00C91F39" w:rsidRDefault="00982120" w:rsidP="0075009A">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BADL and IADL scores were lower in DLB than in AD</w:t>
      </w:r>
      <w:r w:rsidR="00592579" w:rsidRPr="00C91F39">
        <w:rPr>
          <w:rFonts w:ascii="Times New Roman" w:hAnsi="Times New Roman" w:cs="Times New Roman"/>
          <w:sz w:val="24"/>
          <w:szCs w:val="24"/>
        </w:rPr>
        <w:t xml:space="preserve"> (p&lt;0.05).</w:t>
      </w:r>
      <w:r w:rsidR="00B73D2D" w:rsidRPr="00C91F39">
        <w:rPr>
          <w:rFonts w:ascii="Times New Roman" w:hAnsi="Times New Roman" w:cs="Times New Roman"/>
          <w:sz w:val="24"/>
          <w:szCs w:val="24"/>
        </w:rPr>
        <w:t xml:space="preserve"> </w:t>
      </w:r>
      <w:r w:rsidR="003F2787" w:rsidRPr="00C91F39">
        <w:rPr>
          <w:rFonts w:ascii="Times New Roman" w:hAnsi="Times New Roman" w:cs="Times New Roman"/>
          <w:sz w:val="24"/>
          <w:szCs w:val="24"/>
        </w:rPr>
        <w:t xml:space="preserve">According to BADL scores, the rate of highly dependent patients in DLB was higher than AD (p&lt;0.05). </w:t>
      </w:r>
      <w:r w:rsidR="00D03064" w:rsidRPr="00C91F39">
        <w:rPr>
          <w:rFonts w:ascii="Times New Roman" w:hAnsi="Times New Roman" w:cs="Times New Roman"/>
          <w:sz w:val="24"/>
          <w:szCs w:val="24"/>
        </w:rPr>
        <w:t>G</w:t>
      </w:r>
      <w:r w:rsidR="0065180C" w:rsidRPr="00C91F39">
        <w:rPr>
          <w:rFonts w:ascii="Times New Roman" w:hAnsi="Times New Roman" w:cs="Times New Roman"/>
          <w:sz w:val="24"/>
          <w:szCs w:val="24"/>
        </w:rPr>
        <w:t>rooming, bathing, dressing, feeding, toilet use, stairs</w:t>
      </w:r>
      <w:r w:rsidR="00185FBE" w:rsidRPr="00C91F39">
        <w:rPr>
          <w:rFonts w:ascii="Times New Roman" w:hAnsi="Times New Roman" w:cs="Times New Roman"/>
          <w:sz w:val="24"/>
          <w:szCs w:val="24"/>
        </w:rPr>
        <w:t>, tranfer</w:t>
      </w:r>
      <w:r w:rsidR="0065180C" w:rsidRPr="00C91F39">
        <w:rPr>
          <w:rFonts w:ascii="Times New Roman" w:hAnsi="Times New Roman" w:cs="Times New Roman"/>
          <w:sz w:val="24"/>
          <w:szCs w:val="24"/>
        </w:rPr>
        <w:t xml:space="preserve"> and mobility</w:t>
      </w:r>
      <w:r w:rsidR="00D03064" w:rsidRPr="00C91F39">
        <w:rPr>
          <w:rFonts w:ascii="Times New Roman" w:hAnsi="Times New Roman" w:cs="Times New Roman"/>
          <w:sz w:val="24"/>
          <w:szCs w:val="24"/>
        </w:rPr>
        <w:t xml:space="preserve"> </w:t>
      </w:r>
      <w:r w:rsidR="00B26DFE" w:rsidRPr="00C91F39">
        <w:rPr>
          <w:rFonts w:ascii="Times New Roman" w:hAnsi="Times New Roman" w:cs="Times New Roman"/>
          <w:sz w:val="24"/>
          <w:szCs w:val="24"/>
        </w:rPr>
        <w:t>were</w:t>
      </w:r>
      <w:r w:rsidR="0065180C" w:rsidRPr="00C91F39">
        <w:rPr>
          <w:rFonts w:ascii="Times New Roman" w:hAnsi="Times New Roman" w:cs="Times New Roman"/>
          <w:sz w:val="24"/>
          <w:szCs w:val="24"/>
        </w:rPr>
        <w:t xml:space="preserve"> significant</w:t>
      </w:r>
      <w:r w:rsidR="00D03064" w:rsidRPr="00C91F39">
        <w:rPr>
          <w:rFonts w:ascii="Times New Roman" w:hAnsi="Times New Roman" w:cs="Times New Roman"/>
          <w:sz w:val="24"/>
          <w:szCs w:val="24"/>
        </w:rPr>
        <w:t>ly different between DLB and AD</w:t>
      </w:r>
      <w:r w:rsidR="0065180C" w:rsidRPr="00C91F39">
        <w:rPr>
          <w:rFonts w:ascii="Times New Roman" w:hAnsi="Times New Roman" w:cs="Times New Roman"/>
          <w:sz w:val="24"/>
          <w:szCs w:val="24"/>
        </w:rPr>
        <w:t xml:space="preserve"> (p&lt;0.05)</w:t>
      </w:r>
      <w:r w:rsidR="009E2885" w:rsidRPr="00C91F39">
        <w:rPr>
          <w:rFonts w:ascii="Times New Roman" w:hAnsi="Times New Roman" w:cs="Times New Roman"/>
          <w:sz w:val="24"/>
          <w:szCs w:val="24"/>
        </w:rPr>
        <w:t xml:space="preserve"> (</w:t>
      </w:r>
      <w:r w:rsidR="009E2885" w:rsidRPr="00C91F39">
        <w:rPr>
          <w:rFonts w:ascii="Times New Roman" w:hAnsi="Times New Roman" w:cs="Times New Roman"/>
          <w:b/>
          <w:bCs/>
          <w:sz w:val="24"/>
          <w:szCs w:val="24"/>
        </w:rPr>
        <w:t>Figure 1a</w:t>
      </w:r>
      <w:r w:rsidR="002B1600" w:rsidRPr="00C91F39">
        <w:rPr>
          <w:rFonts w:ascii="Times New Roman" w:hAnsi="Times New Roman" w:cs="Times New Roman"/>
          <w:b/>
          <w:bCs/>
          <w:sz w:val="24"/>
          <w:szCs w:val="24"/>
        </w:rPr>
        <w:t xml:space="preserve"> and 2b</w:t>
      </w:r>
      <w:r w:rsidR="009E2885" w:rsidRPr="00C91F39">
        <w:rPr>
          <w:rFonts w:ascii="Times New Roman" w:hAnsi="Times New Roman" w:cs="Times New Roman"/>
          <w:sz w:val="24"/>
          <w:szCs w:val="24"/>
        </w:rPr>
        <w:t>)</w:t>
      </w:r>
      <w:r w:rsidR="005D09E5" w:rsidRPr="00C91F39">
        <w:rPr>
          <w:rFonts w:ascii="Times New Roman" w:hAnsi="Times New Roman" w:cs="Times New Roman"/>
          <w:sz w:val="24"/>
          <w:szCs w:val="24"/>
        </w:rPr>
        <w:t xml:space="preserve">. </w:t>
      </w:r>
      <w:r w:rsidR="003F2787" w:rsidRPr="00C91F39">
        <w:rPr>
          <w:rFonts w:ascii="Times New Roman" w:hAnsi="Times New Roman" w:cs="Times New Roman"/>
          <w:sz w:val="24"/>
          <w:szCs w:val="24"/>
        </w:rPr>
        <w:t xml:space="preserve">Although total IADL scores were lower in DLB and </w:t>
      </w:r>
      <w:r w:rsidR="000E70DC" w:rsidRPr="00C91F39">
        <w:rPr>
          <w:rFonts w:ascii="Times New Roman" w:hAnsi="Times New Roman" w:cs="Times New Roman"/>
          <w:sz w:val="24"/>
          <w:szCs w:val="24"/>
        </w:rPr>
        <w:t xml:space="preserve">dependency </w:t>
      </w:r>
      <w:r w:rsidR="003F2787" w:rsidRPr="00C91F39">
        <w:rPr>
          <w:rFonts w:ascii="Times New Roman" w:hAnsi="Times New Roman" w:cs="Times New Roman"/>
          <w:sz w:val="24"/>
          <w:szCs w:val="24"/>
        </w:rPr>
        <w:t xml:space="preserve">rates were higher in food preparation, </w:t>
      </w:r>
      <w:r w:rsidR="00185FBE" w:rsidRPr="00C91F39">
        <w:rPr>
          <w:rFonts w:ascii="Times New Roman" w:hAnsi="Times New Roman" w:cs="Times New Roman"/>
          <w:sz w:val="24"/>
          <w:szCs w:val="24"/>
        </w:rPr>
        <w:t xml:space="preserve">shopping, </w:t>
      </w:r>
      <w:r w:rsidR="003F2787" w:rsidRPr="00C91F39">
        <w:rPr>
          <w:rFonts w:ascii="Times New Roman" w:hAnsi="Times New Roman" w:cs="Times New Roman"/>
          <w:sz w:val="24"/>
          <w:szCs w:val="24"/>
        </w:rPr>
        <w:t>housekeeping, and laundry, there was no difference in dependency rates determined by IADL scores (</w:t>
      </w:r>
      <w:r w:rsidR="003F2787" w:rsidRPr="00C91F39">
        <w:rPr>
          <w:rFonts w:ascii="Times New Roman" w:hAnsi="Times New Roman" w:cs="Times New Roman"/>
          <w:b/>
          <w:bCs/>
          <w:sz w:val="24"/>
          <w:szCs w:val="24"/>
        </w:rPr>
        <w:t xml:space="preserve">Figure </w:t>
      </w:r>
      <w:r w:rsidR="002B1600" w:rsidRPr="00C91F39">
        <w:rPr>
          <w:rFonts w:ascii="Times New Roman" w:hAnsi="Times New Roman" w:cs="Times New Roman"/>
          <w:b/>
          <w:bCs/>
          <w:sz w:val="24"/>
          <w:szCs w:val="24"/>
        </w:rPr>
        <w:t xml:space="preserve">1b and </w:t>
      </w:r>
      <w:r w:rsidR="003F2787" w:rsidRPr="00C91F39">
        <w:rPr>
          <w:rFonts w:ascii="Times New Roman" w:hAnsi="Times New Roman" w:cs="Times New Roman"/>
          <w:b/>
          <w:bCs/>
          <w:sz w:val="24"/>
          <w:szCs w:val="24"/>
        </w:rPr>
        <w:t>2a</w:t>
      </w:r>
      <w:r w:rsidR="003F2787" w:rsidRPr="00C91F39">
        <w:rPr>
          <w:rFonts w:ascii="Times New Roman" w:hAnsi="Times New Roman" w:cs="Times New Roman"/>
          <w:sz w:val="24"/>
          <w:szCs w:val="24"/>
        </w:rPr>
        <w:t>).</w:t>
      </w:r>
      <w:r w:rsidR="0094508F" w:rsidRPr="00C91F39">
        <w:rPr>
          <w:rFonts w:ascii="Times New Roman" w:hAnsi="Times New Roman" w:cs="Times New Roman"/>
          <w:sz w:val="24"/>
          <w:szCs w:val="24"/>
        </w:rPr>
        <w:t xml:space="preserve"> </w:t>
      </w:r>
    </w:p>
    <w:p w14:paraId="25BD48F4" w14:textId="0931850D" w:rsidR="00BE42D7" w:rsidRPr="00C91F39" w:rsidRDefault="0094508F" w:rsidP="00705873">
      <w:pPr>
        <w:spacing w:line="360" w:lineRule="auto"/>
        <w:jc w:val="both"/>
        <w:rPr>
          <w:rFonts w:ascii="Times New Roman" w:hAnsi="Times New Roman" w:cs="Times New Roman"/>
          <w:sz w:val="24"/>
          <w:szCs w:val="24"/>
        </w:rPr>
      </w:pPr>
      <w:r w:rsidRPr="00C91F39">
        <w:rPr>
          <w:rFonts w:ascii="Times New Roman" w:hAnsi="Times New Roman" w:cs="Times New Roman"/>
          <w:sz w:val="24"/>
          <w:szCs w:val="24"/>
        </w:rPr>
        <w:t>The p</w:t>
      </w:r>
      <w:r w:rsidR="00EB75DF" w:rsidRPr="00C91F39">
        <w:rPr>
          <w:rFonts w:ascii="Times New Roman" w:hAnsi="Times New Roman" w:cs="Times New Roman"/>
          <w:sz w:val="24"/>
          <w:szCs w:val="24"/>
        </w:rPr>
        <w:t xml:space="preserve">atients </w:t>
      </w:r>
      <w:r w:rsidR="003461FE" w:rsidRPr="00C91F39">
        <w:rPr>
          <w:rFonts w:ascii="Times New Roman" w:hAnsi="Times New Roman" w:cs="Times New Roman"/>
          <w:sz w:val="24"/>
          <w:szCs w:val="24"/>
        </w:rPr>
        <w:t xml:space="preserve">with </w:t>
      </w:r>
      <w:r w:rsidR="00EB75DF" w:rsidRPr="00C91F39">
        <w:rPr>
          <w:rFonts w:ascii="Times New Roman" w:hAnsi="Times New Roman" w:cs="Times New Roman"/>
          <w:sz w:val="24"/>
          <w:szCs w:val="24"/>
        </w:rPr>
        <w:t xml:space="preserve">DLB </w:t>
      </w:r>
      <w:r w:rsidR="003461FE" w:rsidRPr="00C91F39">
        <w:rPr>
          <w:rFonts w:ascii="Times New Roman" w:hAnsi="Times New Roman" w:cs="Times New Roman"/>
          <w:sz w:val="24"/>
          <w:szCs w:val="24"/>
        </w:rPr>
        <w:t xml:space="preserve">had a higher rate of falls, </w:t>
      </w:r>
      <w:r w:rsidR="00D40A7F" w:rsidRPr="00C91F39">
        <w:rPr>
          <w:rFonts w:ascii="Times New Roman" w:hAnsi="Times New Roman" w:cs="Times New Roman"/>
          <w:sz w:val="24"/>
          <w:szCs w:val="24"/>
        </w:rPr>
        <w:t xml:space="preserve">number of drugs used, </w:t>
      </w:r>
      <w:r w:rsidR="003461FE" w:rsidRPr="00C91F39">
        <w:rPr>
          <w:rFonts w:ascii="Times New Roman" w:hAnsi="Times New Roman" w:cs="Times New Roman"/>
          <w:sz w:val="24"/>
          <w:szCs w:val="24"/>
        </w:rPr>
        <w:t>ISI score</w:t>
      </w:r>
      <w:r w:rsidR="00936E7F" w:rsidRPr="00C91F39">
        <w:rPr>
          <w:rFonts w:ascii="Times New Roman" w:hAnsi="Times New Roman" w:cs="Times New Roman"/>
          <w:sz w:val="24"/>
          <w:szCs w:val="24"/>
        </w:rPr>
        <w:t xml:space="preserve">, </w:t>
      </w:r>
      <w:r w:rsidR="003461FE" w:rsidRPr="00C91F39">
        <w:rPr>
          <w:rFonts w:ascii="Times New Roman" w:hAnsi="Times New Roman" w:cs="Times New Roman"/>
          <w:sz w:val="24"/>
          <w:szCs w:val="24"/>
        </w:rPr>
        <w:t>and</w:t>
      </w:r>
      <w:r w:rsidR="00D700A8" w:rsidRPr="00C91F39">
        <w:rPr>
          <w:rFonts w:ascii="Times New Roman" w:hAnsi="Times New Roman" w:cs="Times New Roman"/>
          <w:sz w:val="24"/>
          <w:szCs w:val="24"/>
        </w:rPr>
        <w:t xml:space="preserve"> </w:t>
      </w:r>
      <w:r w:rsidR="003461FE" w:rsidRPr="00C91F39">
        <w:rPr>
          <w:rFonts w:ascii="Times New Roman" w:hAnsi="Times New Roman" w:cs="Times New Roman"/>
          <w:sz w:val="24"/>
          <w:szCs w:val="24"/>
        </w:rPr>
        <w:t xml:space="preserve">Epworth score than </w:t>
      </w:r>
      <w:r w:rsidR="00AE25F8" w:rsidRPr="00C91F39">
        <w:rPr>
          <w:rFonts w:ascii="Times New Roman" w:hAnsi="Times New Roman" w:cs="Times New Roman"/>
          <w:sz w:val="24"/>
          <w:szCs w:val="24"/>
        </w:rPr>
        <w:t>those</w:t>
      </w:r>
      <w:r w:rsidR="003461FE" w:rsidRPr="00C91F39">
        <w:rPr>
          <w:rFonts w:ascii="Times New Roman" w:hAnsi="Times New Roman" w:cs="Times New Roman"/>
          <w:sz w:val="24"/>
          <w:szCs w:val="24"/>
        </w:rPr>
        <w:t xml:space="preserve"> with </w:t>
      </w:r>
      <w:r w:rsidR="00AE25F8" w:rsidRPr="00C91F39">
        <w:rPr>
          <w:rFonts w:ascii="Times New Roman" w:hAnsi="Times New Roman" w:cs="Times New Roman"/>
          <w:sz w:val="24"/>
          <w:szCs w:val="24"/>
        </w:rPr>
        <w:t xml:space="preserve">AD </w:t>
      </w:r>
      <w:r w:rsidR="00864F31" w:rsidRPr="00C91F39">
        <w:rPr>
          <w:rFonts w:ascii="Times New Roman" w:hAnsi="Times New Roman" w:cs="Times New Roman"/>
          <w:sz w:val="24"/>
          <w:szCs w:val="24"/>
        </w:rPr>
        <w:t>(p&lt;</w:t>
      </w:r>
      <w:r w:rsidR="00954D1F" w:rsidRPr="00C91F39">
        <w:rPr>
          <w:rFonts w:ascii="Times New Roman" w:hAnsi="Times New Roman" w:cs="Times New Roman"/>
          <w:sz w:val="24"/>
          <w:szCs w:val="24"/>
        </w:rPr>
        <w:t>0.05)</w:t>
      </w:r>
      <w:r w:rsidR="0031742C" w:rsidRPr="00C91F39">
        <w:rPr>
          <w:rFonts w:ascii="Times New Roman" w:hAnsi="Times New Roman" w:cs="Times New Roman"/>
          <w:sz w:val="24"/>
          <w:szCs w:val="24"/>
        </w:rPr>
        <w:t>, whereas</w:t>
      </w:r>
      <w:r w:rsidR="00954D1F" w:rsidRPr="00C91F39">
        <w:rPr>
          <w:rFonts w:ascii="Times New Roman" w:hAnsi="Times New Roman" w:cs="Times New Roman"/>
          <w:sz w:val="24"/>
          <w:szCs w:val="24"/>
        </w:rPr>
        <w:t xml:space="preserve"> </w:t>
      </w:r>
      <w:r w:rsidR="00D40A7F" w:rsidRPr="00C91F39">
        <w:rPr>
          <w:rFonts w:ascii="Times New Roman" w:hAnsi="Times New Roman" w:cs="Times New Roman"/>
          <w:sz w:val="24"/>
          <w:szCs w:val="24"/>
        </w:rPr>
        <w:t>MNA, Tinetti and Handgrip</w:t>
      </w:r>
      <w:r w:rsidR="00B26DFE" w:rsidRPr="00C91F39">
        <w:rPr>
          <w:rFonts w:ascii="Times New Roman" w:hAnsi="Times New Roman" w:cs="Times New Roman"/>
          <w:sz w:val="24"/>
          <w:szCs w:val="24"/>
        </w:rPr>
        <w:t xml:space="preserve"> strength</w:t>
      </w:r>
      <w:r w:rsidR="00D40A7F" w:rsidRPr="00C91F39">
        <w:rPr>
          <w:rFonts w:ascii="Times New Roman" w:hAnsi="Times New Roman" w:cs="Times New Roman"/>
          <w:sz w:val="24"/>
          <w:szCs w:val="24"/>
        </w:rPr>
        <w:t xml:space="preserve"> scores were lower in DLB than in AD</w:t>
      </w:r>
      <w:r w:rsidR="006170A5" w:rsidRPr="00C91F39">
        <w:rPr>
          <w:rFonts w:ascii="Times New Roman" w:hAnsi="Times New Roman" w:cs="Times New Roman"/>
          <w:sz w:val="24"/>
          <w:szCs w:val="24"/>
        </w:rPr>
        <w:t xml:space="preserve"> (p&lt;0.05). </w:t>
      </w:r>
      <w:r w:rsidR="00F03433" w:rsidRPr="00C91F39">
        <w:rPr>
          <w:rFonts w:ascii="Times New Roman" w:hAnsi="Times New Roman" w:cs="Times New Roman"/>
          <w:sz w:val="24"/>
          <w:szCs w:val="24"/>
        </w:rPr>
        <w:t>I</w:t>
      </w:r>
      <w:r w:rsidR="00BC2A38" w:rsidRPr="00C91F39">
        <w:rPr>
          <w:rFonts w:ascii="Times New Roman" w:hAnsi="Times New Roman" w:cs="Times New Roman"/>
          <w:sz w:val="24"/>
          <w:szCs w:val="24"/>
        </w:rPr>
        <w:t xml:space="preserve">t was determined that only </w:t>
      </w:r>
      <w:r w:rsidR="00F03433" w:rsidRPr="00C91F39">
        <w:rPr>
          <w:rFonts w:ascii="Times New Roman" w:hAnsi="Times New Roman" w:cs="Times New Roman"/>
          <w:sz w:val="24"/>
          <w:szCs w:val="24"/>
        </w:rPr>
        <w:t xml:space="preserve">serum </w:t>
      </w:r>
      <w:r w:rsidR="00BC2A38" w:rsidRPr="00C91F39">
        <w:rPr>
          <w:rFonts w:ascii="Times New Roman" w:hAnsi="Times New Roman" w:cs="Times New Roman"/>
          <w:sz w:val="24"/>
          <w:szCs w:val="24"/>
        </w:rPr>
        <w:t xml:space="preserve">albumin level was lower in those with </w:t>
      </w:r>
      <w:r w:rsidR="00F03433" w:rsidRPr="00C91F39">
        <w:rPr>
          <w:rFonts w:ascii="Times New Roman" w:hAnsi="Times New Roman" w:cs="Times New Roman"/>
          <w:sz w:val="24"/>
          <w:szCs w:val="24"/>
        </w:rPr>
        <w:t>DLB</w:t>
      </w:r>
      <w:r w:rsidR="00BC2A38" w:rsidRPr="00C91F39">
        <w:rPr>
          <w:rFonts w:ascii="Times New Roman" w:hAnsi="Times New Roman" w:cs="Times New Roman"/>
          <w:sz w:val="24"/>
          <w:szCs w:val="24"/>
        </w:rPr>
        <w:t xml:space="preserve"> than in patients with </w:t>
      </w:r>
      <w:r w:rsidR="00F03433" w:rsidRPr="00C91F39">
        <w:rPr>
          <w:rFonts w:ascii="Times New Roman" w:hAnsi="Times New Roman" w:cs="Times New Roman"/>
          <w:sz w:val="24"/>
          <w:szCs w:val="24"/>
        </w:rPr>
        <w:t xml:space="preserve">AD </w:t>
      </w:r>
      <w:r w:rsidR="00864F31" w:rsidRPr="00C91F39">
        <w:rPr>
          <w:rFonts w:ascii="Times New Roman" w:hAnsi="Times New Roman" w:cs="Times New Roman"/>
          <w:sz w:val="24"/>
          <w:szCs w:val="24"/>
        </w:rPr>
        <w:t>(p&lt;</w:t>
      </w:r>
      <w:r w:rsidR="00047E2D" w:rsidRPr="00C91F39">
        <w:rPr>
          <w:rFonts w:ascii="Times New Roman" w:hAnsi="Times New Roman" w:cs="Times New Roman"/>
          <w:sz w:val="24"/>
          <w:szCs w:val="24"/>
        </w:rPr>
        <w:t>0.05)</w:t>
      </w:r>
      <w:r w:rsidR="00F03433" w:rsidRPr="00C91F39">
        <w:rPr>
          <w:rFonts w:ascii="Times New Roman" w:hAnsi="Times New Roman" w:cs="Times New Roman"/>
          <w:sz w:val="24"/>
          <w:szCs w:val="24"/>
        </w:rPr>
        <w:t xml:space="preserve">, and all the other </w:t>
      </w:r>
      <w:r w:rsidR="00F03433" w:rsidRPr="00C91F39">
        <w:rPr>
          <w:rFonts w:ascii="Times New Roman" w:hAnsi="Times New Roman" w:cs="Times New Roman"/>
          <w:bCs/>
          <w:sz w:val="24"/>
          <w:szCs w:val="24"/>
          <w:lang w:val="en-US"/>
        </w:rPr>
        <w:t>laboratory findings were not different between the two</w:t>
      </w:r>
      <w:r w:rsidR="00B26DFE" w:rsidRPr="00C91F39">
        <w:rPr>
          <w:rFonts w:ascii="Times New Roman" w:hAnsi="Times New Roman" w:cs="Times New Roman"/>
          <w:bCs/>
          <w:sz w:val="24"/>
          <w:szCs w:val="24"/>
          <w:lang w:val="en-US"/>
        </w:rPr>
        <w:t xml:space="preserve"> syndromes</w:t>
      </w:r>
      <w:r w:rsidR="00F03433" w:rsidRPr="00C91F39">
        <w:rPr>
          <w:rFonts w:ascii="Times New Roman" w:hAnsi="Times New Roman" w:cs="Times New Roman"/>
          <w:bCs/>
          <w:sz w:val="24"/>
          <w:szCs w:val="24"/>
          <w:lang w:val="en-US"/>
        </w:rPr>
        <w:t xml:space="preserve"> </w:t>
      </w:r>
      <w:r w:rsidR="00047E2D" w:rsidRPr="00C91F39">
        <w:rPr>
          <w:rFonts w:ascii="Times New Roman" w:hAnsi="Times New Roman" w:cs="Times New Roman"/>
          <w:sz w:val="24"/>
          <w:szCs w:val="24"/>
        </w:rPr>
        <w:t>(</w:t>
      </w:r>
      <w:r w:rsidR="00047E2D" w:rsidRPr="00C91F39">
        <w:rPr>
          <w:rFonts w:ascii="Times New Roman" w:hAnsi="Times New Roman" w:cs="Times New Roman"/>
          <w:b/>
          <w:bCs/>
          <w:sz w:val="24"/>
          <w:szCs w:val="24"/>
        </w:rPr>
        <w:t>Table 1</w:t>
      </w:r>
      <w:r w:rsidR="00047E2D" w:rsidRPr="00C91F39">
        <w:rPr>
          <w:rFonts w:ascii="Times New Roman" w:hAnsi="Times New Roman" w:cs="Times New Roman"/>
          <w:sz w:val="24"/>
          <w:szCs w:val="24"/>
        </w:rPr>
        <w:t>).</w:t>
      </w:r>
    </w:p>
    <w:p w14:paraId="552BEE83" w14:textId="77777777" w:rsidR="001A206F" w:rsidRPr="00C91F39" w:rsidRDefault="001A206F" w:rsidP="001A206F">
      <w:pPr>
        <w:spacing w:line="360" w:lineRule="auto"/>
        <w:jc w:val="both"/>
        <w:rPr>
          <w:rFonts w:ascii="Times New Roman" w:eastAsia="Calibri" w:hAnsi="Times New Roman" w:cs="Times New Roman"/>
          <w:b/>
          <w:bCs/>
          <w:sz w:val="24"/>
          <w:szCs w:val="24"/>
        </w:rPr>
      </w:pPr>
      <w:r w:rsidRPr="00C91F39">
        <w:rPr>
          <w:rFonts w:ascii="Times New Roman" w:eastAsia="Calibri" w:hAnsi="Times New Roman" w:cs="Times New Roman"/>
          <w:b/>
          <w:bCs/>
          <w:sz w:val="24"/>
          <w:szCs w:val="24"/>
        </w:rPr>
        <w:t>DISCUSSION</w:t>
      </w:r>
    </w:p>
    <w:p w14:paraId="1169F627" w14:textId="7D51B27E" w:rsidR="001A206F" w:rsidRPr="00C91F39" w:rsidRDefault="001A206F" w:rsidP="001A206F">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lastRenderedPageBreak/>
        <w:t xml:space="preserve">When older DLB and AD patients who are similar in age, gender and cognitive </w:t>
      </w:r>
      <w:r w:rsidR="008F12A7" w:rsidRPr="00C91F39">
        <w:rPr>
          <w:rFonts w:ascii="Times New Roman" w:eastAsia="Calibri" w:hAnsi="Times New Roman" w:cs="Times New Roman"/>
          <w:sz w:val="24"/>
          <w:szCs w:val="24"/>
        </w:rPr>
        <w:t xml:space="preserve">status </w:t>
      </w:r>
      <w:r w:rsidRPr="00C91F39">
        <w:rPr>
          <w:rFonts w:ascii="Times New Roman" w:eastAsia="Calibri" w:hAnsi="Times New Roman" w:cs="Times New Roman"/>
          <w:sz w:val="24"/>
          <w:szCs w:val="24"/>
        </w:rPr>
        <w:t>were compared, dependency in both basic and instrumental activities of daily living was higher in DLB patients. Falling, impaired gait and balance functions; number of drug use, insomnia and excessive daytime sleepiness, nutritional deterioration</w:t>
      </w:r>
      <w:r w:rsidR="00B26DFE"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 xml:space="preserve"> and decrease in muscle strength were more common in older DLB patients compared to older AD patients.</w:t>
      </w:r>
    </w:p>
    <w:p w14:paraId="274A5EEA" w14:textId="2A832E8B" w:rsidR="00A00F36" w:rsidRPr="00C91F39" w:rsidRDefault="001A206F" w:rsidP="00D95CEA">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 xml:space="preserve">Although the </w:t>
      </w:r>
      <w:r w:rsidR="00B26DFE" w:rsidRPr="00C91F39">
        <w:rPr>
          <w:rFonts w:ascii="Times New Roman" w:eastAsia="Calibri" w:hAnsi="Times New Roman" w:cs="Times New Roman"/>
          <w:sz w:val="24"/>
          <w:szCs w:val="24"/>
        </w:rPr>
        <w:t xml:space="preserve">diagnosis </w:t>
      </w:r>
      <w:r w:rsidRPr="00C91F39">
        <w:rPr>
          <w:rFonts w:ascii="Times New Roman" w:eastAsia="Calibri" w:hAnsi="Times New Roman" w:cs="Times New Roman"/>
          <w:sz w:val="24"/>
          <w:szCs w:val="24"/>
        </w:rPr>
        <w:t>of dementia is important for an older patient and his/her caregiver</w:t>
      </w:r>
      <w:r w:rsidR="00A00F36" w:rsidRPr="00C91F39">
        <w:rPr>
          <w:rFonts w:ascii="Times New Roman" w:eastAsia="Calibri" w:hAnsi="Times New Roman" w:cs="Times New Roman"/>
          <w:sz w:val="24"/>
          <w:szCs w:val="24"/>
        </w:rPr>
        <w:t xml:space="preserve"> to aid in management</w:t>
      </w:r>
      <w:r w:rsidRPr="00C91F39">
        <w:rPr>
          <w:rFonts w:ascii="Times New Roman" w:eastAsia="Calibri" w:hAnsi="Times New Roman" w:cs="Times New Roman"/>
          <w:sz w:val="24"/>
          <w:szCs w:val="24"/>
        </w:rPr>
        <w:t xml:space="preserve">, </w:t>
      </w:r>
      <w:r w:rsidR="00A00F36" w:rsidRPr="00C91F39">
        <w:rPr>
          <w:rFonts w:ascii="Times New Roman" w:eastAsia="Calibri" w:hAnsi="Times New Roman" w:cs="Times New Roman"/>
          <w:sz w:val="24"/>
          <w:szCs w:val="24"/>
        </w:rPr>
        <w:t xml:space="preserve">the </w:t>
      </w:r>
      <w:r w:rsidRPr="00C91F39">
        <w:rPr>
          <w:rFonts w:ascii="Times New Roman" w:eastAsia="Calibri" w:hAnsi="Times New Roman" w:cs="Times New Roman"/>
          <w:sz w:val="24"/>
          <w:szCs w:val="24"/>
        </w:rPr>
        <w:t>dementia subtype</w:t>
      </w:r>
      <w:r w:rsidR="00A00F36" w:rsidRPr="00C91F39">
        <w:rPr>
          <w:rFonts w:ascii="Times New Roman" w:eastAsia="Calibri" w:hAnsi="Times New Roman" w:cs="Times New Roman"/>
          <w:sz w:val="24"/>
          <w:szCs w:val="24"/>
        </w:rPr>
        <w:t xml:space="preserve"> is of equal importance for care </w:t>
      </w:r>
      <w:r w:rsidR="00A276EC" w:rsidRPr="00C91F39">
        <w:rPr>
          <w:rFonts w:ascii="Times New Roman" w:eastAsia="Calibri" w:hAnsi="Times New Roman" w:cs="Times New Roman"/>
          <w:sz w:val="24"/>
          <w:szCs w:val="24"/>
        </w:rPr>
        <w:t>management,</w:t>
      </w:r>
      <w:r w:rsidRPr="00C91F39">
        <w:rPr>
          <w:rFonts w:ascii="Times New Roman" w:eastAsia="Calibri" w:hAnsi="Times New Roman" w:cs="Times New Roman"/>
          <w:sz w:val="24"/>
          <w:szCs w:val="24"/>
        </w:rPr>
        <w:t xml:space="preserve"> because neuropsychiatric symptoms, neurocognitive domains affected, prognosis of the disease, caregiver burnout and survival times may differ in each dementia subtype. Therefore, the comparative studies of dementia subtypes have increased in recent years.</w:t>
      </w:r>
      <w:r w:rsidR="00A75234" w:rsidRPr="00C91F39">
        <w:rPr>
          <w:rFonts w:ascii="Times New Roman" w:eastAsia="Calibri" w:hAnsi="Times New Roman" w:cs="Times New Roman"/>
          <w:sz w:val="24"/>
          <w:szCs w:val="24"/>
          <w:vertAlign w:val="superscript"/>
        </w:rPr>
        <w:t>1</w:t>
      </w:r>
      <w:r w:rsidR="00C87841" w:rsidRPr="00C91F39">
        <w:rPr>
          <w:rFonts w:ascii="Times New Roman" w:eastAsia="Calibri" w:hAnsi="Times New Roman" w:cs="Times New Roman"/>
          <w:sz w:val="24"/>
          <w:szCs w:val="24"/>
          <w:vertAlign w:val="superscript"/>
        </w:rPr>
        <w:t>8</w:t>
      </w:r>
      <w:r w:rsidR="00A75234" w:rsidRPr="00C91F39">
        <w:rPr>
          <w:rFonts w:ascii="Times New Roman" w:eastAsia="Calibri" w:hAnsi="Times New Roman" w:cs="Times New Roman"/>
          <w:sz w:val="24"/>
          <w:szCs w:val="24"/>
          <w:vertAlign w:val="superscript"/>
        </w:rPr>
        <w:t>,1</w:t>
      </w:r>
      <w:r w:rsidR="00C87841" w:rsidRPr="00C91F39">
        <w:rPr>
          <w:rFonts w:ascii="Times New Roman" w:eastAsia="Calibri" w:hAnsi="Times New Roman" w:cs="Times New Roman"/>
          <w:sz w:val="24"/>
          <w:szCs w:val="24"/>
          <w:vertAlign w:val="superscript"/>
        </w:rPr>
        <w:t>9</w:t>
      </w:r>
      <w:r w:rsidR="00194C11" w:rsidRPr="00C91F39">
        <w:rPr>
          <w:rFonts w:ascii="Times New Roman" w:eastAsia="Calibri" w:hAnsi="Times New Roman" w:cs="Times New Roman"/>
          <w:sz w:val="24"/>
          <w:szCs w:val="24"/>
          <w:vertAlign w:val="superscript"/>
        </w:rPr>
        <w:t>,</w:t>
      </w:r>
      <w:r w:rsidR="00C87841" w:rsidRPr="00C91F39">
        <w:rPr>
          <w:rFonts w:ascii="Times New Roman" w:eastAsia="Calibri" w:hAnsi="Times New Roman" w:cs="Times New Roman"/>
          <w:sz w:val="24"/>
          <w:szCs w:val="24"/>
          <w:vertAlign w:val="superscript"/>
        </w:rPr>
        <w:t>20</w:t>
      </w:r>
      <w:r w:rsidRPr="00C91F39">
        <w:rPr>
          <w:rFonts w:ascii="Times New Roman" w:eastAsia="Calibri" w:hAnsi="Times New Roman" w:cs="Times New Roman"/>
          <w:sz w:val="24"/>
          <w:szCs w:val="24"/>
        </w:rPr>
        <w:t xml:space="preserve"> For example, the two most common dementia types in the </w:t>
      </w:r>
      <w:r w:rsidR="002A2867" w:rsidRPr="00C91F39">
        <w:rPr>
          <w:rFonts w:ascii="Times New Roman" w:hAnsi="Times New Roman" w:cs="Times New Roman"/>
          <w:sz w:val="24"/>
          <w:szCs w:val="24"/>
        </w:rPr>
        <w:t>older adults</w:t>
      </w:r>
      <w:r w:rsidR="002A2867" w:rsidRPr="00C91F39">
        <w:rPr>
          <w:rFonts w:ascii="Times New Roman" w:hAnsi="Times New Roman" w:cs="Times New Roman"/>
          <w:sz w:val="28"/>
          <w:szCs w:val="28"/>
        </w:rPr>
        <w:t xml:space="preserve"> </w:t>
      </w:r>
      <w:r w:rsidRPr="00C91F39">
        <w:rPr>
          <w:rFonts w:ascii="Times New Roman" w:eastAsia="Calibri" w:hAnsi="Times New Roman" w:cs="Times New Roman"/>
          <w:sz w:val="24"/>
          <w:szCs w:val="24"/>
        </w:rPr>
        <w:t>are AD and DLB, the latter with a high mortality (average survival time in DLB from diagnosis was 4.11 years and in AD 5.66 years, equating to a 1.60 years shorter survival in DLB</w:t>
      </w:r>
      <w:r w:rsidR="00194C11" w:rsidRPr="00C91F39">
        <w:rPr>
          <w:rFonts w:ascii="Times New Roman" w:eastAsia="Calibri" w:hAnsi="Times New Roman" w:cs="Times New Roman"/>
          <w:sz w:val="24"/>
          <w:szCs w:val="24"/>
        </w:rPr>
        <w:t>.</w:t>
      </w:r>
      <w:r w:rsidR="00194C11" w:rsidRPr="00C91F39">
        <w:rPr>
          <w:rFonts w:ascii="Times New Roman" w:eastAsia="Calibri" w:hAnsi="Times New Roman" w:cs="Times New Roman"/>
          <w:sz w:val="24"/>
          <w:szCs w:val="24"/>
          <w:vertAlign w:val="superscript"/>
        </w:rPr>
        <w:t>3</w:t>
      </w:r>
      <w:r w:rsidR="00194C11" w:rsidRPr="00C91F39">
        <w:rPr>
          <w:rFonts w:ascii="Times New Roman" w:eastAsia="Calibri" w:hAnsi="Times New Roman" w:cs="Times New Roman"/>
          <w:sz w:val="24"/>
          <w:szCs w:val="24"/>
        </w:rPr>
        <w:t xml:space="preserve"> </w:t>
      </w:r>
      <w:r w:rsidRPr="00C91F39">
        <w:rPr>
          <w:rFonts w:ascii="Times New Roman" w:eastAsia="Calibri" w:hAnsi="Times New Roman" w:cs="Times New Roman"/>
          <w:sz w:val="24"/>
          <w:szCs w:val="24"/>
        </w:rPr>
        <w:t>In addition, caregiver burden in caregivers of DLB ​​patients is higher than in caregivers of AD patients for two important reasons.</w:t>
      </w:r>
      <w:r w:rsidR="00C87841" w:rsidRPr="00C91F39">
        <w:rPr>
          <w:rFonts w:ascii="Times New Roman" w:eastAsia="Calibri" w:hAnsi="Times New Roman" w:cs="Times New Roman"/>
          <w:sz w:val="24"/>
          <w:szCs w:val="24"/>
          <w:vertAlign w:val="superscript"/>
        </w:rPr>
        <w:t>21</w:t>
      </w:r>
      <w:r w:rsidRPr="00C91F39">
        <w:rPr>
          <w:rFonts w:ascii="Times New Roman" w:eastAsia="Calibri" w:hAnsi="Times New Roman" w:cs="Times New Roman"/>
          <w:sz w:val="24"/>
          <w:szCs w:val="24"/>
        </w:rPr>
        <w:t xml:space="preserve"> One of the</w:t>
      </w:r>
      <w:r w:rsidR="00A00F36" w:rsidRPr="00C91F39">
        <w:rPr>
          <w:rFonts w:ascii="Times New Roman" w:eastAsia="Calibri" w:hAnsi="Times New Roman" w:cs="Times New Roman"/>
          <w:sz w:val="24"/>
          <w:szCs w:val="24"/>
        </w:rPr>
        <w:t>se reasons</w:t>
      </w:r>
      <w:r w:rsidRPr="00C91F39">
        <w:rPr>
          <w:rFonts w:ascii="Times New Roman" w:eastAsia="Calibri" w:hAnsi="Times New Roman" w:cs="Times New Roman"/>
          <w:sz w:val="24"/>
          <w:szCs w:val="24"/>
        </w:rPr>
        <w:t xml:space="preserve"> is the excess of neuropsychiatric symptoms in DLB, and the other is that the dependency in ADLs is much higher in DLB from the early stage of dementia.</w:t>
      </w:r>
      <w:r w:rsidR="000E2D6A" w:rsidRPr="00C91F39">
        <w:rPr>
          <w:rFonts w:ascii="Times New Roman" w:eastAsia="Calibri" w:hAnsi="Times New Roman" w:cs="Times New Roman"/>
          <w:sz w:val="24"/>
          <w:szCs w:val="24"/>
          <w:vertAlign w:val="superscript"/>
        </w:rPr>
        <w:t>7,</w:t>
      </w:r>
      <w:r w:rsidR="00C87841" w:rsidRPr="00C91F39">
        <w:rPr>
          <w:rFonts w:ascii="Times New Roman" w:eastAsia="Calibri" w:hAnsi="Times New Roman" w:cs="Times New Roman"/>
          <w:sz w:val="24"/>
          <w:szCs w:val="24"/>
          <w:vertAlign w:val="superscript"/>
        </w:rPr>
        <w:t>21</w:t>
      </w:r>
      <w:r w:rsidR="007B5451"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2</w:t>
      </w:r>
      <w:r w:rsidR="007B5451" w:rsidRPr="00C91F39">
        <w:rPr>
          <w:rFonts w:ascii="Times New Roman" w:eastAsia="Calibri" w:hAnsi="Times New Roman" w:cs="Times New Roman"/>
          <w:sz w:val="24"/>
          <w:szCs w:val="24"/>
          <w:vertAlign w:val="superscript"/>
        </w:rPr>
        <w:t xml:space="preserve"> </w:t>
      </w:r>
      <w:r w:rsidRPr="00C91F39">
        <w:rPr>
          <w:rFonts w:ascii="Times New Roman" w:eastAsia="Calibri" w:hAnsi="Times New Roman" w:cs="Times New Roman"/>
          <w:sz w:val="24"/>
          <w:szCs w:val="24"/>
        </w:rPr>
        <w:t xml:space="preserve"> </w:t>
      </w:r>
    </w:p>
    <w:p w14:paraId="23A7615B" w14:textId="4C4FF6D6" w:rsidR="001A206F" w:rsidRPr="00C91F39" w:rsidRDefault="001A206F" w:rsidP="00C45F19">
      <w:pPr>
        <w:spacing w:line="360" w:lineRule="auto"/>
        <w:ind w:firstLine="708"/>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 xml:space="preserve">To date, comparative studies investigating how DLB and AD affect dependency in ADLs are few and their results are inconsistent. In our study, which included the patients with a mean age of 83, both BADL and IADL total scores were lower in DLB than AD, although they were similar in terms of age, gender, and cognitive status. Additionally, in our study, the DLB group had greater dependency on personal care, bathing, dressing, feeding, toilet use, stairs and mobilization </w:t>
      </w:r>
      <w:r w:rsidR="00F235EB"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BADLs</w:t>
      </w:r>
      <w:r w:rsidR="00F235EB"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 xml:space="preserve">, </w:t>
      </w:r>
      <w:r w:rsidR="00A00F36" w:rsidRPr="00C91F39">
        <w:rPr>
          <w:rFonts w:ascii="Times New Roman" w:eastAsia="Calibri" w:hAnsi="Times New Roman" w:cs="Times New Roman"/>
          <w:sz w:val="24"/>
          <w:szCs w:val="24"/>
        </w:rPr>
        <w:t>as well as</w:t>
      </w:r>
      <w:r w:rsidRPr="00C91F39">
        <w:rPr>
          <w:rFonts w:ascii="Times New Roman" w:eastAsia="Calibri" w:hAnsi="Times New Roman" w:cs="Times New Roman"/>
          <w:sz w:val="24"/>
          <w:szCs w:val="24"/>
        </w:rPr>
        <w:t xml:space="preserve">dependency on food preparation, cleaning, and laundry </w:t>
      </w:r>
      <w:r w:rsidR="00F235EB"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IADLs</w:t>
      </w:r>
      <w:r w:rsidR="00F235EB"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 xml:space="preserve">. McKeith et al. compared both subtypes of dementia, showing that dependency on similar items of BADL and BADL was higher in DLB than in AD, </w:t>
      </w:r>
      <w:r w:rsidR="00F235EB" w:rsidRPr="00C91F39">
        <w:rPr>
          <w:rFonts w:ascii="Times New Roman" w:eastAsia="Calibri" w:hAnsi="Times New Roman" w:cs="Times New Roman"/>
          <w:sz w:val="24"/>
          <w:szCs w:val="24"/>
        </w:rPr>
        <w:t>as in the present</w:t>
      </w:r>
      <w:r w:rsidR="007F5C15" w:rsidRPr="00C91F39">
        <w:rPr>
          <w:rFonts w:ascii="Times New Roman" w:eastAsia="Calibri" w:hAnsi="Times New Roman" w:cs="Times New Roman"/>
          <w:sz w:val="24"/>
          <w:szCs w:val="24"/>
        </w:rPr>
        <w:t xml:space="preserve"> </w:t>
      </w:r>
      <w:r w:rsidRPr="00C91F39">
        <w:rPr>
          <w:rFonts w:ascii="Times New Roman" w:eastAsia="Calibri" w:hAnsi="Times New Roman" w:cs="Times New Roman"/>
          <w:sz w:val="24"/>
          <w:szCs w:val="24"/>
        </w:rPr>
        <w:t>study.</w:t>
      </w:r>
      <w:r w:rsidR="003D43C1" w:rsidRPr="00C91F39">
        <w:rPr>
          <w:rFonts w:ascii="Times New Roman" w:eastAsia="Calibri" w:hAnsi="Times New Roman" w:cs="Times New Roman"/>
          <w:sz w:val="24"/>
          <w:szCs w:val="24"/>
          <w:vertAlign w:val="superscript"/>
        </w:rPr>
        <w:t>6</w:t>
      </w:r>
      <w:r w:rsidRPr="00C91F39">
        <w:rPr>
          <w:rFonts w:ascii="Times New Roman" w:eastAsia="Calibri" w:hAnsi="Times New Roman" w:cs="Times New Roman"/>
          <w:sz w:val="24"/>
          <w:szCs w:val="24"/>
        </w:rPr>
        <w:t xml:space="preserve"> In the same study, a negative correlation was determined between extrapyramidal symptoms and neuropsychiatric symptoms, and dependency in BADLs.</w:t>
      </w:r>
      <w:r w:rsidR="008B1F16" w:rsidRPr="00C91F39">
        <w:rPr>
          <w:rFonts w:ascii="Times New Roman" w:eastAsia="Calibri" w:hAnsi="Times New Roman" w:cs="Times New Roman"/>
          <w:sz w:val="24"/>
          <w:szCs w:val="24"/>
          <w:vertAlign w:val="superscript"/>
        </w:rPr>
        <w:t>6</w:t>
      </w:r>
      <w:r w:rsidRPr="00C91F39">
        <w:rPr>
          <w:rFonts w:ascii="Times New Roman" w:eastAsia="Calibri" w:hAnsi="Times New Roman" w:cs="Times New Roman"/>
          <w:sz w:val="24"/>
          <w:szCs w:val="24"/>
        </w:rPr>
        <w:t xml:space="preserve"> Although IADL scores were lower in DLB in our study, there was no difference between AD and DLB in terms of dependency compared to IADL categories. The possible reason for this may be that the mean age of our patients was ≥ 80 years. Gill et al. demonstrated that the decrease in functionality was more pronounced in young dementia patients, but slower in older dementia patients, especially in IADLs</w:t>
      </w:r>
      <w:r w:rsidR="008A59C6" w:rsidRPr="00C91F39">
        <w:rPr>
          <w:rFonts w:ascii="Times New Roman" w:eastAsia="Calibri" w:hAnsi="Times New Roman" w:cs="Times New Roman"/>
          <w:sz w:val="24"/>
          <w:szCs w:val="24"/>
        </w:rPr>
        <w:t>.</w:t>
      </w:r>
      <w:r w:rsidR="008A59C6" w:rsidRPr="00C91F39">
        <w:rPr>
          <w:rFonts w:ascii="Times New Roman" w:eastAsia="Calibri" w:hAnsi="Times New Roman" w:cs="Times New Roman"/>
          <w:sz w:val="24"/>
          <w:szCs w:val="24"/>
          <w:vertAlign w:val="superscript"/>
        </w:rPr>
        <w:t>7</w:t>
      </w:r>
      <w:r w:rsidRPr="00C91F39">
        <w:rPr>
          <w:rFonts w:ascii="Times New Roman" w:eastAsia="Calibri" w:hAnsi="Times New Roman" w:cs="Times New Roman"/>
          <w:sz w:val="24"/>
          <w:szCs w:val="24"/>
        </w:rPr>
        <w:t xml:space="preserve"> </w:t>
      </w:r>
      <w:r w:rsidR="00F235EB" w:rsidRPr="00C91F39">
        <w:rPr>
          <w:rFonts w:ascii="Times New Roman" w:eastAsia="Calibri" w:hAnsi="Times New Roman" w:cs="Times New Roman"/>
          <w:sz w:val="24"/>
          <w:szCs w:val="24"/>
        </w:rPr>
        <w:t>Moreover</w:t>
      </w:r>
      <w:r w:rsidRPr="00C91F39">
        <w:rPr>
          <w:rFonts w:ascii="Times New Roman" w:eastAsia="Calibri" w:hAnsi="Times New Roman" w:cs="Times New Roman"/>
          <w:sz w:val="24"/>
          <w:szCs w:val="24"/>
        </w:rPr>
        <w:t>, differences in patients with DLB and AD appear most pronounced early in the prognosis of the disease.</w:t>
      </w:r>
      <w:r w:rsidR="00E34524"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3</w:t>
      </w:r>
      <w:r w:rsidRPr="00C91F39">
        <w:rPr>
          <w:rFonts w:ascii="Times New Roman" w:eastAsia="Calibri" w:hAnsi="Times New Roman" w:cs="Times New Roman"/>
          <w:sz w:val="24"/>
          <w:szCs w:val="24"/>
        </w:rPr>
        <w:t xml:space="preserve"> Since all the patients except </w:t>
      </w:r>
      <w:r w:rsidR="00F235EB" w:rsidRPr="00C91F39">
        <w:rPr>
          <w:rFonts w:ascii="Times New Roman" w:eastAsia="Calibri" w:hAnsi="Times New Roman" w:cs="Times New Roman"/>
          <w:sz w:val="24"/>
          <w:szCs w:val="24"/>
        </w:rPr>
        <w:lastRenderedPageBreak/>
        <w:t xml:space="preserve">those </w:t>
      </w:r>
      <w:r w:rsidRPr="00C91F39">
        <w:rPr>
          <w:rFonts w:ascii="Times New Roman" w:eastAsia="Calibri" w:hAnsi="Times New Roman" w:cs="Times New Roman"/>
          <w:sz w:val="24"/>
          <w:szCs w:val="24"/>
        </w:rPr>
        <w:t>severe</w:t>
      </w:r>
      <w:r w:rsidR="00197A72" w:rsidRPr="00C91F39">
        <w:rPr>
          <w:rFonts w:ascii="Times New Roman" w:eastAsia="Calibri" w:hAnsi="Times New Roman" w:cs="Times New Roman"/>
          <w:sz w:val="24"/>
          <w:szCs w:val="24"/>
        </w:rPr>
        <w:t xml:space="preserve"> </w:t>
      </w:r>
      <w:r w:rsidR="00F235EB" w:rsidRPr="00C91F39">
        <w:rPr>
          <w:rFonts w:ascii="Times New Roman" w:eastAsia="Calibri" w:hAnsi="Times New Roman" w:cs="Times New Roman"/>
          <w:sz w:val="24"/>
          <w:szCs w:val="24"/>
        </w:rPr>
        <w:t xml:space="preserve">with </w:t>
      </w:r>
      <w:r w:rsidRPr="00C91F39">
        <w:rPr>
          <w:rFonts w:ascii="Times New Roman" w:eastAsia="Calibri" w:hAnsi="Times New Roman" w:cs="Times New Roman"/>
          <w:sz w:val="24"/>
          <w:szCs w:val="24"/>
        </w:rPr>
        <w:t xml:space="preserve"> dementia were included in our study, a difference might not have been detected in dependencies compared to IADL. </w:t>
      </w:r>
    </w:p>
    <w:p w14:paraId="674E9F85" w14:textId="416866D3" w:rsidR="001A206F" w:rsidRPr="00C91F39" w:rsidRDefault="001A206F" w:rsidP="00C45F19">
      <w:pPr>
        <w:spacing w:line="360" w:lineRule="auto"/>
        <w:ind w:firstLine="708"/>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 xml:space="preserve">Geriatric syndromes, which occur due to multifactorial reasons and cause many negative clinical outcomes in the </w:t>
      </w:r>
      <w:r w:rsidR="002A2867" w:rsidRPr="00C91F39">
        <w:rPr>
          <w:rFonts w:ascii="Times New Roman" w:hAnsi="Times New Roman" w:cs="Times New Roman"/>
          <w:sz w:val="24"/>
          <w:szCs w:val="24"/>
        </w:rPr>
        <w:t>older adults</w:t>
      </w:r>
      <w:r w:rsidRPr="00C91F39">
        <w:rPr>
          <w:rFonts w:ascii="Times New Roman" w:eastAsia="Calibri" w:hAnsi="Times New Roman" w:cs="Times New Roman"/>
          <w:sz w:val="24"/>
          <w:szCs w:val="24"/>
        </w:rPr>
        <w:t>, reduce the quality of life and complicate the care of the patients.</w:t>
      </w:r>
      <w:r w:rsidR="007C4012" w:rsidRPr="00C91F39">
        <w:rPr>
          <w:rFonts w:ascii="Times New Roman" w:eastAsia="Calibri" w:hAnsi="Times New Roman" w:cs="Times New Roman"/>
          <w:sz w:val="24"/>
          <w:szCs w:val="24"/>
          <w:vertAlign w:val="superscript"/>
        </w:rPr>
        <w:t>8</w:t>
      </w:r>
      <w:r w:rsidRPr="00C91F39">
        <w:rPr>
          <w:rFonts w:ascii="Times New Roman" w:eastAsia="Calibri" w:hAnsi="Times New Roman" w:cs="Times New Roman"/>
          <w:sz w:val="24"/>
          <w:szCs w:val="24"/>
        </w:rPr>
        <w:t xml:space="preserve"> Therefore, multiple syndromes in the same patient means that his/her care becomes more complicated to manage for both the clinician and the caregiver. Multiple drug use, nutritional problems, recurrent falls, gait and balance problems and sleep disorders are the leading ones of these syndromes.</w:t>
      </w:r>
      <w:r w:rsidR="0051221C" w:rsidRPr="00C91F39">
        <w:rPr>
          <w:rFonts w:ascii="Times New Roman" w:eastAsia="Calibri" w:hAnsi="Times New Roman" w:cs="Times New Roman"/>
          <w:sz w:val="24"/>
          <w:szCs w:val="24"/>
          <w:vertAlign w:val="superscript"/>
        </w:rPr>
        <w:t>8</w:t>
      </w:r>
      <w:r w:rsidRPr="00C91F39">
        <w:rPr>
          <w:rFonts w:ascii="Times New Roman" w:eastAsia="Calibri" w:hAnsi="Times New Roman" w:cs="Times New Roman"/>
          <w:sz w:val="24"/>
          <w:szCs w:val="24"/>
        </w:rPr>
        <w:t xml:space="preserve"> There are several plausible pathways that help to explain such findings. Common symptoms experienced by people with DLB, such as Parkinsonism and signs of postural instability, are known to increase the risk of falling</w:t>
      </w:r>
      <w:r w:rsidR="00F4371B" w:rsidRPr="00C91F39">
        <w:rPr>
          <w:rFonts w:ascii="Times New Roman" w:eastAsia="Calibri" w:hAnsi="Times New Roman" w:cs="Times New Roman"/>
          <w:sz w:val="24"/>
          <w:szCs w:val="24"/>
        </w:rPr>
        <w:t>.</w:t>
      </w:r>
      <w:r w:rsidR="00F4371B"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4</w:t>
      </w:r>
      <w:r w:rsidRPr="00C91F39">
        <w:rPr>
          <w:rFonts w:ascii="Times New Roman" w:eastAsia="Calibri" w:hAnsi="Times New Roman" w:cs="Times New Roman"/>
          <w:sz w:val="24"/>
          <w:szCs w:val="24"/>
        </w:rPr>
        <w:t xml:space="preserve"> For example, in one study in </w:t>
      </w:r>
      <w:r w:rsidR="00FB1A84" w:rsidRPr="00C91F39">
        <w:rPr>
          <w:rFonts w:ascii="Times New Roman" w:eastAsia="Calibri" w:hAnsi="Times New Roman" w:cs="Times New Roman"/>
          <w:sz w:val="24"/>
          <w:szCs w:val="24"/>
        </w:rPr>
        <w:t>which AD</w:t>
      </w:r>
      <w:r w:rsidRPr="00C91F39">
        <w:rPr>
          <w:rFonts w:ascii="Times New Roman" w:eastAsia="Calibri" w:hAnsi="Times New Roman" w:cs="Times New Roman"/>
          <w:sz w:val="24"/>
          <w:szCs w:val="24"/>
        </w:rPr>
        <w:t xml:space="preserve"> </w:t>
      </w:r>
      <w:r w:rsidR="00181876" w:rsidRPr="00C91F39">
        <w:rPr>
          <w:rFonts w:ascii="Times New Roman" w:eastAsia="Calibri" w:hAnsi="Times New Roman" w:cs="Times New Roman"/>
          <w:sz w:val="24"/>
          <w:szCs w:val="24"/>
        </w:rPr>
        <w:t>and DLB</w:t>
      </w:r>
      <w:r w:rsidRPr="00C91F39">
        <w:rPr>
          <w:rFonts w:ascii="Times New Roman" w:eastAsia="Calibri" w:hAnsi="Times New Roman" w:cs="Times New Roman"/>
          <w:sz w:val="24"/>
          <w:szCs w:val="24"/>
        </w:rPr>
        <w:t xml:space="preserve"> patients were included, risk factors for falling were investigated, and it was determined that parkinsonism was the most important factor for falling</w:t>
      </w:r>
      <w:r w:rsidR="00181876" w:rsidRPr="00C91F39">
        <w:rPr>
          <w:rFonts w:ascii="Times New Roman" w:eastAsia="Calibri" w:hAnsi="Times New Roman" w:cs="Times New Roman"/>
          <w:sz w:val="24"/>
          <w:szCs w:val="24"/>
        </w:rPr>
        <w:t>.</w:t>
      </w:r>
      <w:r w:rsidR="00181876"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5</w:t>
      </w:r>
      <w:r w:rsidR="00181876" w:rsidRPr="00C91F39">
        <w:rPr>
          <w:rFonts w:ascii="Times New Roman" w:eastAsia="Calibri" w:hAnsi="Times New Roman" w:cs="Times New Roman"/>
          <w:sz w:val="24"/>
          <w:szCs w:val="24"/>
        </w:rPr>
        <w:t xml:space="preserve"> </w:t>
      </w:r>
      <w:r w:rsidRPr="00C91F39">
        <w:rPr>
          <w:rFonts w:ascii="Times New Roman" w:eastAsia="Calibri" w:hAnsi="Times New Roman" w:cs="Times New Roman"/>
          <w:sz w:val="24"/>
          <w:szCs w:val="24"/>
        </w:rPr>
        <w:t>Additionaly, oculo-visual changes such as visual hallucinations, color vision impairment, decreased occipital lobe activity, are common in DLB and can also increase gait and balance function</w:t>
      </w:r>
      <w:r w:rsidR="006C36DA" w:rsidRPr="00C91F39">
        <w:rPr>
          <w:rFonts w:ascii="Times New Roman" w:eastAsia="Calibri" w:hAnsi="Times New Roman" w:cs="Times New Roman"/>
          <w:sz w:val="24"/>
          <w:szCs w:val="24"/>
        </w:rPr>
        <w:t>.</w:t>
      </w:r>
      <w:r w:rsidR="006C36DA"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6</w:t>
      </w:r>
      <w:r w:rsidR="006C36DA" w:rsidRPr="00C91F39">
        <w:rPr>
          <w:rFonts w:ascii="Times New Roman" w:eastAsia="Calibri" w:hAnsi="Times New Roman" w:cs="Times New Roman"/>
          <w:sz w:val="24"/>
          <w:szCs w:val="24"/>
        </w:rPr>
        <w:t xml:space="preserve"> </w:t>
      </w:r>
      <w:r w:rsidRPr="00C91F39">
        <w:rPr>
          <w:rFonts w:ascii="Times New Roman" w:eastAsia="Calibri" w:hAnsi="Times New Roman" w:cs="Times New Roman"/>
          <w:sz w:val="24"/>
          <w:szCs w:val="24"/>
        </w:rPr>
        <w:t>Moreover, the excess of drugs used in DLB, worsening of nutrition and higher sleep disorders detected in our study may also lead to higher falls, gait and balance problems in DLB.</w:t>
      </w:r>
      <w:r w:rsidR="00EB30BB"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7</w:t>
      </w:r>
      <w:r w:rsidRPr="00C91F39">
        <w:rPr>
          <w:rFonts w:ascii="Times New Roman" w:eastAsia="Calibri" w:hAnsi="Times New Roman" w:cs="Times New Roman"/>
          <w:sz w:val="24"/>
          <w:szCs w:val="24"/>
        </w:rPr>
        <w:t xml:space="preserve"> </w:t>
      </w:r>
    </w:p>
    <w:p w14:paraId="5DB51ED0" w14:textId="2C52AAAA" w:rsidR="00D95CEA" w:rsidRPr="00C91F39" w:rsidRDefault="001A206F" w:rsidP="00D95CEA">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It is not surprising that the tendency to malnutrition is high in DLB, the reasons for which are prolonged duration of swallowing food and liquids, anorexia and constipation being more frequent in DLB than AD; extrapyramidal symptoms likely to cause eating and swallowing problems; decreased adequate energy intake due to the more frequent occurrence of neuropsychiatric symptoms such as hallucinations, delusions, depression, irritability, abnormal motor behavior and decreased social interaction in DLB as well as a reduction in energy consumption.</w:t>
      </w:r>
      <w:r w:rsidR="00EB30BB" w:rsidRPr="00C91F39">
        <w:rPr>
          <w:rFonts w:ascii="Times New Roman" w:eastAsia="Calibri" w:hAnsi="Times New Roman" w:cs="Times New Roman"/>
          <w:sz w:val="24"/>
          <w:szCs w:val="24"/>
          <w:vertAlign w:val="superscript"/>
        </w:rPr>
        <w:t>1</w:t>
      </w:r>
      <w:r w:rsidR="00C87841" w:rsidRPr="00C91F39">
        <w:rPr>
          <w:rFonts w:ascii="Times New Roman" w:eastAsia="Calibri" w:hAnsi="Times New Roman" w:cs="Times New Roman"/>
          <w:sz w:val="24"/>
          <w:szCs w:val="24"/>
          <w:vertAlign w:val="superscript"/>
        </w:rPr>
        <w:t>8</w:t>
      </w:r>
      <w:r w:rsidR="00EB30BB" w:rsidRPr="00C91F39">
        <w:rPr>
          <w:rFonts w:ascii="Times New Roman" w:eastAsia="Calibri" w:hAnsi="Times New Roman" w:cs="Times New Roman"/>
          <w:sz w:val="24"/>
          <w:szCs w:val="24"/>
          <w:vertAlign w:val="superscript"/>
        </w:rPr>
        <w:t>,</w:t>
      </w:r>
      <w:r w:rsidR="00C87841" w:rsidRPr="00C91F39">
        <w:rPr>
          <w:rFonts w:ascii="Times New Roman" w:eastAsia="Calibri" w:hAnsi="Times New Roman" w:cs="Times New Roman"/>
          <w:sz w:val="24"/>
          <w:szCs w:val="24"/>
          <w:vertAlign w:val="superscript"/>
        </w:rPr>
        <w:t>20</w:t>
      </w:r>
      <w:r w:rsidR="00EB30BB" w:rsidRPr="00C91F39">
        <w:rPr>
          <w:rFonts w:ascii="Times New Roman" w:eastAsia="Calibri" w:hAnsi="Times New Roman" w:cs="Times New Roman"/>
          <w:sz w:val="24"/>
          <w:szCs w:val="24"/>
        </w:rPr>
        <w:t xml:space="preserve"> </w:t>
      </w:r>
      <w:r w:rsidR="00D93835" w:rsidRPr="00C91F39">
        <w:rPr>
          <w:rFonts w:ascii="Times New Roman" w:eastAsia="Calibri" w:hAnsi="Times New Roman" w:cs="Times New Roman"/>
          <w:sz w:val="24"/>
          <w:szCs w:val="24"/>
        </w:rPr>
        <w:t>Among the laboratory parameters, the fact that albumin is lower in DLB than in AD also supports this finding.</w:t>
      </w:r>
    </w:p>
    <w:p w14:paraId="4E4AABC0" w14:textId="25B73C69" w:rsidR="001A206F" w:rsidRPr="00C91F39" w:rsidRDefault="001A206F" w:rsidP="00D95CEA">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 xml:space="preserve">Sleep-wake cycle are common features of neurodegenerative dementia. Although REM sleep Behavior Disorder is one of the core symptoms of DLB, sleep problems are also common in AD patients; however, </w:t>
      </w:r>
      <w:r w:rsidR="00F235EB" w:rsidRPr="00C91F39">
        <w:rPr>
          <w:rFonts w:ascii="Times New Roman" w:eastAsia="Calibri" w:hAnsi="Times New Roman" w:cs="Times New Roman"/>
          <w:sz w:val="24"/>
          <w:szCs w:val="24"/>
        </w:rPr>
        <w:t xml:space="preserve">there are only two </w:t>
      </w:r>
      <w:r w:rsidRPr="00C91F39">
        <w:rPr>
          <w:rFonts w:ascii="Times New Roman" w:eastAsia="Calibri" w:hAnsi="Times New Roman" w:cs="Times New Roman"/>
          <w:sz w:val="24"/>
          <w:szCs w:val="24"/>
        </w:rPr>
        <w:t>tud</w:t>
      </w:r>
      <w:r w:rsidR="00F235EB" w:rsidRPr="00C91F39">
        <w:rPr>
          <w:rFonts w:ascii="Times New Roman" w:eastAsia="Calibri" w:hAnsi="Times New Roman" w:cs="Times New Roman"/>
          <w:sz w:val="24"/>
          <w:szCs w:val="24"/>
        </w:rPr>
        <w:t>ies</w:t>
      </w:r>
      <w:r w:rsidRPr="00C91F39">
        <w:rPr>
          <w:rFonts w:ascii="Times New Roman" w:eastAsia="Calibri" w:hAnsi="Times New Roman" w:cs="Times New Roman"/>
          <w:sz w:val="24"/>
          <w:szCs w:val="24"/>
        </w:rPr>
        <w:t xml:space="preserve"> comparing </w:t>
      </w:r>
      <w:r w:rsidR="002A2867" w:rsidRPr="00C91F39">
        <w:rPr>
          <w:rFonts w:ascii="Times New Roman" w:hAnsi="Times New Roman" w:cs="Times New Roman"/>
          <w:sz w:val="24"/>
          <w:szCs w:val="24"/>
        </w:rPr>
        <w:t>older adults</w:t>
      </w:r>
      <w:r w:rsidRPr="00C91F39">
        <w:rPr>
          <w:rFonts w:ascii="Times New Roman" w:eastAsia="Calibri" w:hAnsi="Times New Roman" w:cs="Times New Roman"/>
          <w:sz w:val="24"/>
          <w:szCs w:val="24"/>
        </w:rPr>
        <w:t xml:space="preserve"> DLB and AD patients in terms of the two most common sleep disorders, insomnia and excessive daytime sleepiness (EDS</w:t>
      </w:r>
      <w:r w:rsidR="00F235EB" w:rsidRPr="00C91F39">
        <w:rPr>
          <w:rFonts w:ascii="Times New Roman" w:eastAsia="Calibri" w:hAnsi="Times New Roman" w:cs="Times New Roman"/>
          <w:sz w:val="24"/>
          <w:szCs w:val="24"/>
        </w:rPr>
        <w:t>)</w:t>
      </w:r>
      <w:r w:rsidRPr="00C91F39">
        <w:rPr>
          <w:rFonts w:ascii="Times New Roman" w:eastAsia="Calibri" w:hAnsi="Times New Roman" w:cs="Times New Roman"/>
          <w:sz w:val="24"/>
          <w:szCs w:val="24"/>
        </w:rPr>
        <w:t>.</w:t>
      </w:r>
      <w:r w:rsidR="00A81D77"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8</w:t>
      </w:r>
      <w:r w:rsidR="005E3317"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9</w:t>
      </w:r>
      <w:r w:rsidR="005E3317" w:rsidRPr="00C91F39">
        <w:rPr>
          <w:rFonts w:ascii="Times New Roman" w:eastAsia="Calibri" w:hAnsi="Times New Roman" w:cs="Times New Roman"/>
          <w:sz w:val="24"/>
          <w:szCs w:val="24"/>
        </w:rPr>
        <w:t xml:space="preserve"> </w:t>
      </w:r>
      <w:r w:rsidRPr="00C91F39">
        <w:rPr>
          <w:rFonts w:ascii="Times New Roman" w:eastAsia="Calibri" w:hAnsi="Times New Roman" w:cs="Times New Roman"/>
          <w:sz w:val="24"/>
          <w:szCs w:val="24"/>
        </w:rPr>
        <w:t xml:space="preserve">In these studies, especially in which EDS was investigated further, it was indicated that the regions that affect the sleep cycle in DLB </w:t>
      </w:r>
      <w:r w:rsidR="00F235EB" w:rsidRPr="00C91F39">
        <w:rPr>
          <w:rFonts w:ascii="Times New Roman" w:eastAsia="Calibri" w:hAnsi="Times New Roman" w:cs="Times New Roman"/>
          <w:sz w:val="24"/>
          <w:szCs w:val="24"/>
        </w:rPr>
        <w:t>include</w:t>
      </w:r>
      <w:r w:rsidRPr="00C91F39">
        <w:rPr>
          <w:rFonts w:ascii="Times New Roman" w:eastAsia="Calibri" w:hAnsi="Times New Roman" w:cs="Times New Roman"/>
          <w:sz w:val="24"/>
          <w:szCs w:val="24"/>
        </w:rPr>
        <w:t xml:space="preserve"> locus coeruleus, raphe nucleus, tuberomamillary nucleus of the hypothalamus and the associated ascending reticular activating system.</w:t>
      </w:r>
      <w:r w:rsidR="00C87841" w:rsidRPr="00C91F39">
        <w:rPr>
          <w:rFonts w:ascii="Times New Roman" w:eastAsia="Calibri" w:hAnsi="Times New Roman" w:cs="Times New Roman"/>
          <w:sz w:val="24"/>
          <w:szCs w:val="24"/>
          <w:vertAlign w:val="superscript"/>
        </w:rPr>
        <w:t>30</w:t>
      </w:r>
      <w:r w:rsidRPr="00C91F39">
        <w:rPr>
          <w:rFonts w:ascii="Times New Roman" w:eastAsia="Calibri" w:hAnsi="Times New Roman" w:cs="Times New Roman"/>
          <w:sz w:val="24"/>
          <w:szCs w:val="24"/>
        </w:rPr>
        <w:t xml:space="preserve"> Furthermore, the decrease in the level of the hypocretin</w:t>
      </w:r>
      <w:r w:rsidR="00D26059" w:rsidRPr="00C91F39">
        <w:rPr>
          <w:rFonts w:ascii="Times New Roman" w:eastAsia="Calibri" w:hAnsi="Times New Roman" w:cs="Times New Roman"/>
          <w:sz w:val="24"/>
          <w:szCs w:val="24"/>
        </w:rPr>
        <w:t xml:space="preserve"> hormone</w:t>
      </w:r>
      <w:r w:rsidRPr="00C91F39">
        <w:rPr>
          <w:rFonts w:ascii="Times New Roman" w:eastAsia="Calibri" w:hAnsi="Times New Roman" w:cs="Times New Roman"/>
          <w:sz w:val="24"/>
          <w:szCs w:val="24"/>
        </w:rPr>
        <w:t xml:space="preserve">, which provides </w:t>
      </w:r>
      <w:r w:rsidRPr="00C91F39">
        <w:rPr>
          <w:rFonts w:ascii="Times New Roman" w:eastAsia="Calibri" w:hAnsi="Times New Roman" w:cs="Times New Roman"/>
          <w:sz w:val="24"/>
          <w:szCs w:val="24"/>
        </w:rPr>
        <w:lastRenderedPageBreak/>
        <w:t xml:space="preserve">daytime wakefulness, in DLB may cause EDS to be seen more commonly </w:t>
      </w:r>
      <w:r w:rsidR="00D26059" w:rsidRPr="00C91F39">
        <w:rPr>
          <w:rFonts w:ascii="Times New Roman" w:eastAsia="Calibri" w:hAnsi="Times New Roman" w:cs="Times New Roman"/>
          <w:sz w:val="24"/>
          <w:szCs w:val="24"/>
        </w:rPr>
        <w:t>than in AD</w:t>
      </w:r>
      <w:r w:rsidRPr="00C91F39">
        <w:rPr>
          <w:rFonts w:ascii="Times New Roman" w:eastAsia="Calibri" w:hAnsi="Times New Roman" w:cs="Times New Roman"/>
          <w:sz w:val="24"/>
          <w:szCs w:val="24"/>
        </w:rPr>
        <w:t>.</w:t>
      </w:r>
      <w:r w:rsidR="00C87841" w:rsidRPr="00C91F39">
        <w:rPr>
          <w:rFonts w:ascii="Times New Roman" w:eastAsia="Calibri" w:hAnsi="Times New Roman" w:cs="Times New Roman"/>
          <w:sz w:val="24"/>
          <w:szCs w:val="24"/>
          <w:vertAlign w:val="superscript"/>
        </w:rPr>
        <w:t>31</w:t>
      </w:r>
      <w:r w:rsidRPr="00C91F39">
        <w:rPr>
          <w:rFonts w:ascii="Times New Roman" w:eastAsia="Calibri" w:hAnsi="Times New Roman" w:cs="Times New Roman"/>
          <w:sz w:val="24"/>
          <w:szCs w:val="24"/>
        </w:rPr>
        <w:t xml:space="preserve"> Although it is known that insomnia is common in neurodegenerative diseases, there is no study comparing it in DLB and AD. Decreased night sleep due to EDS in DLB or high RUDB and nutritional deficiencies in DLB may cause insomnia to be seen more frequently</w:t>
      </w:r>
      <w:r w:rsidR="00AF7A91" w:rsidRPr="00C91F39">
        <w:rPr>
          <w:rFonts w:ascii="Times New Roman" w:eastAsia="Calibri" w:hAnsi="Times New Roman" w:cs="Times New Roman"/>
          <w:sz w:val="24"/>
          <w:szCs w:val="24"/>
        </w:rPr>
        <w:t>.</w:t>
      </w:r>
      <w:r w:rsidR="00AF7A91" w:rsidRPr="00C91F39">
        <w:rPr>
          <w:rFonts w:ascii="Times New Roman" w:eastAsia="Calibri" w:hAnsi="Times New Roman" w:cs="Times New Roman"/>
          <w:sz w:val="24"/>
          <w:szCs w:val="24"/>
          <w:vertAlign w:val="superscript"/>
        </w:rPr>
        <w:t>2</w:t>
      </w:r>
      <w:r w:rsidR="00C87841" w:rsidRPr="00C91F39">
        <w:rPr>
          <w:rFonts w:ascii="Times New Roman" w:eastAsia="Calibri" w:hAnsi="Times New Roman" w:cs="Times New Roman"/>
          <w:sz w:val="24"/>
          <w:szCs w:val="24"/>
          <w:vertAlign w:val="superscript"/>
        </w:rPr>
        <w:t>8</w:t>
      </w:r>
      <w:r w:rsidR="00694856" w:rsidRPr="00C91F39">
        <w:rPr>
          <w:rFonts w:ascii="Times New Roman" w:eastAsia="Calibri" w:hAnsi="Times New Roman" w:cs="Times New Roman"/>
          <w:sz w:val="24"/>
          <w:szCs w:val="24"/>
          <w:vertAlign w:val="superscript"/>
        </w:rPr>
        <w:t>,3</w:t>
      </w:r>
      <w:r w:rsidR="00C87841" w:rsidRPr="00C91F39">
        <w:rPr>
          <w:rFonts w:ascii="Times New Roman" w:eastAsia="Calibri" w:hAnsi="Times New Roman" w:cs="Times New Roman"/>
          <w:sz w:val="24"/>
          <w:szCs w:val="24"/>
          <w:vertAlign w:val="superscript"/>
        </w:rPr>
        <w:t>2</w:t>
      </w:r>
      <w:r w:rsidRPr="00C91F39">
        <w:rPr>
          <w:rFonts w:ascii="Times New Roman" w:eastAsia="Calibri" w:hAnsi="Times New Roman" w:cs="Times New Roman"/>
          <w:sz w:val="24"/>
          <w:szCs w:val="24"/>
        </w:rPr>
        <w:t xml:space="preserve"> </w:t>
      </w:r>
    </w:p>
    <w:p w14:paraId="21ABB6F3" w14:textId="28B2EC70" w:rsidR="001A206F" w:rsidRPr="00C91F39" w:rsidRDefault="001A206F" w:rsidP="00D95CEA">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Polypharmacy, one of the most important issues in geriatric practice, accelerates polypharmacy functional decline in both DLB and AD</w:t>
      </w:r>
      <w:r w:rsidR="00CC7BF3" w:rsidRPr="00C91F39">
        <w:rPr>
          <w:rFonts w:ascii="Times New Roman" w:eastAsia="Calibri" w:hAnsi="Times New Roman" w:cs="Times New Roman"/>
          <w:sz w:val="24"/>
          <w:szCs w:val="24"/>
        </w:rPr>
        <w:t>,</w:t>
      </w:r>
      <w:r w:rsidR="00CC7BF3" w:rsidRPr="00C91F39">
        <w:rPr>
          <w:rFonts w:ascii="Times New Roman" w:eastAsia="Calibri" w:hAnsi="Times New Roman" w:cs="Times New Roman"/>
          <w:sz w:val="24"/>
          <w:szCs w:val="24"/>
          <w:vertAlign w:val="superscript"/>
        </w:rPr>
        <w:t>3</w:t>
      </w:r>
      <w:r w:rsidR="005D7E2F" w:rsidRPr="00C91F39">
        <w:rPr>
          <w:rFonts w:ascii="Times New Roman" w:eastAsia="Calibri" w:hAnsi="Times New Roman" w:cs="Times New Roman"/>
          <w:sz w:val="24"/>
          <w:szCs w:val="24"/>
          <w:vertAlign w:val="superscript"/>
        </w:rPr>
        <w:t>3</w:t>
      </w:r>
      <w:r w:rsidRPr="00C91F39">
        <w:rPr>
          <w:rFonts w:ascii="Times New Roman" w:eastAsia="Calibri" w:hAnsi="Times New Roman" w:cs="Times New Roman"/>
          <w:sz w:val="24"/>
          <w:szCs w:val="24"/>
        </w:rPr>
        <w:t xml:space="preserve"> however, drug use was found to be higher in </w:t>
      </w:r>
      <w:r w:rsidR="002A2867" w:rsidRPr="00C91F39">
        <w:rPr>
          <w:rFonts w:ascii="Times New Roman" w:hAnsi="Times New Roman" w:cs="Times New Roman"/>
          <w:sz w:val="24"/>
          <w:szCs w:val="24"/>
        </w:rPr>
        <w:t>older adults</w:t>
      </w:r>
      <w:r w:rsidRPr="00C91F39">
        <w:rPr>
          <w:rFonts w:ascii="Times New Roman" w:eastAsia="Calibri" w:hAnsi="Times New Roman" w:cs="Times New Roman"/>
          <w:sz w:val="24"/>
          <w:szCs w:val="24"/>
        </w:rPr>
        <w:t xml:space="preserve"> DLB patients in our study. Prevalence of neuropsychiatric symptoms, sleep disorders and parkinsonism findings in DLB; having to add drugs to the treatment for each of them; and the fact that coronary artery disease was observed more commonly in DLB in our study, may cause the total number of drugs to be higher than AD. </w:t>
      </w:r>
    </w:p>
    <w:p w14:paraId="539645B8" w14:textId="1A9532E1" w:rsidR="001A206F" w:rsidRPr="00C91F39" w:rsidRDefault="00D26059" w:rsidP="001A206F">
      <w:pPr>
        <w:spacing w:line="360" w:lineRule="auto"/>
        <w:jc w:val="both"/>
        <w:rPr>
          <w:rFonts w:ascii="Times New Roman" w:eastAsia="Calibri" w:hAnsi="Times New Roman" w:cs="Times New Roman"/>
          <w:sz w:val="24"/>
          <w:szCs w:val="24"/>
        </w:rPr>
      </w:pPr>
      <w:r w:rsidRPr="00C91F39">
        <w:rPr>
          <w:rFonts w:ascii="Times New Roman" w:eastAsia="Calibri" w:hAnsi="Times New Roman" w:cs="Times New Roman"/>
          <w:sz w:val="24"/>
          <w:szCs w:val="24"/>
        </w:rPr>
        <w:t>Findings from this study must be interpreted in light of its limitations</w:t>
      </w:r>
      <w:r w:rsidR="001A206F" w:rsidRPr="00C91F39">
        <w:rPr>
          <w:rFonts w:ascii="Times New Roman" w:eastAsia="Calibri" w:hAnsi="Times New Roman" w:cs="Times New Roman"/>
          <w:sz w:val="24"/>
          <w:szCs w:val="24"/>
        </w:rPr>
        <w:t xml:space="preserve">. First, the study was designed as cross-sectional. Second, a formal assessment of extrapyramidal symptoms, such as the Unified Parkinson's Disease Rating Scale, could not be performed or clinical features/domains of DLB were not detailed. Third, no actigraphy or polysomnography was used for sleep disorders; instead, validated scales were used and evaluations were made according to the information received from the caregivers. The strengths of the study </w:t>
      </w:r>
      <w:r w:rsidRPr="00C91F39">
        <w:rPr>
          <w:rFonts w:ascii="Times New Roman" w:eastAsia="Calibri" w:hAnsi="Times New Roman" w:cs="Times New Roman"/>
          <w:sz w:val="24"/>
          <w:szCs w:val="24"/>
        </w:rPr>
        <w:t>include</w:t>
      </w:r>
      <w:r w:rsidR="000A59D1" w:rsidRPr="00C91F39">
        <w:rPr>
          <w:rFonts w:ascii="Times New Roman" w:eastAsia="Calibri" w:hAnsi="Times New Roman" w:cs="Times New Roman"/>
          <w:sz w:val="24"/>
          <w:szCs w:val="24"/>
        </w:rPr>
        <w:t xml:space="preserve"> </w:t>
      </w:r>
      <w:r w:rsidR="001A206F" w:rsidRPr="00C91F39">
        <w:rPr>
          <w:rFonts w:ascii="Times New Roman" w:eastAsia="Calibri" w:hAnsi="Times New Roman" w:cs="Times New Roman"/>
          <w:sz w:val="24"/>
          <w:szCs w:val="24"/>
        </w:rPr>
        <w:t xml:space="preserve">the adequate number of samples and the evaluation of many parameters important for geriatric practice. </w:t>
      </w:r>
      <w:r w:rsidR="000A59D1" w:rsidRPr="00C91F39">
        <w:rPr>
          <w:rFonts w:ascii="Times New Roman" w:eastAsia="Calibri" w:hAnsi="Times New Roman" w:cs="Times New Roman"/>
          <w:sz w:val="24"/>
          <w:szCs w:val="24"/>
        </w:rPr>
        <w:t>In this study we were to able to exclude all the factors affecting cognitive functions and geriatric assessment parameters, since laboratory parameters</w:t>
      </w:r>
      <w:r w:rsidR="00671064" w:rsidRPr="00C91F39">
        <w:rPr>
          <w:rFonts w:ascii="Times New Roman" w:eastAsia="Calibri" w:hAnsi="Times New Roman" w:cs="Times New Roman"/>
          <w:sz w:val="24"/>
          <w:szCs w:val="24"/>
        </w:rPr>
        <w:t xml:space="preserve">, such as vitamin levels, kidney functions </w:t>
      </w:r>
      <w:r w:rsidR="000A59D1" w:rsidRPr="00C91F39">
        <w:rPr>
          <w:rFonts w:ascii="Times New Roman" w:eastAsia="Calibri" w:hAnsi="Times New Roman" w:cs="Times New Roman"/>
          <w:sz w:val="24"/>
          <w:szCs w:val="24"/>
        </w:rPr>
        <w:t>were detailed. </w:t>
      </w:r>
    </w:p>
    <w:p w14:paraId="12C007EE" w14:textId="30D0D2F4" w:rsidR="00DE57B8" w:rsidRPr="00C91F39" w:rsidRDefault="001A206F" w:rsidP="00D95CEA">
      <w:pPr>
        <w:spacing w:line="360" w:lineRule="auto"/>
        <w:jc w:val="both"/>
        <w:rPr>
          <w:rFonts w:ascii="Times New Roman" w:eastAsia="Calibri" w:hAnsi="Times New Roman" w:cs="Times New Roman"/>
          <w:sz w:val="24"/>
          <w:szCs w:val="24"/>
          <w:shd w:val="clear" w:color="auto" w:fill="FFFFFF"/>
        </w:rPr>
      </w:pPr>
      <w:r w:rsidRPr="00C91F39">
        <w:rPr>
          <w:rFonts w:ascii="Times New Roman" w:eastAsia="Calibri" w:hAnsi="Times New Roman" w:cs="Times New Roman"/>
          <w:sz w:val="24"/>
          <w:szCs w:val="24"/>
          <w:shd w:val="clear" w:color="auto" w:fill="FFFFFF"/>
        </w:rPr>
        <w:t xml:space="preserve">In conclusion, older DLB patients are more dependent on activities of daily living than older AD patients. </w:t>
      </w:r>
      <w:r w:rsidR="00D26059" w:rsidRPr="00C91F39">
        <w:rPr>
          <w:rFonts w:ascii="Times New Roman" w:eastAsia="Calibri" w:hAnsi="Times New Roman" w:cs="Times New Roman"/>
          <w:sz w:val="24"/>
          <w:szCs w:val="24"/>
          <w:shd w:val="clear" w:color="auto" w:fill="FFFFFF"/>
        </w:rPr>
        <w:t>Moreover</w:t>
      </w:r>
      <w:r w:rsidRPr="00C91F39">
        <w:rPr>
          <w:rFonts w:ascii="Times New Roman" w:eastAsia="Calibri" w:hAnsi="Times New Roman" w:cs="Times New Roman"/>
          <w:sz w:val="24"/>
          <w:szCs w:val="24"/>
          <w:shd w:val="clear" w:color="auto" w:fill="FFFFFF"/>
        </w:rPr>
        <w:t xml:space="preserve">, multiple drug use, nutritional problems, recurrent falls, gait and balance problems, and sleep disorders are more common in DLB patients than in AD patients. Therefore, especially older DLB patients require special attention and follow-up. For this reason, it is important to follow up </w:t>
      </w:r>
      <w:r w:rsidR="002A2867" w:rsidRPr="00C91F39">
        <w:rPr>
          <w:rFonts w:ascii="Times New Roman" w:hAnsi="Times New Roman" w:cs="Times New Roman"/>
          <w:sz w:val="24"/>
          <w:szCs w:val="24"/>
        </w:rPr>
        <w:t>older adults</w:t>
      </w:r>
      <w:r w:rsidRPr="00C91F39">
        <w:rPr>
          <w:rFonts w:ascii="Times New Roman" w:eastAsia="Calibri" w:hAnsi="Times New Roman" w:cs="Times New Roman"/>
          <w:sz w:val="24"/>
          <w:szCs w:val="24"/>
          <w:shd w:val="clear" w:color="auto" w:fill="FFFFFF"/>
        </w:rPr>
        <w:t xml:space="preserve"> dementia patients, especially DLB patients, with a multidisciplinary approach and from a geriatrician perspective.</w:t>
      </w:r>
    </w:p>
    <w:p w14:paraId="09AB7519" w14:textId="77777777" w:rsidR="00B13241" w:rsidRPr="00C91F39" w:rsidRDefault="00B13241" w:rsidP="00B13241">
      <w:pPr>
        <w:spacing w:line="360" w:lineRule="auto"/>
        <w:jc w:val="both"/>
        <w:rPr>
          <w:rFonts w:ascii="Times New Roman" w:eastAsia="Calibri" w:hAnsi="Times New Roman" w:cs="Times New Roman"/>
          <w:b/>
          <w:bCs/>
          <w:sz w:val="24"/>
          <w:szCs w:val="24"/>
          <w:shd w:val="clear" w:color="auto" w:fill="FFFFFF"/>
          <w:lang w:val="en-US"/>
        </w:rPr>
      </w:pPr>
      <w:r w:rsidRPr="00C91F39">
        <w:rPr>
          <w:rFonts w:ascii="Times New Roman" w:eastAsia="Calibri" w:hAnsi="Times New Roman" w:cs="Times New Roman"/>
          <w:b/>
          <w:bCs/>
          <w:sz w:val="24"/>
          <w:szCs w:val="24"/>
          <w:shd w:val="clear" w:color="auto" w:fill="FFFFFF"/>
          <w:lang w:val="en-US"/>
        </w:rPr>
        <w:t>Acknowledgments</w:t>
      </w:r>
    </w:p>
    <w:p w14:paraId="6D9375BD" w14:textId="698E4232" w:rsidR="00B13241" w:rsidRPr="00C91F39" w:rsidRDefault="00B13241" w:rsidP="00B13241">
      <w:pPr>
        <w:spacing w:line="360" w:lineRule="auto"/>
        <w:jc w:val="both"/>
        <w:rPr>
          <w:rFonts w:ascii="Times New Roman" w:eastAsia="Calibri" w:hAnsi="Times New Roman" w:cs="Times New Roman"/>
          <w:b/>
          <w:bCs/>
          <w:sz w:val="24"/>
          <w:szCs w:val="24"/>
          <w:lang w:val="en-US"/>
        </w:rPr>
      </w:pPr>
      <w:r w:rsidRPr="00C91F39">
        <w:rPr>
          <w:rFonts w:ascii="Times New Roman" w:eastAsia="Calibri" w:hAnsi="Times New Roman" w:cs="Times New Roman"/>
          <w:b/>
          <w:bCs/>
          <w:sz w:val="24"/>
          <w:szCs w:val="24"/>
          <w:shd w:val="clear" w:color="auto" w:fill="FFFFFF"/>
          <w:lang w:val="en-US"/>
        </w:rPr>
        <w:t>Authorship:</w:t>
      </w:r>
      <w:r w:rsidRPr="00C91F39">
        <w:rPr>
          <w:rFonts w:ascii="Times New Roman" w:eastAsia="Calibri" w:hAnsi="Times New Roman" w:cs="Times New Roman"/>
          <w:bCs/>
          <w:sz w:val="24"/>
          <w:szCs w:val="24"/>
          <w:lang w:val="en-GB"/>
        </w:rPr>
        <w:t xml:space="preserve"> The contribution of each author: Design study: PS practical performance: PS, SKO; data analysis: PS, SKO; preparation manuscript: PS, SKO, FU; critical review manuscript: LS. All authors contributed to the draft and revision of the manuscript and approved the version to be published.</w:t>
      </w:r>
    </w:p>
    <w:p w14:paraId="5B787BB7" w14:textId="77777777" w:rsidR="00B13241" w:rsidRPr="00C91F39" w:rsidRDefault="00B13241" w:rsidP="00B13241">
      <w:pPr>
        <w:spacing w:line="360" w:lineRule="auto"/>
        <w:jc w:val="both"/>
        <w:rPr>
          <w:rFonts w:ascii="Times New Roman" w:eastAsia="Calibri" w:hAnsi="Times New Roman" w:cs="Times New Roman"/>
          <w:sz w:val="24"/>
          <w:szCs w:val="24"/>
          <w:shd w:val="clear" w:color="auto" w:fill="FFFFFF"/>
          <w:lang w:val="en-US"/>
        </w:rPr>
      </w:pPr>
      <w:r w:rsidRPr="00C91F39">
        <w:rPr>
          <w:rFonts w:ascii="Times New Roman" w:eastAsia="Calibri" w:hAnsi="Times New Roman" w:cs="Times New Roman"/>
          <w:b/>
          <w:bCs/>
          <w:sz w:val="24"/>
          <w:szCs w:val="24"/>
          <w:shd w:val="clear" w:color="auto" w:fill="FFFFFF"/>
          <w:lang w:val="en-US"/>
        </w:rPr>
        <w:lastRenderedPageBreak/>
        <w:t>Grants and funding:</w:t>
      </w:r>
      <w:r w:rsidRPr="00C91F39">
        <w:rPr>
          <w:rFonts w:ascii="Times New Roman" w:eastAsia="Calibri" w:hAnsi="Times New Roman" w:cs="Times New Roman"/>
          <w:sz w:val="24"/>
          <w:szCs w:val="24"/>
          <w:shd w:val="clear" w:color="auto" w:fill="FFFFFF"/>
          <w:lang w:val="en-US"/>
        </w:rPr>
        <w:t xml:space="preserve">  No </w:t>
      </w:r>
    </w:p>
    <w:p w14:paraId="382F032F" w14:textId="77777777" w:rsidR="00B13241" w:rsidRPr="00C91F39" w:rsidRDefault="00B13241" w:rsidP="00B13241">
      <w:pPr>
        <w:spacing w:line="360" w:lineRule="auto"/>
        <w:jc w:val="both"/>
        <w:rPr>
          <w:rFonts w:ascii="Times New Roman" w:eastAsia="Calibri" w:hAnsi="Times New Roman" w:cs="Times New Roman"/>
          <w:sz w:val="24"/>
          <w:szCs w:val="24"/>
          <w:shd w:val="clear" w:color="auto" w:fill="FFFFFF"/>
          <w:lang w:val="en-US"/>
        </w:rPr>
      </w:pPr>
      <w:r w:rsidRPr="00C91F39">
        <w:rPr>
          <w:rFonts w:ascii="Times New Roman" w:eastAsia="Calibri" w:hAnsi="Times New Roman" w:cs="Times New Roman"/>
          <w:b/>
          <w:bCs/>
          <w:sz w:val="24"/>
          <w:szCs w:val="24"/>
          <w:shd w:val="clear" w:color="auto" w:fill="FFFFFF"/>
          <w:lang w:val="en-US"/>
        </w:rPr>
        <w:t xml:space="preserve">Conflict of interest statement: </w:t>
      </w:r>
      <w:r w:rsidRPr="00C91F39">
        <w:rPr>
          <w:rFonts w:ascii="Times New Roman" w:eastAsia="Calibri" w:hAnsi="Times New Roman" w:cs="Times New Roman"/>
          <w:sz w:val="24"/>
          <w:szCs w:val="24"/>
          <w:shd w:val="clear" w:color="auto" w:fill="FFFFFF"/>
          <w:lang w:val="en-US"/>
        </w:rPr>
        <w:t xml:space="preserve">No </w:t>
      </w:r>
    </w:p>
    <w:p w14:paraId="6CD064BE" w14:textId="689D1D6C" w:rsidR="00B13241" w:rsidRPr="00C91F39" w:rsidRDefault="00B13241" w:rsidP="00D95CEA">
      <w:pPr>
        <w:spacing w:line="360" w:lineRule="auto"/>
        <w:jc w:val="both"/>
        <w:rPr>
          <w:rFonts w:ascii="Times New Roman" w:eastAsia="Calibri" w:hAnsi="Times New Roman" w:cs="Times New Roman"/>
          <w:sz w:val="24"/>
          <w:szCs w:val="24"/>
          <w:shd w:val="clear" w:color="auto" w:fill="FFFFFF"/>
        </w:rPr>
      </w:pPr>
    </w:p>
    <w:p w14:paraId="58B03261" w14:textId="77777777" w:rsidR="00F66473" w:rsidRPr="00C91F39" w:rsidRDefault="00F66473" w:rsidP="002E2B80">
      <w:pPr>
        <w:spacing w:line="360" w:lineRule="auto"/>
        <w:rPr>
          <w:rFonts w:ascii="Times New Roman" w:eastAsia="Calibri" w:hAnsi="Times New Roman" w:cs="Times New Roman"/>
          <w:sz w:val="24"/>
          <w:szCs w:val="24"/>
          <w:shd w:val="clear" w:color="auto" w:fill="FFFFFF"/>
        </w:rPr>
      </w:pPr>
    </w:p>
    <w:p w14:paraId="3869F299" w14:textId="1578DC82" w:rsidR="002E2B80" w:rsidRPr="00C91F39" w:rsidRDefault="002E2B80" w:rsidP="002E2B80">
      <w:pPr>
        <w:spacing w:line="360" w:lineRule="auto"/>
        <w:rPr>
          <w:rFonts w:ascii="Times New Roman" w:hAnsi="Times New Roman" w:cs="Times New Roman"/>
          <w:b/>
          <w:bCs/>
        </w:rPr>
      </w:pPr>
      <w:r w:rsidRPr="00C91F39">
        <w:rPr>
          <w:rFonts w:ascii="Times New Roman" w:hAnsi="Times New Roman" w:cs="Times New Roman"/>
          <w:b/>
          <w:bCs/>
        </w:rPr>
        <w:t>References</w:t>
      </w:r>
    </w:p>
    <w:p w14:paraId="538CA26F"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b/>
          <w:bCs/>
          <w:sz w:val="28"/>
          <w:szCs w:val="28"/>
        </w:rPr>
      </w:pPr>
      <w:r w:rsidRPr="00C91F39">
        <w:rPr>
          <w:rFonts w:ascii="Times New Roman" w:hAnsi="Times New Roman" w:cs="Times New Roman"/>
          <w:shd w:val="clear" w:color="auto" w:fill="FFFFFF"/>
        </w:rPr>
        <w:t>Monica Moore MSG, Díaz-Santos M, Vossel K. Alzheimer’s Association 2021. Facts and Figures Report.</w:t>
      </w:r>
    </w:p>
    <w:p w14:paraId="554067C5"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Kane JP, Surendranathan A, Bentley A, Barker SA, Taylor JP, Thomas AJ et al. Clinical prevalence of Lewy body dementia. Alzheimers Res Ther 2018;10:1-8.</w:t>
      </w:r>
    </w:p>
    <w:p w14:paraId="22D9DC8A" w14:textId="738E7A08"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Mueller C, Soysal P, Rongve A, Isik AT, Thompson T, Maggi S</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Survival time and differences between dementia with Lewy bodies and Alzheimer’s disease following diagnosis: A meta-analysis of longitudinal studies. Ageing Res Rev 2019; 50:72-80.</w:t>
      </w:r>
    </w:p>
    <w:p w14:paraId="1AEE6A29"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Lee CY, Cheng SJ, Lin HC, Liao Y, Chen PH. Quality of life in patients with Dementia with Lewy Bodies. Behav Neurol 2018;2018:8320901.</w:t>
      </w:r>
    </w:p>
    <w:p w14:paraId="476B5A12"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Bjoerke-Bertheussen J, Ehrt U, Rongve A, Ballard C, Aarsland D. Neuropsychiatric symptoms in mild dementia with Lewy bodies and Alzheimer’s disease. Dement Geriatr Cogn Disord 2012;34:1-6.</w:t>
      </w:r>
    </w:p>
    <w:p w14:paraId="7C6B40B3" w14:textId="313FA5EA"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McKeith IG, Rowan E, Askew K, Naidu A, Allan L, Barnett N</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More severe functional impairment in dementia with lewy bodies than Alzheimer disease is related to extrapyramidal motor dysfunction. Am J Geriatr Psychiatry 2006;14:582-588.</w:t>
      </w:r>
    </w:p>
    <w:p w14:paraId="399DFCE7" w14:textId="36F9CF85"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Gill DP, Hubbard RA, Koepsell TD, Borrie MJ, Petrella RJ, Knopman DS</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Differences in rate of functional decline across three dementia types. Alzheimers Dement 2013;9:S63-S71.</w:t>
      </w:r>
    </w:p>
    <w:p w14:paraId="7CFBF6B7"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Bulut EA, Soysal P, Isik AT. Frequency and coincidence of geriatric syndromes according to age groups: single-center experience in Turkey between 2013 and 2017. Clin Interv Aging 2018;13:1899-1905.</w:t>
      </w:r>
    </w:p>
    <w:p w14:paraId="6934D1A6"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Soysal P, Tan SG. The prevalence and co-incidence of geriatric syndromes in older patients with early-stage Alzheimer’s disease and dementia with Lewy bodies. Aging Clin Exp Res 2021;33:2599-2603.</w:t>
      </w:r>
    </w:p>
    <w:p w14:paraId="2A5BC138" w14:textId="7E2344ED"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McKeith IG, Boeve BF, Dickson DW, Halliday G, Taylor JP, Weintraub D</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Diagnosis and management of dementia with Lewy bodies: Fourth consensus report of the DLB Consortium. Neurology 2017;89:88-100.</w:t>
      </w:r>
    </w:p>
    <w:p w14:paraId="1D105B1C" w14:textId="595E924B" w:rsidR="002E2B80" w:rsidRPr="00C91F39" w:rsidRDefault="002E2B80" w:rsidP="00C87841">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McKhann G., Knopman DS, Chertkow H, Hyman BT, Jack CR, Kawas CH</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The diagnosis of dementia due to Alzheimer’s disease: Recommendations from the National Institute on </w:t>
      </w:r>
      <w:r w:rsidRPr="00C91F39">
        <w:rPr>
          <w:rFonts w:ascii="Times New Roman" w:hAnsi="Times New Roman" w:cs="Times New Roman"/>
          <w:shd w:val="clear" w:color="auto" w:fill="FFFFFF"/>
        </w:rPr>
        <w:lastRenderedPageBreak/>
        <w:t>Aging-Alzheimer’s Association workgroups on diagnostic guidelines for Alzheimer’s disease. Alzheimers Dement 2011;7:263–269.</w:t>
      </w:r>
    </w:p>
    <w:p w14:paraId="44FF9D20" w14:textId="77777777" w:rsidR="00C87841" w:rsidRPr="00C91F39" w:rsidRDefault="00C87841" w:rsidP="00C87841">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Folstein MF, Folstein SE and McHugh PR. “Mini-mental state”. A practical method for grading the cognitive state of patients for the clinician. J Psychiatr Res 1975;12,189–198.</w:t>
      </w:r>
    </w:p>
    <w:p w14:paraId="1C1F2E46" w14:textId="40F84459" w:rsidR="00C87841" w:rsidRPr="00C91F39" w:rsidRDefault="00C87841" w:rsidP="00C87841">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Nasreddine ZS, Phillips NA, Bédirian V, Charbonneau S, Whitehead V, Collin I, et al. The Montreal cognitive assessment, MoCA: a brief screening tool for mild cognitive impairment. J Am Geriatr Soc 2005;53,695–699.</w:t>
      </w:r>
    </w:p>
    <w:p w14:paraId="17840BE1"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Koc Okudur S, Soysal P. Excessive Daytime Sleepiness is Associated With Malnutrition, Dysphagia, and Vitamin D Deficiency in Older Adults. J Am Med Dir Assoc 2021;22:2134-2139.</w:t>
      </w:r>
    </w:p>
    <w:p w14:paraId="3FC86DE3"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Strini V, Piazzetta N, Gallo A, Schiavolin R. Barthel Index: creation and validation of two cut-offs using the BRASS Index. Acta Biomed 2020;91(2-S):19–26.</w:t>
      </w:r>
    </w:p>
    <w:p w14:paraId="072C6B52"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Isik EI, Yilmaz S, Uysal I, Basar S. Adaptation of the Lawton Instrumental Activities of Daily Living Scale to Turkish: Validity and Reliability Study. Ann Geriatr Med Res 2020;24:35–40.</w:t>
      </w:r>
    </w:p>
    <w:p w14:paraId="4E1DD1B3"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Lawton M, Brody E. Assessment of older people: self-maintaining and instrumental activities of daily living. Gerontologist 1969;9:179-86.</w:t>
      </w:r>
    </w:p>
    <w:p w14:paraId="6902A09C" w14:textId="4442117F"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Soysal P, Tan SG, Rogowska, M, Jawad S, Smith L, Veronese N</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Weight loss in Alzheimer's disease, vascular dementia and dementia with Lewy bodies: Impact on mortality and hospitalization by dementia subtype. Int J Geriatr Psychiatry 2022;37(2).</w:t>
      </w:r>
    </w:p>
    <w:p w14:paraId="24D85FAF"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Soysal P, Tan SG, Smith L. A comparison of the prevalence of Fear of Falling between older patients with Lewy body dementia, Alzheimer's disease, and without dementia. Exp Gerontol 2021;146:111248.</w:t>
      </w:r>
    </w:p>
    <w:p w14:paraId="1BDB7C57"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Soysal P, Dokuzlar O, Erken N, Günay FSD, Isik AT. The relationship between dementia subtypes and nutritional parameters in older adultsJ Am Med Dir Assoc 2020;21:1430-1435.</w:t>
      </w:r>
    </w:p>
    <w:p w14:paraId="4E3DDF2F"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Svendsboe E, Terum T, Testad I, Aarsland D, Ulstein I, Corbett A et al. Caregiver burden in family carers of people with dementia with Lewy bodies and Alzheimer's disease. Int J Geriatr Psychiatry 2016;31:1075-1083.</w:t>
      </w:r>
    </w:p>
    <w:p w14:paraId="36A7F627" w14:textId="111350EA"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Hamilton JM, Salmon DP, Raman R, Hansen LA, Masliah E, Peavy GM</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Accounting for functional loss in Alzheimer's disease and dementia with Lewy bodies: beyond cognition. Alzheimers Dement 2014;10:171-178.</w:t>
      </w:r>
    </w:p>
    <w:p w14:paraId="649AF51B" w14:textId="1144A6CD"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Stavitsky K, Brickman AM, Scarmeas N, Torgan RL, Tang MX, Albert M</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The progression of cognition, psychiatric symptoms, and functional abilities in dementia with Lewy bodies and Alzheimer disease. Arch Neurol 2006;63:1450-1456.</w:t>
      </w:r>
    </w:p>
    <w:p w14:paraId="27B9FCD4"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Peeters G, Feeney J, Carey D, Kennelly S, Kenny RA. Fear of falling: a manifestation of executive dysfunction? International journal of geriatric psychiatry 2019;34:1275-1282.</w:t>
      </w:r>
    </w:p>
    <w:p w14:paraId="252519B3"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lastRenderedPageBreak/>
        <w:t>Ehrlich JR, Hassan SE, Stagg BC. Prevalence of falls and fall‐related outcomes in older adults with self‐reported vision impairment. Journal of the American Geriatrics Society 2019;67:239-245.</w:t>
      </w:r>
    </w:p>
    <w:p w14:paraId="1B57A2D9"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Flanigan PM, Khosravi MA, Leverenz JB, Tousi B. Color vision impairment differentiates Alzheimer dementia from dementia with Lewy bodies. J Geriatr Psychiatry Neurol 2018;31:97-102.</w:t>
      </w:r>
    </w:p>
    <w:p w14:paraId="0C0F28DD"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Soysal P, Smith L, Tan SG, Capar E, Veronese N, Yang L. Excessive daytime sleepiness is associated with an increased frequency of falls and sarcopenia. Exp Gerontol 2021;150:111364.</w:t>
      </w:r>
    </w:p>
    <w:p w14:paraId="3C9F6B72"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Chwiszczuk L, Breitve M, Hynninen M, Gjerstad MD, Aarsland D, Rongve A. Higher frequency and complexity of sleep disturbances in dementia with Lewy bodies as compared to Alzheimer's disease. Neurodegener Dis 2016;16:152-160.</w:t>
      </w:r>
    </w:p>
    <w:p w14:paraId="4AE9C0FE"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Cagnin A, Fragiacomo F, Camporese G, Turco M, Bussè C, Ermani M, Montagnese S. Sleep-wake profile in dementia with Lewy bodies, Alzheimer’s disease, and normal aging. J Alzheimers Dis 2017;55:1529-1536.</w:t>
      </w:r>
    </w:p>
    <w:p w14:paraId="049D9C2E"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Saper CB, Fuller PM, Pedersen NP, Lu J, Scammell TE. Sleep state switching. Neuron 2010;68:1023-1042.</w:t>
      </w:r>
    </w:p>
    <w:p w14:paraId="2D7D4443" w14:textId="7A3F3218"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Lessig S, Ubhi K, Galasko D, Adame A, Pham E, Remidios K</w:t>
      </w:r>
      <w:r w:rsidR="004057F8" w:rsidRPr="00C91F39">
        <w:rPr>
          <w:rFonts w:ascii="Times New Roman" w:hAnsi="Times New Roman" w:cs="Times New Roman"/>
          <w:shd w:val="clear" w:color="auto" w:fill="FFFFFF"/>
        </w:rPr>
        <w:t>,</w:t>
      </w:r>
      <w:r w:rsidRPr="00C91F39">
        <w:rPr>
          <w:rFonts w:ascii="Times New Roman" w:hAnsi="Times New Roman" w:cs="Times New Roman"/>
          <w:shd w:val="clear" w:color="auto" w:fill="FFFFFF"/>
        </w:rPr>
        <w:t xml:space="preserve"> et al. Reduced hypocretin (orexin) levels in dementia with Lewy bodies. Neuroreport 2010;21:756.</w:t>
      </w:r>
    </w:p>
    <w:p w14:paraId="39B096FB"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Dauvilliers Y. Insomnia in patients with neurodegenerative conditions. Sleep Med 2007;8:S27-S34.</w:t>
      </w:r>
    </w:p>
    <w:p w14:paraId="469CF074" w14:textId="77777777" w:rsidR="002E2B80" w:rsidRPr="00C91F39" w:rsidRDefault="002E2B80" w:rsidP="002E2B80">
      <w:pPr>
        <w:pStyle w:val="ListParagraph"/>
        <w:numPr>
          <w:ilvl w:val="0"/>
          <w:numId w:val="1"/>
        </w:numPr>
        <w:spacing w:line="360" w:lineRule="auto"/>
        <w:jc w:val="both"/>
        <w:rPr>
          <w:rFonts w:ascii="Times New Roman" w:hAnsi="Times New Roman" w:cs="Times New Roman"/>
          <w:shd w:val="clear" w:color="auto" w:fill="FFFFFF"/>
        </w:rPr>
      </w:pPr>
      <w:r w:rsidRPr="00C91F39">
        <w:rPr>
          <w:rFonts w:ascii="Times New Roman" w:hAnsi="Times New Roman" w:cs="Times New Roman"/>
          <w:shd w:val="clear" w:color="auto" w:fill="FFFFFF"/>
        </w:rPr>
        <w:t>Borda MG, Castellanos-Perilla N, Tovar-Rios DA, Oesterhus R, Soennesyn H, Aarsland D. Polypharmacy is associated with functional decline in Alzheimer's disease and Lewy body dementia. Arch Gerontol Geriatr 2021;96:104459.</w:t>
      </w:r>
    </w:p>
    <w:p w14:paraId="0DC160BE" w14:textId="77777777" w:rsidR="002E2B80" w:rsidRPr="00C91F39" w:rsidRDefault="002E2B80" w:rsidP="002E2B80">
      <w:pPr>
        <w:spacing w:line="360" w:lineRule="auto"/>
        <w:jc w:val="both"/>
        <w:rPr>
          <w:rFonts w:ascii="Times New Roman" w:hAnsi="Times New Roman" w:cs="Times New Roman"/>
          <w:shd w:val="clear" w:color="auto" w:fill="FFFFFF"/>
        </w:rPr>
      </w:pPr>
    </w:p>
    <w:p w14:paraId="79D696F3" w14:textId="77777777" w:rsidR="002E2B80" w:rsidRPr="00C91F39" w:rsidRDefault="002E2B80" w:rsidP="00C45F19">
      <w:pPr>
        <w:spacing w:line="360" w:lineRule="auto"/>
        <w:ind w:firstLine="708"/>
        <w:jc w:val="both"/>
        <w:rPr>
          <w:rFonts w:ascii="Times New Roman" w:eastAsia="Calibri" w:hAnsi="Times New Roman" w:cs="Times New Roman"/>
          <w:sz w:val="24"/>
          <w:szCs w:val="24"/>
          <w:shd w:val="clear" w:color="auto" w:fill="FFFFFF"/>
        </w:rPr>
      </w:pPr>
    </w:p>
    <w:p w14:paraId="1D8F2B66" w14:textId="10E0F3E8" w:rsidR="002806ED" w:rsidRPr="00C91F39" w:rsidRDefault="002806ED" w:rsidP="00E60179">
      <w:pPr>
        <w:spacing w:line="360" w:lineRule="auto"/>
        <w:jc w:val="both"/>
        <w:rPr>
          <w:rFonts w:ascii="Times New Roman" w:hAnsi="Times New Roman" w:cs="Times New Roman"/>
          <w:sz w:val="24"/>
          <w:szCs w:val="24"/>
        </w:rPr>
      </w:pPr>
    </w:p>
    <w:p w14:paraId="20F9D7EF" w14:textId="3CBBD72C" w:rsidR="00E85ABD" w:rsidRPr="00C91F39" w:rsidRDefault="00E85ABD" w:rsidP="00E60179">
      <w:pPr>
        <w:spacing w:line="360" w:lineRule="auto"/>
        <w:jc w:val="both"/>
        <w:rPr>
          <w:rFonts w:ascii="Times New Roman" w:hAnsi="Times New Roman" w:cs="Times New Roman"/>
          <w:sz w:val="24"/>
          <w:szCs w:val="24"/>
        </w:rPr>
      </w:pPr>
    </w:p>
    <w:p w14:paraId="0D3A7D18" w14:textId="028265FF" w:rsidR="00E85ABD" w:rsidRPr="00C91F39" w:rsidRDefault="00E85ABD" w:rsidP="00E60179">
      <w:pPr>
        <w:spacing w:line="360" w:lineRule="auto"/>
        <w:jc w:val="both"/>
        <w:rPr>
          <w:rFonts w:ascii="Times New Roman" w:hAnsi="Times New Roman" w:cs="Times New Roman"/>
          <w:sz w:val="24"/>
          <w:szCs w:val="24"/>
        </w:rPr>
      </w:pPr>
    </w:p>
    <w:p w14:paraId="5F8F986A" w14:textId="5C10A078" w:rsidR="00E85ABD" w:rsidRPr="00C91F39" w:rsidRDefault="00E85ABD" w:rsidP="00E60179">
      <w:pPr>
        <w:spacing w:line="360" w:lineRule="auto"/>
        <w:jc w:val="both"/>
        <w:rPr>
          <w:rFonts w:ascii="Times New Roman" w:hAnsi="Times New Roman" w:cs="Times New Roman"/>
          <w:sz w:val="24"/>
          <w:szCs w:val="24"/>
        </w:rPr>
      </w:pPr>
    </w:p>
    <w:p w14:paraId="04E8FECE" w14:textId="34322FDB" w:rsidR="00E85ABD" w:rsidRPr="00C91F39" w:rsidRDefault="00E85ABD" w:rsidP="00E60179">
      <w:pPr>
        <w:spacing w:line="360" w:lineRule="auto"/>
        <w:jc w:val="both"/>
        <w:rPr>
          <w:rFonts w:ascii="Times New Roman" w:hAnsi="Times New Roman" w:cs="Times New Roman"/>
          <w:sz w:val="24"/>
          <w:szCs w:val="24"/>
        </w:rPr>
      </w:pPr>
    </w:p>
    <w:p w14:paraId="0462A3CD" w14:textId="5A1E59A6" w:rsidR="00E85ABD" w:rsidRPr="00C91F39" w:rsidRDefault="00E85ABD" w:rsidP="00E60179">
      <w:pPr>
        <w:spacing w:line="360" w:lineRule="auto"/>
        <w:jc w:val="both"/>
        <w:rPr>
          <w:rFonts w:ascii="Times New Roman" w:hAnsi="Times New Roman" w:cs="Times New Roman"/>
          <w:sz w:val="24"/>
          <w:szCs w:val="24"/>
        </w:rPr>
      </w:pPr>
    </w:p>
    <w:p w14:paraId="5962095F" w14:textId="09A70677" w:rsidR="00E85ABD" w:rsidRPr="00C91F39" w:rsidRDefault="00E85ABD" w:rsidP="00E60179">
      <w:pPr>
        <w:spacing w:line="360" w:lineRule="auto"/>
        <w:jc w:val="both"/>
        <w:rPr>
          <w:rFonts w:ascii="Times New Roman" w:hAnsi="Times New Roman" w:cs="Times New Roman"/>
          <w:sz w:val="24"/>
          <w:szCs w:val="24"/>
        </w:rPr>
      </w:pPr>
    </w:p>
    <w:p w14:paraId="0D01D70C" w14:textId="79366B76" w:rsidR="00EF4FD4" w:rsidRPr="00C91F39" w:rsidRDefault="00E85ABD" w:rsidP="00E85ABD">
      <w:pPr>
        <w:rPr>
          <w:rFonts w:ascii="Times New Roman" w:hAnsi="Times New Roman" w:cs="Times New Roman"/>
          <w:b/>
          <w:bCs/>
        </w:rPr>
      </w:pPr>
      <w:r w:rsidRPr="00C91F39">
        <w:rPr>
          <w:rFonts w:ascii="Times New Roman" w:hAnsi="Times New Roman" w:cs="Times New Roman"/>
          <w:b/>
          <w:bCs/>
        </w:rPr>
        <w:lastRenderedPageBreak/>
        <w:t>Table 1</w:t>
      </w:r>
      <w:r w:rsidRPr="00C91F39">
        <w:rPr>
          <w:rFonts w:ascii="Times New Roman" w:hAnsi="Times New Roman" w:cs="Times New Roman"/>
        </w:rPr>
        <w:t xml:space="preserve"> Demographic and Clinical Characteristics of the Participants (n=350)</w:t>
      </w:r>
    </w:p>
    <w:tbl>
      <w:tblPr>
        <w:tblStyle w:val="PlainTable2"/>
        <w:tblpPr w:leftFromText="141" w:rightFromText="141" w:vertAnchor="page" w:horzAnchor="margin" w:tblpY="3391"/>
        <w:tblW w:w="9739" w:type="dxa"/>
        <w:tblLook w:val="04A0" w:firstRow="1" w:lastRow="0" w:firstColumn="1" w:lastColumn="0" w:noHBand="0" w:noVBand="1"/>
      </w:tblPr>
      <w:tblGrid>
        <w:gridCol w:w="4149"/>
        <w:gridCol w:w="1574"/>
        <w:gridCol w:w="1717"/>
        <w:gridCol w:w="2299"/>
      </w:tblGrid>
      <w:tr w:rsidR="00C91F39" w:rsidRPr="00C91F39" w14:paraId="282C2D25" w14:textId="77777777" w:rsidTr="007932DE">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664D2779"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rPr>
              <w:t>Characteristics</w:t>
            </w:r>
          </w:p>
        </w:tc>
        <w:tc>
          <w:tcPr>
            <w:tcW w:w="1574" w:type="dxa"/>
          </w:tcPr>
          <w:p w14:paraId="38F0442B" w14:textId="77777777" w:rsidR="00E85ABD" w:rsidRPr="00C91F39" w:rsidRDefault="00E85ABD" w:rsidP="007932DE">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 xml:space="preserve"> AD (n=227)</w:t>
            </w:r>
          </w:p>
        </w:tc>
        <w:tc>
          <w:tcPr>
            <w:tcW w:w="1717" w:type="dxa"/>
          </w:tcPr>
          <w:p w14:paraId="7473FF15" w14:textId="77777777" w:rsidR="00E85ABD" w:rsidRPr="00C91F39" w:rsidRDefault="00E85ABD" w:rsidP="007932DE">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 xml:space="preserve">  DLB (n=123)</w:t>
            </w:r>
          </w:p>
        </w:tc>
        <w:tc>
          <w:tcPr>
            <w:tcW w:w="2297" w:type="dxa"/>
          </w:tcPr>
          <w:p w14:paraId="210DC430" w14:textId="77777777" w:rsidR="00E85ABD" w:rsidRPr="00C91F39" w:rsidRDefault="00E85ABD" w:rsidP="007932DE">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 xml:space="preserve">           P Value</w:t>
            </w:r>
          </w:p>
        </w:tc>
      </w:tr>
      <w:tr w:rsidR="00C91F39" w:rsidRPr="00C91F39" w14:paraId="25616E61"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41CCB7C3"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Age (mean, SD)</w:t>
            </w:r>
          </w:p>
        </w:tc>
        <w:tc>
          <w:tcPr>
            <w:tcW w:w="1574" w:type="dxa"/>
          </w:tcPr>
          <w:p w14:paraId="65B28D1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82.3±5.5</w:t>
            </w:r>
          </w:p>
        </w:tc>
        <w:tc>
          <w:tcPr>
            <w:tcW w:w="1717" w:type="dxa"/>
          </w:tcPr>
          <w:p w14:paraId="0DDB1EEC"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82.9±7.2</w:t>
            </w:r>
          </w:p>
        </w:tc>
        <w:tc>
          <w:tcPr>
            <w:tcW w:w="2297" w:type="dxa"/>
          </w:tcPr>
          <w:p w14:paraId="2A3DF15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0.163</w:t>
            </w:r>
          </w:p>
        </w:tc>
      </w:tr>
      <w:tr w:rsidR="00C91F39" w:rsidRPr="00C91F39" w14:paraId="1B778079"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5D440CD"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Gender (Female) %</w:t>
            </w:r>
          </w:p>
        </w:tc>
        <w:tc>
          <w:tcPr>
            <w:tcW w:w="1574" w:type="dxa"/>
          </w:tcPr>
          <w:p w14:paraId="5AC6CFD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72.7</w:t>
            </w:r>
          </w:p>
        </w:tc>
        <w:tc>
          <w:tcPr>
            <w:tcW w:w="1717" w:type="dxa"/>
          </w:tcPr>
          <w:p w14:paraId="18203D01"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73.2</w:t>
            </w:r>
          </w:p>
        </w:tc>
        <w:tc>
          <w:tcPr>
            <w:tcW w:w="2297" w:type="dxa"/>
          </w:tcPr>
          <w:p w14:paraId="27D1174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0.923</w:t>
            </w:r>
          </w:p>
        </w:tc>
      </w:tr>
      <w:tr w:rsidR="00C91F39" w:rsidRPr="00C91F39" w14:paraId="705EE968"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2886ED5"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Marital Status %</w:t>
            </w:r>
          </w:p>
        </w:tc>
        <w:tc>
          <w:tcPr>
            <w:tcW w:w="1574" w:type="dxa"/>
          </w:tcPr>
          <w:p w14:paraId="5710C92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7" w:type="dxa"/>
          </w:tcPr>
          <w:p w14:paraId="3A01CCF6"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97" w:type="dxa"/>
          </w:tcPr>
          <w:p w14:paraId="7220D381"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700CB80D"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42D2A34"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Married</w:t>
            </w:r>
          </w:p>
        </w:tc>
        <w:tc>
          <w:tcPr>
            <w:tcW w:w="1574" w:type="dxa"/>
          </w:tcPr>
          <w:p w14:paraId="53B8C443"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39.7</w:t>
            </w:r>
          </w:p>
        </w:tc>
        <w:tc>
          <w:tcPr>
            <w:tcW w:w="1717" w:type="dxa"/>
          </w:tcPr>
          <w:p w14:paraId="724E2118"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29.4</w:t>
            </w:r>
          </w:p>
        </w:tc>
        <w:tc>
          <w:tcPr>
            <w:tcW w:w="2297" w:type="dxa"/>
            <w:vMerge w:val="restart"/>
          </w:tcPr>
          <w:p w14:paraId="3A587EFE"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0.097</w:t>
            </w:r>
          </w:p>
        </w:tc>
      </w:tr>
      <w:tr w:rsidR="00C91F39" w:rsidRPr="00C91F39" w14:paraId="757DFFEF"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2FDCC80"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Widowed</w:t>
            </w:r>
          </w:p>
        </w:tc>
        <w:tc>
          <w:tcPr>
            <w:tcW w:w="1574" w:type="dxa"/>
          </w:tcPr>
          <w:p w14:paraId="4D9B150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50.4</w:t>
            </w:r>
          </w:p>
        </w:tc>
        <w:tc>
          <w:tcPr>
            <w:tcW w:w="1717" w:type="dxa"/>
          </w:tcPr>
          <w:p w14:paraId="518389A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52.9</w:t>
            </w:r>
          </w:p>
        </w:tc>
        <w:tc>
          <w:tcPr>
            <w:tcW w:w="2297" w:type="dxa"/>
            <w:vMerge/>
          </w:tcPr>
          <w:p w14:paraId="3E44EE7D"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5610A2A0"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7DD05B72"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Other</w:t>
            </w:r>
          </w:p>
        </w:tc>
        <w:tc>
          <w:tcPr>
            <w:tcW w:w="1574" w:type="dxa"/>
          </w:tcPr>
          <w:p w14:paraId="3D512CB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9.9</w:t>
            </w:r>
          </w:p>
        </w:tc>
        <w:tc>
          <w:tcPr>
            <w:tcW w:w="1717" w:type="dxa"/>
          </w:tcPr>
          <w:p w14:paraId="6E2D052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17.7</w:t>
            </w:r>
          </w:p>
        </w:tc>
        <w:tc>
          <w:tcPr>
            <w:tcW w:w="2297" w:type="dxa"/>
            <w:vMerge/>
          </w:tcPr>
          <w:p w14:paraId="502C7EF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C91F39" w:rsidRPr="00C91F39" w14:paraId="74F340B1"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73BB17C"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rPr>
              <w:t>Living Status %</w:t>
            </w:r>
          </w:p>
        </w:tc>
        <w:tc>
          <w:tcPr>
            <w:tcW w:w="1574" w:type="dxa"/>
          </w:tcPr>
          <w:p w14:paraId="2814C853"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7" w:type="dxa"/>
          </w:tcPr>
          <w:p w14:paraId="4055EFAB"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97" w:type="dxa"/>
            <w:vMerge w:val="restart"/>
          </w:tcPr>
          <w:p w14:paraId="3BD852F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0.010</w:t>
            </w:r>
          </w:p>
        </w:tc>
      </w:tr>
      <w:tr w:rsidR="00C91F39" w:rsidRPr="00C91F39" w14:paraId="4010C8D4"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305AF47"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Alone</w:t>
            </w:r>
          </w:p>
        </w:tc>
        <w:tc>
          <w:tcPr>
            <w:tcW w:w="1574" w:type="dxa"/>
          </w:tcPr>
          <w:p w14:paraId="7C21FCB3"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8.7</w:t>
            </w:r>
          </w:p>
        </w:tc>
        <w:tc>
          <w:tcPr>
            <w:tcW w:w="1717" w:type="dxa"/>
          </w:tcPr>
          <w:p w14:paraId="3EE84AE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4.9</w:t>
            </w:r>
          </w:p>
        </w:tc>
        <w:tc>
          <w:tcPr>
            <w:tcW w:w="2297" w:type="dxa"/>
            <w:vMerge/>
          </w:tcPr>
          <w:p w14:paraId="708F2F2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C91F39" w:rsidRPr="00C91F39" w14:paraId="608CE9D3" w14:textId="77777777" w:rsidTr="007932DE">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4149" w:type="dxa"/>
          </w:tcPr>
          <w:p w14:paraId="5EF548F3"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With Spouse</w:t>
            </w:r>
          </w:p>
        </w:tc>
        <w:tc>
          <w:tcPr>
            <w:tcW w:w="1574" w:type="dxa"/>
          </w:tcPr>
          <w:p w14:paraId="02FC8D9D"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39.4</w:t>
            </w:r>
          </w:p>
        </w:tc>
        <w:tc>
          <w:tcPr>
            <w:tcW w:w="1717" w:type="dxa"/>
          </w:tcPr>
          <w:p w14:paraId="2DD172C3"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25.2</w:t>
            </w:r>
          </w:p>
        </w:tc>
        <w:tc>
          <w:tcPr>
            <w:tcW w:w="2297" w:type="dxa"/>
            <w:vMerge/>
          </w:tcPr>
          <w:p w14:paraId="572C7B8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5F498F59"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18F32B6E"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With Children</w:t>
            </w:r>
          </w:p>
        </w:tc>
        <w:tc>
          <w:tcPr>
            <w:tcW w:w="1574" w:type="dxa"/>
          </w:tcPr>
          <w:p w14:paraId="43D5E464"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42.9</w:t>
            </w:r>
          </w:p>
        </w:tc>
        <w:tc>
          <w:tcPr>
            <w:tcW w:w="1717" w:type="dxa"/>
          </w:tcPr>
          <w:p w14:paraId="7FA7AA7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54.5</w:t>
            </w:r>
          </w:p>
        </w:tc>
        <w:tc>
          <w:tcPr>
            <w:tcW w:w="2297" w:type="dxa"/>
            <w:vMerge/>
          </w:tcPr>
          <w:p w14:paraId="5E4384C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C91F39" w:rsidRPr="00C91F39" w14:paraId="45BFA170"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40D26FF"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                 Other</w:t>
            </w:r>
          </w:p>
        </w:tc>
        <w:tc>
          <w:tcPr>
            <w:tcW w:w="1574" w:type="dxa"/>
          </w:tcPr>
          <w:p w14:paraId="279DBA10"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9.1</w:t>
            </w:r>
          </w:p>
        </w:tc>
        <w:tc>
          <w:tcPr>
            <w:tcW w:w="1717" w:type="dxa"/>
          </w:tcPr>
          <w:p w14:paraId="68F7BED8"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15.4</w:t>
            </w:r>
          </w:p>
        </w:tc>
        <w:tc>
          <w:tcPr>
            <w:tcW w:w="2297" w:type="dxa"/>
            <w:vMerge/>
          </w:tcPr>
          <w:p w14:paraId="036145C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6A185D8E"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63A128F7"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Number of drugs used (mean, SD)</w:t>
            </w:r>
          </w:p>
        </w:tc>
        <w:tc>
          <w:tcPr>
            <w:tcW w:w="1574" w:type="dxa"/>
          </w:tcPr>
          <w:p w14:paraId="38AD7F6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6.3±3.1</w:t>
            </w:r>
          </w:p>
        </w:tc>
        <w:tc>
          <w:tcPr>
            <w:tcW w:w="1717" w:type="dxa"/>
          </w:tcPr>
          <w:p w14:paraId="72FE171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7.03±3.02</w:t>
            </w:r>
          </w:p>
        </w:tc>
        <w:tc>
          <w:tcPr>
            <w:tcW w:w="2297" w:type="dxa"/>
          </w:tcPr>
          <w:p w14:paraId="18C8CACA"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0.026</w:t>
            </w:r>
          </w:p>
        </w:tc>
      </w:tr>
      <w:tr w:rsidR="00C91F39" w:rsidRPr="00C91F39" w14:paraId="448B0B4F"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43C9F6F0"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rPr>
              <w:t>Comorbities %</w:t>
            </w:r>
          </w:p>
        </w:tc>
        <w:tc>
          <w:tcPr>
            <w:tcW w:w="1574" w:type="dxa"/>
          </w:tcPr>
          <w:p w14:paraId="361333AC"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7" w:type="dxa"/>
          </w:tcPr>
          <w:p w14:paraId="19B22933"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97" w:type="dxa"/>
          </w:tcPr>
          <w:p w14:paraId="62E3499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38B7E74B"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53DAD4B"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HT</w:t>
            </w:r>
          </w:p>
        </w:tc>
        <w:tc>
          <w:tcPr>
            <w:tcW w:w="1574" w:type="dxa"/>
          </w:tcPr>
          <w:p w14:paraId="4A2DD6AF"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61.3</w:t>
            </w:r>
          </w:p>
        </w:tc>
        <w:tc>
          <w:tcPr>
            <w:tcW w:w="1717" w:type="dxa"/>
          </w:tcPr>
          <w:p w14:paraId="5B91D981"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62.6</w:t>
            </w:r>
          </w:p>
        </w:tc>
        <w:tc>
          <w:tcPr>
            <w:tcW w:w="2297" w:type="dxa"/>
          </w:tcPr>
          <w:p w14:paraId="0552133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0.816</w:t>
            </w:r>
          </w:p>
        </w:tc>
      </w:tr>
      <w:tr w:rsidR="00C91F39" w:rsidRPr="00C91F39" w14:paraId="39957D18"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230F893"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DM</w:t>
            </w:r>
          </w:p>
        </w:tc>
        <w:tc>
          <w:tcPr>
            <w:tcW w:w="1574" w:type="dxa"/>
          </w:tcPr>
          <w:p w14:paraId="2BBCC81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32.9</w:t>
            </w:r>
          </w:p>
        </w:tc>
        <w:tc>
          <w:tcPr>
            <w:tcW w:w="1717" w:type="dxa"/>
          </w:tcPr>
          <w:p w14:paraId="0454E60A"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31.7</w:t>
            </w:r>
          </w:p>
        </w:tc>
        <w:tc>
          <w:tcPr>
            <w:tcW w:w="2297" w:type="dxa"/>
          </w:tcPr>
          <w:p w14:paraId="4809C348"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0.822</w:t>
            </w:r>
          </w:p>
        </w:tc>
      </w:tr>
      <w:tr w:rsidR="00C91F39" w:rsidRPr="00C91F39" w14:paraId="36936889"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6ECD6B0"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CAD</w:t>
            </w:r>
          </w:p>
        </w:tc>
        <w:tc>
          <w:tcPr>
            <w:tcW w:w="1574" w:type="dxa"/>
          </w:tcPr>
          <w:p w14:paraId="36F4F70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16.5</w:t>
            </w:r>
          </w:p>
        </w:tc>
        <w:tc>
          <w:tcPr>
            <w:tcW w:w="1717" w:type="dxa"/>
          </w:tcPr>
          <w:p w14:paraId="6EB5A041"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27.9</w:t>
            </w:r>
          </w:p>
        </w:tc>
        <w:tc>
          <w:tcPr>
            <w:tcW w:w="2297" w:type="dxa"/>
          </w:tcPr>
          <w:p w14:paraId="48D1E03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0.012</w:t>
            </w:r>
          </w:p>
        </w:tc>
      </w:tr>
      <w:tr w:rsidR="00C91F39" w:rsidRPr="00C91F39" w14:paraId="411EC981"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01E1F58" w14:textId="522D59F9"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COP</w:t>
            </w:r>
            <w:r w:rsidR="00C2230F" w:rsidRPr="00C91F39">
              <w:rPr>
                <w:rFonts w:ascii="Times New Roman" w:hAnsi="Times New Roman" w:cs="Times New Roman"/>
                <w:b w:val="0"/>
              </w:rPr>
              <w:t>D</w:t>
            </w:r>
          </w:p>
        </w:tc>
        <w:tc>
          <w:tcPr>
            <w:tcW w:w="1574" w:type="dxa"/>
          </w:tcPr>
          <w:p w14:paraId="2EA54910"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5.8</w:t>
            </w:r>
          </w:p>
        </w:tc>
        <w:tc>
          <w:tcPr>
            <w:tcW w:w="1717" w:type="dxa"/>
          </w:tcPr>
          <w:p w14:paraId="15F0B95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7.4</w:t>
            </w:r>
          </w:p>
        </w:tc>
        <w:tc>
          <w:tcPr>
            <w:tcW w:w="2297" w:type="dxa"/>
          </w:tcPr>
          <w:p w14:paraId="4F02FFD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0.553</w:t>
            </w:r>
          </w:p>
        </w:tc>
      </w:tr>
      <w:tr w:rsidR="00C91F39" w:rsidRPr="00C91F39" w14:paraId="3FA0D8B7"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5253C3E" w14:textId="38D409D8"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CV</w:t>
            </w:r>
            <w:r w:rsidR="00C2230F" w:rsidRPr="00C91F39">
              <w:rPr>
                <w:rFonts w:ascii="Times New Roman" w:hAnsi="Times New Roman" w:cs="Times New Roman"/>
                <w:b w:val="0"/>
              </w:rPr>
              <w:t>E</w:t>
            </w:r>
          </w:p>
        </w:tc>
        <w:tc>
          <w:tcPr>
            <w:tcW w:w="1574" w:type="dxa"/>
          </w:tcPr>
          <w:p w14:paraId="10850353"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7.6</w:t>
            </w:r>
          </w:p>
        </w:tc>
        <w:tc>
          <w:tcPr>
            <w:tcW w:w="1717" w:type="dxa"/>
          </w:tcPr>
          <w:p w14:paraId="59DD30B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5.7</w:t>
            </w:r>
          </w:p>
        </w:tc>
        <w:tc>
          <w:tcPr>
            <w:tcW w:w="2297" w:type="dxa"/>
          </w:tcPr>
          <w:p w14:paraId="15A3953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0.517</w:t>
            </w:r>
          </w:p>
        </w:tc>
      </w:tr>
      <w:tr w:rsidR="00C91F39" w:rsidRPr="00C91F39" w14:paraId="639881D6"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18A6CDFB"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CHF</w:t>
            </w:r>
          </w:p>
        </w:tc>
        <w:tc>
          <w:tcPr>
            <w:tcW w:w="1574" w:type="dxa"/>
          </w:tcPr>
          <w:p w14:paraId="5238E66E"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9.9</w:t>
            </w:r>
          </w:p>
        </w:tc>
        <w:tc>
          <w:tcPr>
            <w:tcW w:w="1717" w:type="dxa"/>
          </w:tcPr>
          <w:p w14:paraId="6BECF86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13.0</w:t>
            </w:r>
          </w:p>
        </w:tc>
        <w:tc>
          <w:tcPr>
            <w:tcW w:w="2297" w:type="dxa"/>
          </w:tcPr>
          <w:p w14:paraId="7D027D9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0.371</w:t>
            </w:r>
          </w:p>
        </w:tc>
      </w:tr>
      <w:tr w:rsidR="00C91F39" w:rsidRPr="00C91F39" w14:paraId="7B08FC59"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6CB9DE4F"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OA</w:t>
            </w:r>
          </w:p>
        </w:tc>
        <w:tc>
          <w:tcPr>
            <w:tcW w:w="1574" w:type="dxa"/>
          </w:tcPr>
          <w:p w14:paraId="3192684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11.1</w:t>
            </w:r>
          </w:p>
        </w:tc>
        <w:tc>
          <w:tcPr>
            <w:tcW w:w="1717" w:type="dxa"/>
          </w:tcPr>
          <w:p w14:paraId="58B7FF2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13.1</w:t>
            </w:r>
          </w:p>
        </w:tc>
        <w:tc>
          <w:tcPr>
            <w:tcW w:w="2297" w:type="dxa"/>
          </w:tcPr>
          <w:p w14:paraId="25C46951"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0.581</w:t>
            </w:r>
          </w:p>
        </w:tc>
      </w:tr>
      <w:tr w:rsidR="00C91F39" w:rsidRPr="00C91F39" w14:paraId="6E125F4C"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2C5DDD1"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rPr>
              <w:t>Geriatric Syndromes</w:t>
            </w:r>
          </w:p>
        </w:tc>
        <w:tc>
          <w:tcPr>
            <w:tcW w:w="1574" w:type="dxa"/>
          </w:tcPr>
          <w:p w14:paraId="1BDB5B9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7" w:type="dxa"/>
          </w:tcPr>
          <w:p w14:paraId="4955805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97" w:type="dxa"/>
          </w:tcPr>
          <w:p w14:paraId="7028F380"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7B1D0790"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1DED2BB"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Falls %</w:t>
            </w:r>
          </w:p>
        </w:tc>
        <w:tc>
          <w:tcPr>
            <w:tcW w:w="1574" w:type="dxa"/>
          </w:tcPr>
          <w:p w14:paraId="6C472DF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38.5</w:t>
            </w:r>
          </w:p>
        </w:tc>
        <w:tc>
          <w:tcPr>
            <w:tcW w:w="1717" w:type="dxa"/>
          </w:tcPr>
          <w:p w14:paraId="01BB5B5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59.5</w:t>
            </w:r>
          </w:p>
        </w:tc>
        <w:tc>
          <w:tcPr>
            <w:tcW w:w="2297" w:type="dxa"/>
          </w:tcPr>
          <w:p w14:paraId="0BACB15E"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03C70CA1"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3B81AC9" w14:textId="1990042F" w:rsidR="00E85ABD" w:rsidRPr="00C91F39" w:rsidRDefault="00F0500D" w:rsidP="007932DE">
            <w:pPr>
              <w:spacing w:line="360" w:lineRule="auto"/>
              <w:rPr>
                <w:rFonts w:ascii="Times New Roman" w:hAnsi="Times New Roman" w:cs="Times New Roman"/>
                <w:b w:val="0"/>
              </w:rPr>
            </w:pPr>
            <w:r w:rsidRPr="00C91F39">
              <w:rPr>
                <w:rFonts w:ascii="Times New Roman" w:hAnsi="Times New Roman" w:cs="Times New Roman"/>
                <w:b w:val="0"/>
              </w:rPr>
              <w:t xml:space="preserve">The number of </w:t>
            </w:r>
            <w:r w:rsidR="00E85ABD" w:rsidRPr="00C91F39">
              <w:rPr>
                <w:rFonts w:ascii="Times New Roman" w:hAnsi="Times New Roman" w:cs="Times New Roman"/>
                <w:b w:val="0"/>
              </w:rPr>
              <w:t>Falls</w:t>
            </w:r>
            <w:r w:rsidRPr="00C91F39">
              <w:rPr>
                <w:rFonts w:ascii="Times New Roman" w:hAnsi="Times New Roman" w:cs="Times New Roman"/>
                <w:b w:val="0"/>
              </w:rPr>
              <w:t xml:space="preserve"> in last year</w:t>
            </w:r>
            <w:r w:rsidR="00E85ABD" w:rsidRPr="00C91F39">
              <w:rPr>
                <w:rFonts w:ascii="Times New Roman" w:hAnsi="Times New Roman" w:cs="Times New Roman"/>
                <w:b w:val="0"/>
              </w:rPr>
              <w:t xml:space="preserve"> (mean,SD)</w:t>
            </w:r>
          </w:p>
        </w:tc>
        <w:tc>
          <w:tcPr>
            <w:tcW w:w="1574" w:type="dxa"/>
          </w:tcPr>
          <w:p w14:paraId="68E868E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0.90±1.7</w:t>
            </w:r>
          </w:p>
        </w:tc>
        <w:tc>
          <w:tcPr>
            <w:tcW w:w="1717" w:type="dxa"/>
          </w:tcPr>
          <w:p w14:paraId="370D8EF5"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1.90±3</w:t>
            </w:r>
          </w:p>
        </w:tc>
        <w:tc>
          <w:tcPr>
            <w:tcW w:w="2297" w:type="dxa"/>
          </w:tcPr>
          <w:p w14:paraId="1E321E7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536C420A"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63C30B8"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Urinery Incontinence %</w:t>
            </w:r>
          </w:p>
        </w:tc>
        <w:tc>
          <w:tcPr>
            <w:tcW w:w="1574" w:type="dxa"/>
          </w:tcPr>
          <w:p w14:paraId="4E25A71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58.6</w:t>
            </w:r>
          </w:p>
        </w:tc>
        <w:tc>
          <w:tcPr>
            <w:tcW w:w="1717" w:type="dxa"/>
          </w:tcPr>
          <w:p w14:paraId="1588B3B8"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58</w:t>
            </w:r>
          </w:p>
        </w:tc>
        <w:tc>
          <w:tcPr>
            <w:tcW w:w="2297" w:type="dxa"/>
          </w:tcPr>
          <w:p w14:paraId="38634574"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0.918</w:t>
            </w:r>
          </w:p>
        </w:tc>
      </w:tr>
      <w:tr w:rsidR="00C91F39" w:rsidRPr="00C91F39" w14:paraId="52B5CEED"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7B2E5DBC"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shd w:val="clear" w:color="auto" w:fill="FFFFFF"/>
              </w:rPr>
              <w:t>Constipation %</w:t>
            </w:r>
          </w:p>
        </w:tc>
        <w:tc>
          <w:tcPr>
            <w:tcW w:w="1574" w:type="dxa"/>
          </w:tcPr>
          <w:p w14:paraId="3CCEE8E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41.3</w:t>
            </w:r>
          </w:p>
        </w:tc>
        <w:tc>
          <w:tcPr>
            <w:tcW w:w="1717" w:type="dxa"/>
          </w:tcPr>
          <w:p w14:paraId="68CA16F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45.9</w:t>
            </w:r>
          </w:p>
        </w:tc>
        <w:tc>
          <w:tcPr>
            <w:tcW w:w="2297" w:type="dxa"/>
          </w:tcPr>
          <w:p w14:paraId="2BE0309D"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0.434</w:t>
            </w:r>
          </w:p>
        </w:tc>
      </w:tr>
      <w:tr w:rsidR="00C91F39" w:rsidRPr="00C91F39" w14:paraId="72F008CF"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3D03669" w14:textId="77334E58"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MMSE/MoCA (mean, SD)</w:t>
            </w:r>
          </w:p>
        </w:tc>
        <w:tc>
          <w:tcPr>
            <w:tcW w:w="1574" w:type="dxa"/>
          </w:tcPr>
          <w:p w14:paraId="05C42B98"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15.3±4.8</w:t>
            </w:r>
          </w:p>
        </w:tc>
        <w:tc>
          <w:tcPr>
            <w:tcW w:w="1717" w:type="dxa"/>
          </w:tcPr>
          <w:p w14:paraId="51C92AB4"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14.6±4.7</w:t>
            </w:r>
          </w:p>
        </w:tc>
        <w:tc>
          <w:tcPr>
            <w:tcW w:w="2297" w:type="dxa"/>
          </w:tcPr>
          <w:p w14:paraId="2D7815FB"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0.352</w:t>
            </w:r>
          </w:p>
        </w:tc>
      </w:tr>
      <w:tr w:rsidR="00C91F39" w:rsidRPr="00C91F39" w14:paraId="79D92683"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7D8EEA1A"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BADL score (mean, SD)</w:t>
            </w:r>
          </w:p>
        </w:tc>
        <w:tc>
          <w:tcPr>
            <w:tcW w:w="1574" w:type="dxa"/>
          </w:tcPr>
          <w:p w14:paraId="6EB7DFDA"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67.09±30.7</w:t>
            </w:r>
          </w:p>
        </w:tc>
        <w:tc>
          <w:tcPr>
            <w:tcW w:w="1717" w:type="dxa"/>
          </w:tcPr>
          <w:p w14:paraId="1F13AA81"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56.5±30.2</w:t>
            </w:r>
          </w:p>
        </w:tc>
        <w:tc>
          <w:tcPr>
            <w:tcW w:w="2297" w:type="dxa"/>
          </w:tcPr>
          <w:p w14:paraId="5080D78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4190E621" w14:textId="77777777" w:rsidTr="007932DE">
        <w:trPr>
          <w:trHeight w:val="371"/>
        </w:trPr>
        <w:tc>
          <w:tcPr>
            <w:cnfStyle w:val="001000000000" w:firstRow="0" w:lastRow="0" w:firstColumn="1" w:lastColumn="0" w:oddVBand="0" w:evenVBand="0" w:oddHBand="0" w:evenHBand="0" w:firstRowFirstColumn="0" w:firstRowLastColumn="0" w:lastRowFirstColumn="0" w:lastRowLastColumn="0"/>
            <w:tcW w:w="4149" w:type="dxa"/>
          </w:tcPr>
          <w:p w14:paraId="1AA772F1"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IADL score (mean, SD)</w:t>
            </w:r>
          </w:p>
        </w:tc>
        <w:tc>
          <w:tcPr>
            <w:tcW w:w="1574" w:type="dxa"/>
          </w:tcPr>
          <w:p w14:paraId="24F14B10"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6.09±3.9</w:t>
            </w:r>
          </w:p>
        </w:tc>
        <w:tc>
          <w:tcPr>
            <w:tcW w:w="1717" w:type="dxa"/>
          </w:tcPr>
          <w:p w14:paraId="57D9718A"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4.34±3.15</w:t>
            </w:r>
          </w:p>
        </w:tc>
        <w:tc>
          <w:tcPr>
            <w:tcW w:w="2297" w:type="dxa"/>
          </w:tcPr>
          <w:p w14:paraId="4BE594F9"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0.005</w:t>
            </w:r>
          </w:p>
        </w:tc>
      </w:tr>
      <w:tr w:rsidR="00C91F39" w:rsidRPr="00C91F39" w14:paraId="6FA5E48F"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6ED95960"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MNA (mean, SD)</w:t>
            </w:r>
          </w:p>
        </w:tc>
        <w:tc>
          <w:tcPr>
            <w:tcW w:w="1574" w:type="dxa"/>
          </w:tcPr>
          <w:p w14:paraId="2346AC7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19.13±5.8</w:t>
            </w:r>
          </w:p>
        </w:tc>
        <w:tc>
          <w:tcPr>
            <w:tcW w:w="1717" w:type="dxa"/>
          </w:tcPr>
          <w:p w14:paraId="69531CFB"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18±5.28</w:t>
            </w:r>
          </w:p>
        </w:tc>
        <w:tc>
          <w:tcPr>
            <w:tcW w:w="2297" w:type="dxa"/>
          </w:tcPr>
          <w:p w14:paraId="348BBB86"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0.021</w:t>
            </w:r>
          </w:p>
        </w:tc>
      </w:tr>
      <w:tr w:rsidR="00C91F39" w:rsidRPr="00C91F39" w14:paraId="738A4656"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4A3E3CD5"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lastRenderedPageBreak/>
              <w:t>Tinetti Balance (mean, SD)</w:t>
            </w:r>
          </w:p>
        </w:tc>
        <w:tc>
          <w:tcPr>
            <w:tcW w:w="1574" w:type="dxa"/>
          </w:tcPr>
          <w:p w14:paraId="50B08D05"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10.52±5.8</w:t>
            </w:r>
          </w:p>
        </w:tc>
        <w:tc>
          <w:tcPr>
            <w:tcW w:w="1717" w:type="dxa"/>
          </w:tcPr>
          <w:p w14:paraId="201EEA43"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7.56±5.9</w:t>
            </w:r>
          </w:p>
        </w:tc>
        <w:tc>
          <w:tcPr>
            <w:tcW w:w="2297" w:type="dxa"/>
          </w:tcPr>
          <w:p w14:paraId="5D0DBFF7"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1B0F642C"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1AB948C1"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Tinetti Gait (mean, SD)</w:t>
            </w:r>
          </w:p>
        </w:tc>
        <w:tc>
          <w:tcPr>
            <w:tcW w:w="1574" w:type="dxa"/>
          </w:tcPr>
          <w:p w14:paraId="5128E32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8±4.3</w:t>
            </w:r>
          </w:p>
        </w:tc>
        <w:tc>
          <w:tcPr>
            <w:tcW w:w="1717" w:type="dxa"/>
          </w:tcPr>
          <w:p w14:paraId="289F8DF0"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6.4±4.62</w:t>
            </w:r>
          </w:p>
        </w:tc>
        <w:tc>
          <w:tcPr>
            <w:tcW w:w="2297" w:type="dxa"/>
          </w:tcPr>
          <w:p w14:paraId="0C14F533"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0.001</w:t>
            </w:r>
          </w:p>
        </w:tc>
      </w:tr>
      <w:tr w:rsidR="00C91F39" w:rsidRPr="00C91F39" w14:paraId="132107FE"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88299C4"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Tinetti Total (mean, SD)</w:t>
            </w:r>
          </w:p>
        </w:tc>
        <w:tc>
          <w:tcPr>
            <w:tcW w:w="1574" w:type="dxa"/>
          </w:tcPr>
          <w:p w14:paraId="0551CD5F"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18.50±9.9</w:t>
            </w:r>
          </w:p>
        </w:tc>
        <w:tc>
          <w:tcPr>
            <w:tcW w:w="1717" w:type="dxa"/>
          </w:tcPr>
          <w:p w14:paraId="2E406ED5"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13.89±10.19</w:t>
            </w:r>
          </w:p>
        </w:tc>
        <w:tc>
          <w:tcPr>
            <w:tcW w:w="2297" w:type="dxa"/>
          </w:tcPr>
          <w:p w14:paraId="78E8B97E"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4B133850"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753C606E"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ISI (mean, SD)</w:t>
            </w:r>
          </w:p>
        </w:tc>
        <w:tc>
          <w:tcPr>
            <w:tcW w:w="1574" w:type="dxa"/>
          </w:tcPr>
          <w:p w14:paraId="284C4EE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9.81±9.57</w:t>
            </w:r>
          </w:p>
        </w:tc>
        <w:tc>
          <w:tcPr>
            <w:tcW w:w="1717" w:type="dxa"/>
          </w:tcPr>
          <w:p w14:paraId="127BBFF9"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14.61±9.9</w:t>
            </w:r>
          </w:p>
        </w:tc>
        <w:tc>
          <w:tcPr>
            <w:tcW w:w="2297" w:type="dxa"/>
          </w:tcPr>
          <w:p w14:paraId="308074F2"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0.000</w:t>
            </w:r>
          </w:p>
        </w:tc>
      </w:tr>
      <w:tr w:rsidR="00C91F39" w:rsidRPr="00C91F39" w14:paraId="1252A28C"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B642B15"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Epworth (mean, SD) </w:t>
            </w:r>
          </w:p>
        </w:tc>
        <w:tc>
          <w:tcPr>
            <w:tcW w:w="1574" w:type="dxa"/>
          </w:tcPr>
          <w:p w14:paraId="0CD58C30"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7.29±6.47</w:t>
            </w:r>
          </w:p>
        </w:tc>
        <w:tc>
          <w:tcPr>
            <w:tcW w:w="1717" w:type="dxa"/>
          </w:tcPr>
          <w:p w14:paraId="776FD2D1"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9.23±6.9</w:t>
            </w:r>
          </w:p>
        </w:tc>
        <w:tc>
          <w:tcPr>
            <w:tcW w:w="2297" w:type="dxa"/>
          </w:tcPr>
          <w:p w14:paraId="17F7A3C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0.011</w:t>
            </w:r>
          </w:p>
        </w:tc>
      </w:tr>
      <w:tr w:rsidR="00C91F39" w:rsidRPr="00C91F39" w14:paraId="6DABEA20"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7329082"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rPr>
              <w:t>Blood Analysis (mean, SD)</w:t>
            </w:r>
          </w:p>
        </w:tc>
        <w:tc>
          <w:tcPr>
            <w:tcW w:w="1574" w:type="dxa"/>
          </w:tcPr>
          <w:p w14:paraId="39DE6ED1"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7" w:type="dxa"/>
          </w:tcPr>
          <w:p w14:paraId="254E2C7B"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97" w:type="dxa"/>
          </w:tcPr>
          <w:p w14:paraId="430D3B62"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C91F39" w:rsidRPr="00C91F39" w14:paraId="2B18C0BC"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7741D16C" w14:textId="77777777" w:rsidR="00E85ABD" w:rsidRPr="00C91F39" w:rsidRDefault="00E85ABD" w:rsidP="007932DE">
            <w:pPr>
              <w:spacing w:line="360" w:lineRule="auto"/>
              <w:rPr>
                <w:rFonts w:ascii="Times New Roman" w:hAnsi="Times New Roman" w:cs="Times New Roman"/>
              </w:rPr>
            </w:pPr>
            <w:r w:rsidRPr="00C91F39">
              <w:rPr>
                <w:rFonts w:ascii="Times New Roman" w:hAnsi="Times New Roman" w:cs="Times New Roman"/>
                <w:b w:val="0"/>
              </w:rPr>
              <w:t xml:space="preserve">GFR </w:t>
            </w:r>
            <w:r w:rsidRPr="00C91F39">
              <w:rPr>
                <w:rFonts w:ascii="Times New Roman" w:hAnsi="Times New Roman" w:cs="Times New Roman"/>
                <w:b w:val="0"/>
                <w:bCs w:val="0"/>
              </w:rPr>
              <w:t>(ml/min/1.73 m</w:t>
            </w:r>
            <w:r w:rsidRPr="00C91F39">
              <w:rPr>
                <w:rFonts w:ascii="Times New Roman" w:hAnsi="Times New Roman" w:cs="Times New Roman"/>
                <w:b w:val="0"/>
                <w:bCs w:val="0"/>
                <w:vertAlign w:val="superscript"/>
              </w:rPr>
              <w:t>2</w:t>
            </w:r>
            <w:r w:rsidRPr="00C91F39">
              <w:rPr>
                <w:rFonts w:ascii="Times New Roman" w:hAnsi="Times New Roman" w:cs="Times New Roman"/>
                <w:b w:val="0"/>
                <w:bCs w:val="0"/>
              </w:rPr>
              <w:t>)</w:t>
            </w:r>
          </w:p>
        </w:tc>
        <w:tc>
          <w:tcPr>
            <w:tcW w:w="1574" w:type="dxa"/>
          </w:tcPr>
          <w:p w14:paraId="330C098E"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57.0±20.12</w:t>
            </w:r>
          </w:p>
        </w:tc>
        <w:tc>
          <w:tcPr>
            <w:tcW w:w="1717" w:type="dxa"/>
          </w:tcPr>
          <w:p w14:paraId="6FD7670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54.3±20.9</w:t>
            </w:r>
          </w:p>
        </w:tc>
        <w:tc>
          <w:tcPr>
            <w:tcW w:w="2297" w:type="dxa"/>
          </w:tcPr>
          <w:p w14:paraId="3598343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0.321</w:t>
            </w:r>
          </w:p>
        </w:tc>
      </w:tr>
      <w:tr w:rsidR="00C91F39" w:rsidRPr="00C91F39" w14:paraId="02478E71"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6FA6A517" w14:textId="77777777" w:rsidR="00E85ABD" w:rsidRPr="00C91F39" w:rsidRDefault="00E85ABD" w:rsidP="007932DE">
            <w:pPr>
              <w:spacing w:line="360" w:lineRule="auto"/>
              <w:rPr>
                <w:rFonts w:ascii="Times New Roman" w:hAnsi="Times New Roman" w:cs="Times New Roman"/>
                <w:b w:val="0"/>
                <w:bCs w:val="0"/>
              </w:rPr>
            </w:pPr>
            <w:r w:rsidRPr="00C91F39">
              <w:rPr>
                <w:rFonts w:ascii="Times New Roman" w:hAnsi="Times New Roman" w:cs="Times New Roman"/>
                <w:b w:val="0"/>
                <w:bCs w:val="0"/>
              </w:rPr>
              <w:t>Albumin (g/dL)</w:t>
            </w:r>
          </w:p>
        </w:tc>
        <w:tc>
          <w:tcPr>
            <w:tcW w:w="1574" w:type="dxa"/>
          </w:tcPr>
          <w:p w14:paraId="6718576B"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5.7±8.06</w:t>
            </w:r>
          </w:p>
        </w:tc>
        <w:tc>
          <w:tcPr>
            <w:tcW w:w="1717" w:type="dxa"/>
          </w:tcPr>
          <w:p w14:paraId="2BDE8BA6"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5.01±7.5</w:t>
            </w:r>
          </w:p>
        </w:tc>
        <w:tc>
          <w:tcPr>
            <w:tcW w:w="2297" w:type="dxa"/>
          </w:tcPr>
          <w:p w14:paraId="13A028BD"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C91F39">
              <w:rPr>
                <w:rFonts w:ascii="Times New Roman" w:hAnsi="Times New Roman" w:cs="Times New Roman"/>
                <w:b/>
                <w:bCs/>
              </w:rPr>
              <w:t>0.015</w:t>
            </w:r>
          </w:p>
        </w:tc>
      </w:tr>
      <w:tr w:rsidR="00C91F39" w:rsidRPr="00C91F39" w14:paraId="64D04777"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E3025DF" w14:textId="73F83CB0" w:rsidR="00E85ABD" w:rsidRPr="00C91F39" w:rsidRDefault="00E85ABD" w:rsidP="007932DE">
            <w:pPr>
              <w:spacing w:line="360" w:lineRule="auto"/>
              <w:rPr>
                <w:rFonts w:ascii="Times New Roman" w:hAnsi="Times New Roman" w:cs="Times New Roman"/>
                <w:b w:val="0"/>
                <w:bCs w:val="0"/>
              </w:rPr>
            </w:pPr>
            <w:r w:rsidRPr="00C91F39">
              <w:rPr>
                <w:rFonts w:ascii="Times New Roman" w:hAnsi="Times New Roman" w:cs="Times New Roman"/>
                <w:b w:val="0"/>
                <w:bCs w:val="0"/>
              </w:rPr>
              <w:t>Trigliserid</w:t>
            </w:r>
            <w:r w:rsidR="009D790D" w:rsidRPr="00C91F39">
              <w:rPr>
                <w:rFonts w:ascii="Times New Roman" w:hAnsi="Times New Roman" w:cs="Times New Roman"/>
                <w:b w:val="0"/>
                <w:bCs w:val="0"/>
              </w:rPr>
              <w:t xml:space="preserve"> </w:t>
            </w:r>
            <w:r w:rsidR="009D790D" w:rsidRPr="00C91F39">
              <w:rPr>
                <w:rFonts w:ascii="Times New Roman" w:hAnsi="Times New Roman" w:cs="Times New Roman"/>
                <w:b w:val="0"/>
              </w:rPr>
              <w:t>(mg/dL)</w:t>
            </w:r>
          </w:p>
        </w:tc>
        <w:tc>
          <w:tcPr>
            <w:tcW w:w="1574" w:type="dxa"/>
          </w:tcPr>
          <w:p w14:paraId="6829A4EB"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129±58.4</w:t>
            </w:r>
          </w:p>
        </w:tc>
        <w:tc>
          <w:tcPr>
            <w:tcW w:w="1717" w:type="dxa"/>
          </w:tcPr>
          <w:p w14:paraId="20A8B21A"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124.7±63.4</w:t>
            </w:r>
          </w:p>
        </w:tc>
        <w:tc>
          <w:tcPr>
            <w:tcW w:w="2297" w:type="dxa"/>
          </w:tcPr>
          <w:p w14:paraId="02C5440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0.402</w:t>
            </w:r>
          </w:p>
        </w:tc>
      </w:tr>
      <w:tr w:rsidR="00C91F39" w:rsidRPr="00C91F39" w14:paraId="36CDC1DC" w14:textId="77777777" w:rsidTr="007932DE">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4149" w:type="dxa"/>
          </w:tcPr>
          <w:p w14:paraId="25528889"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HDL (mg/dL)</w:t>
            </w:r>
          </w:p>
        </w:tc>
        <w:tc>
          <w:tcPr>
            <w:tcW w:w="1574" w:type="dxa"/>
          </w:tcPr>
          <w:p w14:paraId="6A4CB440"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56.7±20.4</w:t>
            </w:r>
          </w:p>
        </w:tc>
        <w:tc>
          <w:tcPr>
            <w:tcW w:w="1717" w:type="dxa"/>
          </w:tcPr>
          <w:p w14:paraId="1BABFC34"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54.07±17.8</w:t>
            </w:r>
          </w:p>
        </w:tc>
        <w:tc>
          <w:tcPr>
            <w:tcW w:w="2297" w:type="dxa"/>
          </w:tcPr>
          <w:p w14:paraId="2FF72185"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0.307</w:t>
            </w:r>
          </w:p>
        </w:tc>
      </w:tr>
      <w:tr w:rsidR="00C91F39" w:rsidRPr="00C91F39" w14:paraId="6E415B3A"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0E92E6E6"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LDL (mg/dL)</w:t>
            </w:r>
          </w:p>
        </w:tc>
        <w:tc>
          <w:tcPr>
            <w:tcW w:w="1574" w:type="dxa"/>
          </w:tcPr>
          <w:p w14:paraId="34B0AE18"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126.5±43.6</w:t>
            </w:r>
          </w:p>
        </w:tc>
        <w:tc>
          <w:tcPr>
            <w:tcW w:w="1717" w:type="dxa"/>
          </w:tcPr>
          <w:p w14:paraId="79138C75"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126.2±44.5</w:t>
            </w:r>
          </w:p>
        </w:tc>
        <w:tc>
          <w:tcPr>
            <w:tcW w:w="2297" w:type="dxa"/>
          </w:tcPr>
          <w:p w14:paraId="7E00581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0.814</w:t>
            </w:r>
          </w:p>
        </w:tc>
      </w:tr>
      <w:tr w:rsidR="00C91F39" w:rsidRPr="00C91F39" w14:paraId="666E3E73"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5C55A24D"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Vitamin B12 (pmol/L)</w:t>
            </w:r>
          </w:p>
        </w:tc>
        <w:tc>
          <w:tcPr>
            <w:tcW w:w="1574" w:type="dxa"/>
          </w:tcPr>
          <w:p w14:paraId="5C4042E8"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535.2±413.7</w:t>
            </w:r>
          </w:p>
        </w:tc>
        <w:tc>
          <w:tcPr>
            <w:tcW w:w="1717" w:type="dxa"/>
          </w:tcPr>
          <w:p w14:paraId="28539D71"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511.6±427.9</w:t>
            </w:r>
          </w:p>
        </w:tc>
        <w:tc>
          <w:tcPr>
            <w:tcW w:w="2297" w:type="dxa"/>
          </w:tcPr>
          <w:p w14:paraId="2ACBC5C1"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0.481</w:t>
            </w:r>
          </w:p>
        </w:tc>
      </w:tr>
      <w:tr w:rsidR="00C91F39" w:rsidRPr="00C91F39" w14:paraId="4C963A07"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2E5EAA9A" w14:textId="5CFB655F"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Vitamin D (ng/mL)</w:t>
            </w:r>
          </w:p>
        </w:tc>
        <w:tc>
          <w:tcPr>
            <w:tcW w:w="1574" w:type="dxa"/>
          </w:tcPr>
          <w:p w14:paraId="00C3B436"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22.4±14.6</w:t>
            </w:r>
          </w:p>
        </w:tc>
        <w:tc>
          <w:tcPr>
            <w:tcW w:w="1717" w:type="dxa"/>
          </w:tcPr>
          <w:p w14:paraId="6EE51C0F"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28.5±14.24</w:t>
            </w:r>
          </w:p>
        </w:tc>
        <w:tc>
          <w:tcPr>
            <w:tcW w:w="2297" w:type="dxa"/>
          </w:tcPr>
          <w:p w14:paraId="66725E3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0.225</w:t>
            </w:r>
          </w:p>
        </w:tc>
      </w:tr>
      <w:tr w:rsidR="00C91F39" w:rsidRPr="00C91F39" w14:paraId="243C1F80" w14:textId="77777777" w:rsidTr="007932DE">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A3CFFA7" w14:textId="252FF444"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 xml:space="preserve">Folic </w:t>
            </w:r>
            <w:r w:rsidR="00752886" w:rsidRPr="00C91F39">
              <w:rPr>
                <w:rFonts w:ascii="Times New Roman" w:hAnsi="Times New Roman" w:cs="Times New Roman"/>
                <w:b w:val="0"/>
              </w:rPr>
              <w:t>a</w:t>
            </w:r>
            <w:r w:rsidR="008B2EE4" w:rsidRPr="00C91F39">
              <w:rPr>
                <w:rFonts w:ascii="Times New Roman" w:hAnsi="Times New Roman" w:cs="Times New Roman"/>
                <w:b w:val="0"/>
              </w:rPr>
              <w:t>c</w:t>
            </w:r>
            <w:r w:rsidRPr="00C91F39">
              <w:rPr>
                <w:rFonts w:ascii="Times New Roman" w:hAnsi="Times New Roman" w:cs="Times New Roman"/>
                <w:b w:val="0"/>
              </w:rPr>
              <w:t>id (ng/mL)</w:t>
            </w:r>
          </w:p>
        </w:tc>
        <w:tc>
          <w:tcPr>
            <w:tcW w:w="1574" w:type="dxa"/>
          </w:tcPr>
          <w:p w14:paraId="51286CBA"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18.8±9.2</w:t>
            </w:r>
          </w:p>
        </w:tc>
        <w:tc>
          <w:tcPr>
            <w:tcW w:w="1717" w:type="dxa"/>
          </w:tcPr>
          <w:p w14:paraId="16E00B37"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17.98±7.4</w:t>
            </w:r>
          </w:p>
        </w:tc>
        <w:tc>
          <w:tcPr>
            <w:tcW w:w="2297" w:type="dxa"/>
          </w:tcPr>
          <w:p w14:paraId="2C1B092F" w14:textId="77777777" w:rsidR="00E85ABD" w:rsidRPr="00C91F39" w:rsidRDefault="00E85ABD" w:rsidP="007932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0.795</w:t>
            </w:r>
          </w:p>
        </w:tc>
      </w:tr>
      <w:tr w:rsidR="00C91F39" w:rsidRPr="00C91F39" w14:paraId="2F5C46A5" w14:textId="77777777" w:rsidTr="007932DE">
        <w:trPr>
          <w:trHeight w:val="381"/>
        </w:trPr>
        <w:tc>
          <w:tcPr>
            <w:cnfStyle w:val="001000000000" w:firstRow="0" w:lastRow="0" w:firstColumn="1" w:lastColumn="0" w:oddVBand="0" w:evenVBand="0" w:oddHBand="0" w:evenHBand="0" w:firstRowFirstColumn="0" w:firstRowLastColumn="0" w:lastRowFirstColumn="0" w:lastRowLastColumn="0"/>
            <w:tcW w:w="4149" w:type="dxa"/>
          </w:tcPr>
          <w:p w14:paraId="319139A8" w14:textId="77777777" w:rsidR="00E85ABD" w:rsidRPr="00C91F39" w:rsidRDefault="00E85ABD" w:rsidP="007932DE">
            <w:pPr>
              <w:spacing w:line="360" w:lineRule="auto"/>
              <w:rPr>
                <w:rFonts w:ascii="Times New Roman" w:hAnsi="Times New Roman" w:cs="Times New Roman"/>
                <w:b w:val="0"/>
              </w:rPr>
            </w:pPr>
            <w:r w:rsidRPr="00C91F39">
              <w:rPr>
                <w:rFonts w:ascii="Times New Roman" w:hAnsi="Times New Roman" w:cs="Times New Roman"/>
                <w:b w:val="0"/>
              </w:rPr>
              <w:t>Hemoglobin (g/dL)</w:t>
            </w:r>
          </w:p>
        </w:tc>
        <w:tc>
          <w:tcPr>
            <w:tcW w:w="1574" w:type="dxa"/>
          </w:tcPr>
          <w:p w14:paraId="2B5DB8CD"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12.7±3.7</w:t>
            </w:r>
          </w:p>
        </w:tc>
        <w:tc>
          <w:tcPr>
            <w:tcW w:w="1717" w:type="dxa"/>
          </w:tcPr>
          <w:p w14:paraId="458750FC"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12.7±3.2</w:t>
            </w:r>
          </w:p>
        </w:tc>
        <w:tc>
          <w:tcPr>
            <w:tcW w:w="2297" w:type="dxa"/>
          </w:tcPr>
          <w:p w14:paraId="733ABC72" w14:textId="77777777" w:rsidR="00E85ABD" w:rsidRPr="00C91F39" w:rsidRDefault="00E85ABD" w:rsidP="007932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1F39">
              <w:rPr>
                <w:rFonts w:ascii="Times New Roman" w:hAnsi="Times New Roman" w:cs="Times New Roman"/>
              </w:rPr>
              <w:t>0.578</w:t>
            </w:r>
          </w:p>
        </w:tc>
      </w:tr>
      <w:tr w:rsidR="00C91F39" w:rsidRPr="00C91F39" w14:paraId="176E3496" w14:textId="77777777" w:rsidTr="007932DE">
        <w:trPr>
          <w:cnfStyle w:val="000000100000" w:firstRow="0" w:lastRow="0" w:firstColumn="0" w:lastColumn="0" w:oddVBand="0" w:evenVBand="0" w:oddHBand="1" w:evenHBand="0" w:firstRowFirstColumn="0" w:firstRowLastColumn="0" w:lastRowFirstColumn="0" w:lastRowLastColumn="0"/>
          <w:trHeight w:val="3376"/>
        </w:trPr>
        <w:tc>
          <w:tcPr>
            <w:cnfStyle w:val="001000000000" w:firstRow="0" w:lastRow="0" w:firstColumn="1" w:lastColumn="0" w:oddVBand="0" w:evenVBand="0" w:oddHBand="0" w:evenHBand="0" w:firstRowFirstColumn="0" w:firstRowLastColumn="0" w:lastRowFirstColumn="0" w:lastRowLastColumn="0"/>
            <w:tcW w:w="9739" w:type="dxa"/>
            <w:gridSpan w:val="4"/>
          </w:tcPr>
          <w:p w14:paraId="020EEAB5" w14:textId="0AEE524F" w:rsidR="00E85ABD" w:rsidRPr="00C91F39" w:rsidRDefault="00E85ABD" w:rsidP="007932DE">
            <w:pPr>
              <w:spacing w:line="360" w:lineRule="auto"/>
              <w:jc w:val="both"/>
              <w:rPr>
                <w:rFonts w:ascii="Times New Roman" w:hAnsi="Times New Roman" w:cs="Times New Roman"/>
                <w:b w:val="0"/>
              </w:rPr>
            </w:pPr>
            <w:r w:rsidRPr="00C91F39">
              <w:rPr>
                <w:rFonts w:ascii="Times New Roman" w:hAnsi="Times New Roman" w:cs="Times New Roman"/>
                <w:b w:val="0"/>
              </w:rPr>
              <w:t>Abbreviations.</w:t>
            </w:r>
            <w:bookmarkStart w:id="9" w:name="_Hlk97405122"/>
            <w:r w:rsidRPr="00C91F39">
              <w:rPr>
                <w:rFonts w:ascii="Times New Roman" w:hAnsi="Times New Roman" w:cs="Times New Roman"/>
                <w:b w:val="0"/>
              </w:rPr>
              <w:t xml:space="preserve">  AD, Alzheimer's disease; </w:t>
            </w:r>
            <w:r w:rsidRPr="00C91F39">
              <w:rPr>
                <w:rFonts w:ascii="Times New Roman" w:hAnsi="Times New Roman" w:cs="Times New Roman"/>
              </w:rPr>
              <w:t xml:space="preserve"> </w:t>
            </w:r>
            <w:r w:rsidRPr="00C91F39">
              <w:rPr>
                <w:rFonts w:ascii="Times New Roman" w:hAnsi="Times New Roman" w:cs="Times New Roman"/>
                <w:b w:val="0"/>
                <w:bCs w:val="0"/>
              </w:rPr>
              <w:t>BADL, Basic Activities of Daily Living; CAD, Coronary Artery Disease; CHF, Congestive Heart Failure; COPD, Chronic Obstructive Pulmonary</w:t>
            </w:r>
            <w:r w:rsidRPr="00C91F39">
              <w:rPr>
                <w:rFonts w:ascii="Times New Roman" w:hAnsi="Times New Roman" w:cs="Times New Roman"/>
                <w:b w:val="0"/>
              </w:rPr>
              <w:t xml:space="preserve"> Disease; CVE, Cerebrovascular events; DM, Diabetes Mellitus; GFR, Glomerular filtration rate;  HDL, high-density lipoprotein;  IADL, Instrumental Activities of Daily Living; </w:t>
            </w:r>
            <w:r w:rsidRPr="00C91F39">
              <w:rPr>
                <w:rFonts w:ascii="Times New Roman" w:hAnsi="Times New Roman" w:cs="Times New Roman"/>
                <w:b w:val="0"/>
                <w:sz w:val="24"/>
                <w:szCs w:val="24"/>
              </w:rPr>
              <w:t xml:space="preserve"> </w:t>
            </w:r>
            <w:r w:rsidRPr="00C91F39">
              <w:rPr>
                <w:rFonts w:ascii="Times New Roman" w:hAnsi="Times New Roman" w:cs="Times New Roman"/>
                <w:b w:val="0"/>
              </w:rPr>
              <w:t xml:space="preserve">ISI, Insomnia Severity Index; </w:t>
            </w:r>
            <w:r w:rsidR="00D4564F" w:rsidRPr="00C91F39">
              <w:rPr>
                <w:rFonts w:ascii="Times New Roman" w:hAnsi="Times New Roman" w:cs="Times New Roman"/>
                <w:b w:val="0"/>
              </w:rPr>
              <w:t>DLB</w:t>
            </w:r>
            <w:r w:rsidRPr="00C91F39">
              <w:rPr>
                <w:rFonts w:ascii="Times New Roman" w:hAnsi="Times New Roman" w:cs="Times New Roman"/>
                <w:b w:val="0"/>
              </w:rPr>
              <w:t xml:space="preserve">, dementia with Lewy bodies; MMSE,  </w:t>
            </w:r>
            <w:r w:rsidR="00D4564F" w:rsidRPr="00C91F39">
              <w:rPr>
                <w:rFonts w:ascii="Times New Roman" w:hAnsi="Times New Roman" w:cs="Times New Roman"/>
                <w:b w:val="0"/>
              </w:rPr>
              <w:t xml:space="preserve"> Mini Mental State Examination; </w:t>
            </w:r>
            <w:r w:rsidRPr="00C91F39">
              <w:rPr>
                <w:rFonts w:ascii="Times New Roman" w:hAnsi="Times New Roman" w:cs="Times New Roman"/>
                <w:b w:val="0"/>
              </w:rPr>
              <w:t>LDL, low-density lipoprotein; MNA, Mini-nutritional Assessment;  MOCA, Montreal Cognitive Asssessment; OA, Osteoarthritis; PAD, Peripheral Artery Disease</w:t>
            </w:r>
            <w:bookmarkEnd w:id="9"/>
            <w:r w:rsidRPr="00C91F39">
              <w:rPr>
                <w:rFonts w:ascii="Times New Roman" w:hAnsi="Times New Roman" w:cs="Times New Roman"/>
                <w:b w:val="0"/>
              </w:rPr>
              <w:t>; SD, Standart deviation</w:t>
            </w:r>
          </w:p>
          <w:p w14:paraId="114ECF2A" w14:textId="77777777" w:rsidR="00E85ABD" w:rsidRPr="00C91F39" w:rsidRDefault="00E85ABD" w:rsidP="007932DE">
            <w:pPr>
              <w:spacing w:line="360" w:lineRule="auto"/>
              <w:jc w:val="both"/>
              <w:rPr>
                <w:rFonts w:ascii="Times New Roman" w:hAnsi="Times New Roman" w:cs="Times New Roman"/>
                <w:bCs w:val="0"/>
              </w:rPr>
            </w:pPr>
            <w:r w:rsidRPr="00C91F39">
              <w:rPr>
                <w:rFonts w:ascii="Times New Roman" w:hAnsi="Times New Roman" w:cs="Times New Roman"/>
                <w:b w:val="0"/>
              </w:rPr>
              <w:t>The bold values show statistically significant results.</w:t>
            </w:r>
          </w:p>
        </w:tc>
      </w:tr>
    </w:tbl>
    <w:p w14:paraId="3DA8D233" w14:textId="12CE89AF" w:rsidR="00E85ABD" w:rsidRPr="00C91F39" w:rsidRDefault="00E85ABD" w:rsidP="00E60179">
      <w:pPr>
        <w:spacing w:line="360" w:lineRule="auto"/>
        <w:jc w:val="both"/>
        <w:rPr>
          <w:rFonts w:ascii="Times New Roman" w:hAnsi="Times New Roman" w:cs="Times New Roman"/>
          <w:sz w:val="24"/>
          <w:szCs w:val="24"/>
        </w:rPr>
      </w:pPr>
    </w:p>
    <w:p w14:paraId="1884CA41" w14:textId="01DF0F5A" w:rsidR="00EF4FD4" w:rsidRPr="00C91F39" w:rsidRDefault="00EF4FD4" w:rsidP="00E60179">
      <w:pPr>
        <w:spacing w:line="360" w:lineRule="auto"/>
        <w:jc w:val="both"/>
        <w:rPr>
          <w:rFonts w:ascii="Times New Roman" w:hAnsi="Times New Roman" w:cs="Times New Roman"/>
          <w:sz w:val="24"/>
          <w:szCs w:val="24"/>
        </w:rPr>
      </w:pPr>
    </w:p>
    <w:p w14:paraId="655CA27F" w14:textId="44E5A3BB" w:rsidR="00EF4FD4" w:rsidRPr="00C91F39" w:rsidRDefault="00EF4FD4" w:rsidP="00E60179">
      <w:pPr>
        <w:spacing w:line="360" w:lineRule="auto"/>
        <w:jc w:val="both"/>
        <w:rPr>
          <w:rFonts w:ascii="Times New Roman" w:hAnsi="Times New Roman" w:cs="Times New Roman"/>
          <w:sz w:val="24"/>
          <w:szCs w:val="24"/>
        </w:rPr>
      </w:pPr>
    </w:p>
    <w:p w14:paraId="38C728D5" w14:textId="0B3E6EC4" w:rsidR="00EF4FD4" w:rsidRPr="00C91F39" w:rsidRDefault="00EF4FD4" w:rsidP="00E60179">
      <w:pPr>
        <w:spacing w:line="360" w:lineRule="auto"/>
        <w:jc w:val="both"/>
        <w:rPr>
          <w:rFonts w:ascii="Times New Roman" w:hAnsi="Times New Roman" w:cs="Times New Roman"/>
          <w:sz w:val="24"/>
          <w:szCs w:val="24"/>
        </w:rPr>
      </w:pPr>
    </w:p>
    <w:p w14:paraId="752C06CE" w14:textId="33138DA2" w:rsidR="00EF4FD4" w:rsidRPr="00C91F39" w:rsidRDefault="00EF4FD4" w:rsidP="00E60179">
      <w:pPr>
        <w:spacing w:line="360" w:lineRule="auto"/>
        <w:jc w:val="both"/>
        <w:rPr>
          <w:rFonts w:ascii="Times New Roman" w:hAnsi="Times New Roman" w:cs="Times New Roman"/>
          <w:sz w:val="24"/>
          <w:szCs w:val="24"/>
        </w:rPr>
      </w:pPr>
    </w:p>
    <w:p w14:paraId="102D54C0" w14:textId="622C79DB" w:rsidR="00EF4FD4" w:rsidRPr="00C91F39" w:rsidRDefault="00EF4FD4" w:rsidP="00E60179">
      <w:pPr>
        <w:spacing w:line="360" w:lineRule="auto"/>
        <w:jc w:val="both"/>
        <w:rPr>
          <w:rFonts w:ascii="Times New Roman" w:hAnsi="Times New Roman" w:cs="Times New Roman"/>
          <w:sz w:val="24"/>
          <w:szCs w:val="24"/>
        </w:rPr>
      </w:pPr>
    </w:p>
    <w:p w14:paraId="5F4BC3FD" w14:textId="613C7FFE" w:rsidR="00EF4FD4" w:rsidRPr="00C91F39" w:rsidRDefault="00EF4FD4" w:rsidP="00E60179">
      <w:pPr>
        <w:spacing w:line="360" w:lineRule="auto"/>
        <w:jc w:val="both"/>
        <w:rPr>
          <w:rFonts w:ascii="Times New Roman" w:hAnsi="Times New Roman" w:cs="Times New Roman"/>
          <w:sz w:val="24"/>
          <w:szCs w:val="24"/>
        </w:rPr>
      </w:pPr>
    </w:p>
    <w:p w14:paraId="69071BA5" w14:textId="54419260" w:rsidR="00EF4FD4" w:rsidRPr="00C91F39" w:rsidRDefault="00EF4FD4" w:rsidP="00E60179">
      <w:pPr>
        <w:spacing w:line="360" w:lineRule="auto"/>
        <w:jc w:val="both"/>
        <w:rPr>
          <w:rFonts w:ascii="Times New Roman" w:hAnsi="Times New Roman" w:cs="Times New Roman"/>
          <w:sz w:val="24"/>
          <w:szCs w:val="24"/>
        </w:rPr>
      </w:pPr>
    </w:p>
    <w:p w14:paraId="7299515A" w14:textId="7F6AC76A" w:rsidR="00EF4FD4" w:rsidRPr="00C91F39" w:rsidRDefault="00EF4FD4" w:rsidP="00E60179">
      <w:pPr>
        <w:spacing w:line="360" w:lineRule="auto"/>
        <w:jc w:val="both"/>
        <w:rPr>
          <w:rFonts w:ascii="Times New Roman" w:hAnsi="Times New Roman" w:cs="Times New Roman"/>
          <w:b/>
          <w:bCs/>
          <w:sz w:val="24"/>
          <w:szCs w:val="24"/>
        </w:rPr>
      </w:pPr>
      <w:r w:rsidRPr="00C91F39">
        <w:rPr>
          <w:rFonts w:ascii="Times New Roman" w:hAnsi="Times New Roman" w:cs="Times New Roman"/>
          <w:b/>
          <w:bCs/>
          <w:sz w:val="24"/>
          <w:szCs w:val="24"/>
        </w:rPr>
        <w:lastRenderedPageBreak/>
        <w:t>Figure Legends</w:t>
      </w:r>
    </w:p>
    <w:p w14:paraId="062747A0" w14:textId="2258A9F3" w:rsidR="00EF4FD4" w:rsidRPr="00C91F39" w:rsidRDefault="00EF4FD4" w:rsidP="00EF4FD4">
      <w:pPr>
        <w:spacing w:line="360" w:lineRule="auto"/>
        <w:jc w:val="both"/>
        <w:rPr>
          <w:rFonts w:ascii="Times New Roman" w:hAnsi="Times New Roman" w:cs="Times New Roman"/>
        </w:rPr>
      </w:pPr>
      <w:r w:rsidRPr="00C91F39">
        <w:rPr>
          <w:rFonts w:ascii="Times New Roman" w:hAnsi="Times New Roman" w:cs="Times New Roman"/>
          <w:sz w:val="24"/>
          <w:szCs w:val="24"/>
        </w:rPr>
        <w:t>Figure</w:t>
      </w:r>
      <w:r w:rsidR="00B45DAE" w:rsidRPr="00C91F39">
        <w:rPr>
          <w:rFonts w:ascii="Times New Roman" w:hAnsi="Times New Roman" w:cs="Times New Roman"/>
          <w:sz w:val="24"/>
          <w:szCs w:val="24"/>
        </w:rPr>
        <w:t xml:space="preserve"> </w:t>
      </w:r>
      <w:r w:rsidRPr="00C91F39">
        <w:rPr>
          <w:rFonts w:ascii="Times New Roman" w:hAnsi="Times New Roman" w:cs="Times New Roman"/>
          <w:sz w:val="24"/>
          <w:szCs w:val="24"/>
        </w:rPr>
        <w:t xml:space="preserve">1a. Comparison of </w:t>
      </w:r>
      <w:r w:rsidRPr="00C91F39">
        <w:rPr>
          <w:rFonts w:ascii="Times New Roman" w:hAnsi="Times New Roman" w:cs="Times New Roman"/>
        </w:rPr>
        <w:t>Basic Activities of Daily Living between Alzheimer’s Disease and Dementia with Lewy Bodies</w:t>
      </w:r>
    </w:p>
    <w:p w14:paraId="641B2441" w14:textId="77777777" w:rsidR="008E1D75" w:rsidRPr="00C91F39" w:rsidRDefault="008E1D75" w:rsidP="008E1D75">
      <w:pPr>
        <w:spacing w:line="360" w:lineRule="auto"/>
        <w:jc w:val="both"/>
        <w:rPr>
          <w:rFonts w:ascii="Times New Roman" w:hAnsi="Times New Roman" w:cs="Times New Roman"/>
        </w:rPr>
      </w:pPr>
      <w:r w:rsidRPr="00C91F39">
        <w:rPr>
          <w:rFonts w:ascii="Times New Roman" w:hAnsi="Times New Roman" w:cs="Times New Roman"/>
        </w:rPr>
        <w:t>Figure 1b. Comparison of Instrumental Activities of Daily Living between Alzheimer’s Disease and Dementia with Lewy Bodies</w:t>
      </w:r>
    </w:p>
    <w:p w14:paraId="3A8F33E0" w14:textId="3B98CDA2" w:rsidR="008E1D75" w:rsidRPr="00C91F39" w:rsidRDefault="008E1D75" w:rsidP="008E1D75">
      <w:pPr>
        <w:spacing w:line="360" w:lineRule="auto"/>
        <w:jc w:val="both"/>
        <w:rPr>
          <w:rFonts w:ascii="Times New Roman" w:hAnsi="Times New Roman" w:cs="Times New Roman"/>
        </w:rPr>
      </w:pPr>
      <w:r w:rsidRPr="00C91F39">
        <w:rPr>
          <w:rFonts w:ascii="Times New Roman" w:hAnsi="Times New Roman" w:cs="Times New Roman"/>
          <w:lang w:val="en-GB"/>
        </w:rPr>
        <w:t xml:space="preserve">Figure 2a. Dependency ratio of </w:t>
      </w:r>
      <w:r w:rsidRPr="00C91F39">
        <w:rPr>
          <w:rFonts w:ascii="Times New Roman" w:hAnsi="Times New Roman" w:cs="Times New Roman"/>
        </w:rPr>
        <w:t>Instrumental Activities of Daily Living between Alzheimer’s Disease and Dementia with Lewy Bodies.</w:t>
      </w:r>
    </w:p>
    <w:p w14:paraId="62E4E363" w14:textId="6C0F4FF0" w:rsidR="008E1D75" w:rsidRPr="00C91F39" w:rsidRDefault="008E1D75" w:rsidP="008E1D75">
      <w:pPr>
        <w:spacing w:line="360" w:lineRule="auto"/>
        <w:jc w:val="both"/>
        <w:rPr>
          <w:rFonts w:ascii="Times New Roman" w:hAnsi="Times New Roman" w:cs="Times New Roman"/>
        </w:rPr>
      </w:pPr>
      <w:r w:rsidRPr="00C91F39">
        <w:rPr>
          <w:rFonts w:ascii="Times New Roman" w:hAnsi="Times New Roman" w:cs="Times New Roman"/>
        </w:rPr>
        <w:t xml:space="preserve">Figure 2b. </w:t>
      </w:r>
      <w:r w:rsidRPr="00C91F39">
        <w:rPr>
          <w:rFonts w:ascii="Times New Roman" w:hAnsi="Times New Roman" w:cs="Times New Roman"/>
          <w:lang w:val="en-GB"/>
        </w:rPr>
        <w:t xml:space="preserve">Dependency ratio of </w:t>
      </w:r>
      <w:r w:rsidRPr="00C91F39">
        <w:rPr>
          <w:rFonts w:ascii="Times New Roman" w:hAnsi="Times New Roman" w:cs="Times New Roman"/>
        </w:rPr>
        <w:t>Basic Activities of Daily Living between Alzheimer’s Disease and Dementia with Lewy Bodies</w:t>
      </w:r>
    </w:p>
    <w:p w14:paraId="70158ADA" w14:textId="01F436B1" w:rsidR="008E1D75" w:rsidRPr="00C91F39" w:rsidRDefault="008E1D75" w:rsidP="008E1D75">
      <w:pPr>
        <w:spacing w:line="360" w:lineRule="auto"/>
        <w:jc w:val="both"/>
      </w:pPr>
    </w:p>
    <w:p w14:paraId="30FEC97D" w14:textId="22C5E255" w:rsidR="008E1D75" w:rsidRPr="00C91F39" w:rsidRDefault="008E1D75" w:rsidP="008E1D75">
      <w:pPr>
        <w:spacing w:line="360" w:lineRule="auto"/>
        <w:jc w:val="both"/>
        <w:rPr>
          <w:lang w:val="en-GB"/>
        </w:rPr>
      </w:pPr>
    </w:p>
    <w:p w14:paraId="26A7324F" w14:textId="398488A5" w:rsidR="008E1D75" w:rsidRPr="00C91F39" w:rsidRDefault="008E1D75" w:rsidP="00EF4FD4">
      <w:pPr>
        <w:spacing w:line="360" w:lineRule="auto"/>
        <w:jc w:val="both"/>
        <w:rPr>
          <w:lang w:val="en-GB"/>
        </w:rPr>
      </w:pPr>
    </w:p>
    <w:p w14:paraId="3E7119A1" w14:textId="1B4190EF" w:rsidR="00EF4FD4" w:rsidRDefault="00EF4FD4" w:rsidP="00E60179">
      <w:pPr>
        <w:spacing w:line="360" w:lineRule="auto"/>
        <w:jc w:val="both"/>
        <w:rPr>
          <w:rFonts w:ascii="Times New Roman" w:hAnsi="Times New Roman" w:cs="Times New Roman"/>
          <w:sz w:val="24"/>
          <w:szCs w:val="24"/>
        </w:rPr>
      </w:pPr>
    </w:p>
    <w:p w14:paraId="3D61E768" w14:textId="000B914F" w:rsidR="00C91F39" w:rsidRDefault="00C91F39" w:rsidP="00E60179">
      <w:pPr>
        <w:spacing w:line="360" w:lineRule="auto"/>
        <w:jc w:val="both"/>
        <w:rPr>
          <w:rFonts w:ascii="Times New Roman" w:hAnsi="Times New Roman" w:cs="Times New Roman"/>
          <w:sz w:val="24"/>
          <w:szCs w:val="24"/>
        </w:rPr>
      </w:pPr>
    </w:p>
    <w:p w14:paraId="56D2250B" w14:textId="73A9E6AC" w:rsidR="00C91F39" w:rsidRDefault="00C91F39" w:rsidP="00E60179">
      <w:pPr>
        <w:spacing w:line="360" w:lineRule="auto"/>
        <w:jc w:val="both"/>
        <w:rPr>
          <w:rFonts w:ascii="Times New Roman" w:hAnsi="Times New Roman" w:cs="Times New Roman"/>
          <w:sz w:val="24"/>
          <w:szCs w:val="24"/>
        </w:rPr>
      </w:pPr>
    </w:p>
    <w:p w14:paraId="58033FB5" w14:textId="610A4582" w:rsidR="00C91F39" w:rsidRDefault="00C91F39" w:rsidP="00E60179">
      <w:pPr>
        <w:spacing w:line="360" w:lineRule="auto"/>
        <w:jc w:val="both"/>
        <w:rPr>
          <w:rFonts w:ascii="Times New Roman" w:hAnsi="Times New Roman" w:cs="Times New Roman"/>
          <w:sz w:val="24"/>
          <w:szCs w:val="24"/>
        </w:rPr>
      </w:pPr>
    </w:p>
    <w:p w14:paraId="62196517" w14:textId="5CA30141" w:rsidR="00C91F39" w:rsidRDefault="00C91F39" w:rsidP="00E60179">
      <w:pPr>
        <w:spacing w:line="360" w:lineRule="auto"/>
        <w:jc w:val="both"/>
        <w:rPr>
          <w:rFonts w:ascii="Times New Roman" w:hAnsi="Times New Roman" w:cs="Times New Roman"/>
          <w:sz w:val="24"/>
          <w:szCs w:val="24"/>
        </w:rPr>
      </w:pPr>
    </w:p>
    <w:p w14:paraId="74740A54" w14:textId="0A4F657C" w:rsidR="00C91F39" w:rsidRDefault="00C91F39" w:rsidP="00E60179">
      <w:pPr>
        <w:spacing w:line="360" w:lineRule="auto"/>
        <w:jc w:val="both"/>
        <w:rPr>
          <w:rFonts w:ascii="Times New Roman" w:hAnsi="Times New Roman" w:cs="Times New Roman"/>
          <w:sz w:val="24"/>
          <w:szCs w:val="24"/>
        </w:rPr>
      </w:pPr>
    </w:p>
    <w:p w14:paraId="22F5036A" w14:textId="1533DDB6" w:rsidR="00C91F39" w:rsidRDefault="00C91F39" w:rsidP="00E60179">
      <w:pPr>
        <w:spacing w:line="360" w:lineRule="auto"/>
        <w:jc w:val="both"/>
        <w:rPr>
          <w:rFonts w:ascii="Times New Roman" w:hAnsi="Times New Roman" w:cs="Times New Roman"/>
          <w:sz w:val="24"/>
          <w:szCs w:val="24"/>
        </w:rPr>
      </w:pPr>
    </w:p>
    <w:p w14:paraId="01CD5AB9" w14:textId="6FAB6007" w:rsidR="00C91F39" w:rsidRDefault="00C91F39" w:rsidP="00E60179">
      <w:pPr>
        <w:spacing w:line="360" w:lineRule="auto"/>
        <w:jc w:val="both"/>
        <w:rPr>
          <w:rFonts w:ascii="Times New Roman" w:hAnsi="Times New Roman" w:cs="Times New Roman"/>
          <w:sz w:val="24"/>
          <w:szCs w:val="24"/>
        </w:rPr>
      </w:pPr>
    </w:p>
    <w:p w14:paraId="1C8FE914" w14:textId="1AF74627" w:rsidR="00C91F39" w:rsidRDefault="00C91F39" w:rsidP="00E60179">
      <w:pPr>
        <w:spacing w:line="360" w:lineRule="auto"/>
        <w:jc w:val="both"/>
        <w:rPr>
          <w:rFonts w:ascii="Times New Roman" w:hAnsi="Times New Roman" w:cs="Times New Roman"/>
          <w:sz w:val="24"/>
          <w:szCs w:val="24"/>
        </w:rPr>
      </w:pPr>
    </w:p>
    <w:p w14:paraId="1B4B1538" w14:textId="57406C54" w:rsidR="00C91F39" w:rsidRDefault="00C91F39" w:rsidP="00E60179">
      <w:pPr>
        <w:spacing w:line="360" w:lineRule="auto"/>
        <w:jc w:val="both"/>
        <w:rPr>
          <w:rFonts w:ascii="Times New Roman" w:hAnsi="Times New Roman" w:cs="Times New Roman"/>
          <w:sz w:val="24"/>
          <w:szCs w:val="24"/>
        </w:rPr>
      </w:pPr>
    </w:p>
    <w:p w14:paraId="5D88B233" w14:textId="2378BBF5" w:rsidR="00C91F39" w:rsidRDefault="00C91F39" w:rsidP="00E60179">
      <w:pPr>
        <w:spacing w:line="360" w:lineRule="auto"/>
        <w:jc w:val="both"/>
        <w:rPr>
          <w:rFonts w:ascii="Times New Roman" w:hAnsi="Times New Roman" w:cs="Times New Roman"/>
          <w:sz w:val="24"/>
          <w:szCs w:val="24"/>
        </w:rPr>
      </w:pPr>
    </w:p>
    <w:p w14:paraId="69CF592D" w14:textId="03091441" w:rsidR="00C91F39" w:rsidRDefault="00C91F39" w:rsidP="00E60179">
      <w:pPr>
        <w:spacing w:line="360" w:lineRule="auto"/>
        <w:jc w:val="both"/>
        <w:rPr>
          <w:rFonts w:ascii="Times New Roman" w:hAnsi="Times New Roman" w:cs="Times New Roman"/>
          <w:sz w:val="24"/>
          <w:szCs w:val="24"/>
        </w:rPr>
      </w:pPr>
    </w:p>
    <w:p w14:paraId="0E5AB4A5" w14:textId="73131C1B" w:rsidR="00C91F39" w:rsidRDefault="00C91F39" w:rsidP="00E60179">
      <w:pPr>
        <w:spacing w:line="360" w:lineRule="auto"/>
        <w:jc w:val="both"/>
        <w:rPr>
          <w:rFonts w:ascii="Times New Roman" w:hAnsi="Times New Roman" w:cs="Times New Roman"/>
          <w:sz w:val="24"/>
          <w:szCs w:val="24"/>
        </w:rPr>
      </w:pPr>
    </w:p>
    <w:p w14:paraId="3F2A2CD9" w14:textId="69C60C3E" w:rsidR="00C91F39" w:rsidRDefault="00C91F39" w:rsidP="00E60179">
      <w:pPr>
        <w:spacing w:line="360" w:lineRule="auto"/>
        <w:jc w:val="both"/>
        <w:rPr>
          <w:rFonts w:ascii="Times New Roman" w:hAnsi="Times New Roman" w:cs="Times New Roman"/>
          <w:sz w:val="24"/>
          <w:szCs w:val="24"/>
        </w:rPr>
      </w:pPr>
    </w:p>
    <w:p w14:paraId="6DD09CFC" w14:textId="3D811F8F" w:rsidR="00C91F39" w:rsidRDefault="00C91F39" w:rsidP="00E60179">
      <w:pPr>
        <w:spacing w:line="360" w:lineRule="auto"/>
        <w:jc w:val="both"/>
        <w:rPr>
          <w:noProof/>
        </w:rPr>
      </w:pPr>
      <w:r>
        <w:rPr>
          <w:noProof/>
        </w:rPr>
        <w:lastRenderedPageBreak/>
        <w:drawing>
          <wp:inline distT="0" distB="0" distL="0" distR="0" wp14:anchorId="7260B469" wp14:editId="66D59335">
            <wp:extent cx="5960533" cy="3352800"/>
            <wp:effectExtent l="0" t="0" r="254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96DAC541-7B7A-43D3-8B79-37D633B846F1}">
                          <asvg:svgBlip xmlns:asvg="http://schemas.microsoft.com/office/drawing/2016/SVG/main" r:embed="rId8"/>
                        </a:ext>
                      </a:extLst>
                    </a:blip>
                    <a:stretch>
                      <a:fillRect/>
                    </a:stretch>
                  </pic:blipFill>
                  <pic:spPr>
                    <a:xfrm>
                      <a:off x="0" y="0"/>
                      <a:ext cx="5966007" cy="3355879"/>
                    </a:xfrm>
                    <a:prstGeom prst="rect">
                      <a:avLst/>
                    </a:prstGeom>
                  </pic:spPr>
                </pic:pic>
              </a:graphicData>
            </a:graphic>
          </wp:inline>
        </w:drawing>
      </w:r>
    </w:p>
    <w:p w14:paraId="1DA476B6" w14:textId="496ADBB7" w:rsidR="00C91F39" w:rsidRDefault="00C91F39" w:rsidP="00C91F39">
      <w:pPr>
        <w:rPr>
          <w:noProof/>
        </w:rPr>
      </w:pPr>
    </w:p>
    <w:p w14:paraId="237BCCC8" w14:textId="6A9F8222" w:rsidR="00C91F39" w:rsidRDefault="00C91F39" w:rsidP="00C91F39">
      <w:pPr>
        <w:tabs>
          <w:tab w:val="left" w:pos="1970"/>
        </w:tabs>
        <w:rPr>
          <w:rFonts w:ascii="Times New Roman" w:hAnsi="Times New Roman" w:cs="Times New Roman"/>
          <w:sz w:val="24"/>
          <w:szCs w:val="24"/>
        </w:rPr>
      </w:pPr>
      <w:r>
        <w:rPr>
          <w:rFonts w:ascii="Times New Roman" w:hAnsi="Times New Roman" w:cs="Times New Roman"/>
          <w:sz w:val="24"/>
          <w:szCs w:val="24"/>
        </w:rPr>
        <w:tab/>
      </w:r>
    </w:p>
    <w:p w14:paraId="04504718" w14:textId="3B37B249" w:rsidR="00C91F39" w:rsidRPr="00C91F39" w:rsidRDefault="00C91F39" w:rsidP="00C91F39">
      <w:pPr>
        <w:tabs>
          <w:tab w:val="left" w:pos="1970"/>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FFD483" wp14:editId="70E73A61">
            <wp:extent cx="8072396" cy="454025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0648" cy="4544891"/>
                    </a:xfrm>
                    <a:prstGeom prst="rect">
                      <a:avLst/>
                    </a:prstGeom>
                    <a:noFill/>
                  </pic:spPr>
                </pic:pic>
              </a:graphicData>
            </a:graphic>
          </wp:inline>
        </w:drawing>
      </w:r>
    </w:p>
    <w:sectPr w:rsidR="00C91F39" w:rsidRPr="00C91F39" w:rsidSect="004130E2">
      <w:pgSz w:w="11906" w:h="16838"/>
      <w:pgMar w:top="1417" w:right="1417" w:bottom="1417" w:left="1417" w:header="708" w:footer="708" w:gutter="0"/>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51A02"/>
    <w:multiLevelType w:val="hybridMultilevel"/>
    <w:tmpl w:val="B33E016A"/>
    <w:lvl w:ilvl="0" w:tplc="9C448236">
      <w:start w:val="1"/>
      <w:numFmt w:val="decimal"/>
      <w:lvlText w:val="%1."/>
      <w:lvlJc w:val="left"/>
      <w:pPr>
        <w:ind w:left="720" w:hanging="360"/>
      </w:pPr>
      <w:rPr>
        <w:b w:val="0"/>
        <w:bCs w:val="0"/>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33776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0A7"/>
    <w:rsid w:val="00005A1A"/>
    <w:rsid w:val="00005D94"/>
    <w:rsid w:val="000178C8"/>
    <w:rsid w:val="00021690"/>
    <w:rsid w:val="000218C2"/>
    <w:rsid w:val="000255FF"/>
    <w:rsid w:val="00025D0E"/>
    <w:rsid w:val="00026EF9"/>
    <w:rsid w:val="00030856"/>
    <w:rsid w:val="00032E3E"/>
    <w:rsid w:val="00033967"/>
    <w:rsid w:val="00037518"/>
    <w:rsid w:val="00037D74"/>
    <w:rsid w:val="00040B8B"/>
    <w:rsid w:val="000416A2"/>
    <w:rsid w:val="00044A64"/>
    <w:rsid w:val="00047E2D"/>
    <w:rsid w:val="00051671"/>
    <w:rsid w:val="000516BC"/>
    <w:rsid w:val="00051CC1"/>
    <w:rsid w:val="00070A3C"/>
    <w:rsid w:val="00072BAA"/>
    <w:rsid w:val="0007335B"/>
    <w:rsid w:val="0007348E"/>
    <w:rsid w:val="00073BC1"/>
    <w:rsid w:val="0008206C"/>
    <w:rsid w:val="00082178"/>
    <w:rsid w:val="000838C8"/>
    <w:rsid w:val="0008488A"/>
    <w:rsid w:val="00085240"/>
    <w:rsid w:val="00085A74"/>
    <w:rsid w:val="00087F7B"/>
    <w:rsid w:val="000920C0"/>
    <w:rsid w:val="0009378E"/>
    <w:rsid w:val="000A59D1"/>
    <w:rsid w:val="000C37F7"/>
    <w:rsid w:val="000D0C2C"/>
    <w:rsid w:val="000D68E0"/>
    <w:rsid w:val="000E2D6A"/>
    <w:rsid w:val="000E6259"/>
    <w:rsid w:val="000E62CC"/>
    <w:rsid w:val="000E70DC"/>
    <w:rsid w:val="000E71ED"/>
    <w:rsid w:val="000F172A"/>
    <w:rsid w:val="000F5B0F"/>
    <w:rsid w:val="000F5CA9"/>
    <w:rsid w:val="00100859"/>
    <w:rsid w:val="001032A2"/>
    <w:rsid w:val="0010578F"/>
    <w:rsid w:val="00107AC7"/>
    <w:rsid w:val="0011480E"/>
    <w:rsid w:val="00124DF0"/>
    <w:rsid w:val="00125391"/>
    <w:rsid w:val="00132A62"/>
    <w:rsid w:val="00133052"/>
    <w:rsid w:val="00141003"/>
    <w:rsid w:val="00141004"/>
    <w:rsid w:val="001507C6"/>
    <w:rsid w:val="00151AF0"/>
    <w:rsid w:val="00152B3F"/>
    <w:rsid w:val="00156FA7"/>
    <w:rsid w:val="001627D7"/>
    <w:rsid w:val="0016604A"/>
    <w:rsid w:val="001701A5"/>
    <w:rsid w:val="00173E21"/>
    <w:rsid w:val="00181876"/>
    <w:rsid w:val="00182CDA"/>
    <w:rsid w:val="00184E1B"/>
    <w:rsid w:val="00185A57"/>
    <w:rsid w:val="00185FBE"/>
    <w:rsid w:val="001906A6"/>
    <w:rsid w:val="00191E3D"/>
    <w:rsid w:val="001931DB"/>
    <w:rsid w:val="00194C11"/>
    <w:rsid w:val="001979F5"/>
    <w:rsid w:val="00197A72"/>
    <w:rsid w:val="001A206F"/>
    <w:rsid w:val="001A36E2"/>
    <w:rsid w:val="001A4D15"/>
    <w:rsid w:val="001A7318"/>
    <w:rsid w:val="001B1E0F"/>
    <w:rsid w:val="001B2BEF"/>
    <w:rsid w:val="001B3B6B"/>
    <w:rsid w:val="001B54B1"/>
    <w:rsid w:val="001C21C6"/>
    <w:rsid w:val="001D1301"/>
    <w:rsid w:val="001D2837"/>
    <w:rsid w:val="001D5139"/>
    <w:rsid w:val="001D744B"/>
    <w:rsid w:val="001E482B"/>
    <w:rsid w:val="001E60C1"/>
    <w:rsid w:val="001F34A4"/>
    <w:rsid w:val="001F3D1C"/>
    <w:rsid w:val="00200450"/>
    <w:rsid w:val="00200504"/>
    <w:rsid w:val="00202E83"/>
    <w:rsid w:val="00203ACC"/>
    <w:rsid w:val="002057F4"/>
    <w:rsid w:val="00206C98"/>
    <w:rsid w:val="00211577"/>
    <w:rsid w:val="00212AB3"/>
    <w:rsid w:val="00217CFF"/>
    <w:rsid w:val="00223BFC"/>
    <w:rsid w:val="00227FA9"/>
    <w:rsid w:val="00230BB9"/>
    <w:rsid w:val="00230C95"/>
    <w:rsid w:val="0023278A"/>
    <w:rsid w:val="00232DAF"/>
    <w:rsid w:val="002360A7"/>
    <w:rsid w:val="00242801"/>
    <w:rsid w:val="0024359C"/>
    <w:rsid w:val="0024626B"/>
    <w:rsid w:val="00247CAD"/>
    <w:rsid w:val="00251537"/>
    <w:rsid w:val="00252996"/>
    <w:rsid w:val="00254117"/>
    <w:rsid w:val="002542EE"/>
    <w:rsid w:val="00260C93"/>
    <w:rsid w:val="0027659F"/>
    <w:rsid w:val="0028034D"/>
    <w:rsid w:val="002806ED"/>
    <w:rsid w:val="0028174E"/>
    <w:rsid w:val="00287D9D"/>
    <w:rsid w:val="002924CD"/>
    <w:rsid w:val="002951F9"/>
    <w:rsid w:val="002A2867"/>
    <w:rsid w:val="002A7419"/>
    <w:rsid w:val="002B1600"/>
    <w:rsid w:val="002B26B3"/>
    <w:rsid w:val="002B299F"/>
    <w:rsid w:val="002B525D"/>
    <w:rsid w:val="002B5EB8"/>
    <w:rsid w:val="002C7B78"/>
    <w:rsid w:val="002D01DD"/>
    <w:rsid w:val="002D2C76"/>
    <w:rsid w:val="002E2539"/>
    <w:rsid w:val="002E2B80"/>
    <w:rsid w:val="002E2BA4"/>
    <w:rsid w:val="002E48B4"/>
    <w:rsid w:val="002E7BDA"/>
    <w:rsid w:val="002F04DC"/>
    <w:rsid w:val="00300050"/>
    <w:rsid w:val="0030052A"/>
    <w:rsid w:val="00305C42"/>
    <w:rsid w:val="0031440B"/>
    <w:rsid w:val="0031742C"/>
    <w:rsid w:val="00320BB0"/>
    <w:rsid w:val="003240BC"/>
    <w:rsid w:val="0033470F"/>
    <w:rsid w:val="00336551"/>
    <w:rsid w:val="00343462"/>
    <w:rsid w:val="003461FE"/>
    <w:rsid w:val="00351538"/>
    <w:rsid w:val="00354EA1"/>
    <w:rsid w:val="0035549F"/>
    <w:rsid w:val="00360C84"/>
    <w:rsid w:val="00361280"/>
    <w:rsid w:val="0036268F"/>
    <w:rsid w:val="00366D91"/>
    <w:rsid w:val="00373A66"/>
    <w:rsid w:val="00376F51"/>
    <w:rsid w:val="00380C8D"/>
    <w:rsid w:val="00380EB8"/>
    <w:rsid w:val="0038108A"/>
    <w:rsid w:val="0039179F"/>
    <w:rsid w:val="00393515"/>
    <w:rsid w:val="00395466"/>
    <w:rsid w:val="003A0D82"/>
    <w:rsid w:val="003B5BFF"/>
    <w:rsid w:val="003B62C2"/>
    <w:rsid w:val="003B6375"/>
    <w:rsid w:val="003C0A69"/>
    <w:rsid w:val="003D0955"/>
    <w:rsid w:val="003D0AF6"/>
    <w:rsid w:val="003D43C1"/>
    <w:rsid w:val="003D70D2"/>
    <w:rsid w:val="003E3ED7"/>
    <w:rsid w:val="003F2787"/>
    <w:rsid w:val="003F358E"/>
    <w:rsid w:val="003F4485"/>
    <w:rsid w:val="003F7D6F"/>
    <w:rsid w:val="00400A9D"/>
    <w:rsid w:val="00401A5C"/>
    <w:rsid w:val="00402CDB"/>
    <w:rsid w:val="004057F8"/>
    <w:rsid w:val="00410262"/>
    <w:rsid w:val="004109B0"/>
    <w:rsid w:val="004130E2"/>
    <w:rsid w:val="00415A76"/>
    <w:rsid w:val="00416539"/>
    <w:rsid w:val="0042511F"/>
    <w:rsid w:val="00431006"/>
    <w:rsid w:val="00434627"/>
    <w:rsid w:val="00436E19"/>
    <w:rsid w:val="00437F58"/>
    <w:rsid w:val="0044566B"/>
    <w:rsid w:val="0044627D"/>
    <w:rsid w:val="00447D01"/>
    <w:rsid w:val="00451674"/>
    <w:rsid w:val="004545B9"/>
    <w:rsid w:val="00455F07"/>
    <w:rsid w:val="0045748D"/>
    <w:rsid w:val="00464F5A"/>
    <w:rsid w:val="0047128F"/>
    <w:rsid w:val="004720AF"/>
    <w:rsid w:val="00485D01"/>
    <w:rsid w:val="004866F7"/>
    <w:rsid w:val="00487525"/>
    <w:rsid w:val="004910BD"/>
    <w:rsid w:val="00491E37"/>
    <w:rsid w:val="0049261E"/>
    <w:rsid w:val="00496312"/>
    <w:rsid w:val="00497288"/>
    <w:rsid w:val="00497E72"/>
    <w:rsid w:val="004A01C2"/>
    <w:rsid w:val="004A2931"/>
    <w:rsid w:val="004A2FF8"/>
    <w:rsid w:val="004A4347"/>
    <w:rsid w:val="004A5DB0"/>
    <w:rsid w:val="004B3A67"/>
    <w:rsid w:val="004B445E"/>
    <w:rsid w:val="004C240D"/>
    <w:rsid w:val="004C36BE"/>
    <w:rsid w:val="004D2146"/>
    <w:rsid w:val="004D2E3A"/>
    <w:rsid w:val="004D44D7"/>
    <w:rsid w:val="004E2204"/>
    <w:rsid w:val="004E3D10"/>
    <w:rsid w:val="004E3F28"/>
    <w:rsid w:val="004F76E2"/>
    <w:rsid w:val="005049CB"/>
    <w:rsid w:val="00504AB5"/>
    <w:rsid w:val="0050546E"/>
    <w:rsid w:val="00510888"/>
    <w:rsid w:val="0051221C"/>
    <w:rsid w:val="00514C44"/>
    <w:rsid w:val="0051646A"/>
    <w:rsid w:val="00516F71"/>
    <w:rsid w:val="005203E8"/>
    <w:rsid w:val="0052584B"/>
    <w:rsid w:val="00534DB7"/>
    <w:rsid w:val="00541866"/>
    <w:rsid w:val="00543915"/>
    <w:rsid w:val="00555054"/>
    <w:rsid w:val="0055534B"/>
    <w:rsid w:val="00560CC3"/>
    <w:rsid w:val="00561433"/>
    <w:rsid w:val="00574A33"/>
    <w:rsid w:val="00575153"/>
    <w:rsid w:val="005872E8"/>
    <w:rsid w:val="00592579"/>
    <w:rsid w:val="00594142"/>
    <w:rsid w:val="005955F6"/>
    <w:rsid w:val="005A1999"/>
    <w:rsid w:val="005A3536"/>
    <w:rsid w:val="005A43BD"/>
    <w:rsid w:val="005A5A81"/>
    <w:rsid w:val="005A7093"/>
    <w:rsid w:val="005B0623"/>
    <w:rsid w:val="005B163B"/>
    <w:rsid w:val="005B3F46"/>
    <w:rsid w:val="005B66D7"/>
    <w:rsid w:val="005D07F7"/>
    <w:rsid w:val="005D09E5"/>
    <w:rsid w:val="005D7E2F"/>
    <w:rsid w:val="005E1E02"/>
    <w:rsid w:val="005E3317"/>
    <w:rsid w:val="005E6FFE"/>
    <w:rsid w:val="005F025E"/>
    <w:rsid w:val="005F20EE"/>
    <w:rsid w:val="005F21AF"/>
    <w:rsid w:val="005F240C"/>
    <w:rsid w:val="0060004F"/>
    <w:rsid w:val="00607B05"/>
    <w:rsid w:val="006115B3"/>
    <w:rsid w:val="006170A5"/>
    <w:rsid w:val="00620FE0"/>
    <w:rsid w:val="0062194E"/>
    <w:rsid w:val="00622216"/>
    <w:rsid w:val="00625802"/>
    <w:rsid w:val="00625863"/>
    <w:rsid w:val="00626B5F"/>
    <w:rsid w:val="0063429E"/>
    <w:rsid w:val="00635B7A"/>
    <w:rsid w:val="0064177D"/>
    <w:rsid w:val="00642BD2"/>
    <w:rsid w:val="006513E0"/>
    <w:rsid w:val="0065180C"/>
    <w:rsid w:val="006522F4"/>
    <w:rsid w:val="00655C60"/>
    <w:rsid w:val="00656011"/>
    <w:rsid w:val="006564BA"/>
    <w:rsid w:val="00657129"/>
    <w:rsid w:val="006600A1"/>
    <w:rsid w:val="00663A66"/>
    <w:rsid w:val="006650E3"/>
    <w:rsid w:val="00665211"/>
    <w:rsid w:val="00671064"/>
    <w:rsid w:val="00673F7B"/>
    <w:rsid w:val="00682FF8"/>
    <w:rsid w:val="00686FE5"/>
    <w:rsid w:val="00690DAE"/>
    <w:rsid w:val="00692CF1"/>
    <w:rsid w:val="00694856"/>
    <w:rsid w:val="00696851"/>
    <w:rsid w:val="006A0C15"/>
    <w:rsid w:val="006A5221"/>
    <w:rsid w:val="006A59D6"/>
    <w:rsid w:val="006A79EF"/>
    <w:rsid w:val="006B16F9"/>
    <w:rsid w:val="006B5A4F"/>
    <w:rsid w:val="006C36DA"/>
    <w:rsid w:val="006C4C53"/>
    <w:rsid w:val="006D4739"/>
    <w:rsid w:val="006D7A3B"/>
    <w:rsid w:val="006E0B9E"/>
    <w:rsid w:val="006F132F"/>
    <w:rsid w:val="006F44C0"/>
    <w:rsid w:val="006F4C76"/>
    <w:rsid w:val="006F63D1"/>
    <w:rsid w:val="00700B98"/>
    <w:rsid w:val="00703559"/>
    <w:rsid w:val="00705873"/>
    <w:rsid w:val="00706817"/>
    <w:rsid w:val="00712368"/>
    <w:rsid w:val="00716B3D"/>
    <w:rsid w:val="00716BE2"/>
    <w:rsid w:val="0072025F"/>
    <w:rsid w:val="007218DC"/>
    <w:rsid w:val="0072394D"/>
    <w:rsid w:val="00725D81"/>
    <w:rsid w:val="00725E3F"/>
    <w:rsid w:val="007313B1"/>
    <w:rsid w:val="00732DB2"/>
    <w:rsid w:val="00743C50"/>
    <w:rsid w:val="00746CEF"/>
    <w:rsid w:val="0075009A"/>
    <w:rsid w:val="00752886"/>
    <w:rsid w:val="00752A1B"/>
    <w:rsid w:val="007535E4"/>
    <w:rsid w:val="00761F4A"/>
    <w:rsid w:val="00775C4F"/>
    <w:rsid w:val="00782211"/>
    <w:rsid w:val="0079011D"/>
    <w:rsid w:val="00794247"/>
    <w:rsid w:val="007A094F"/>
    <w:rsid w:val="007A2292"/>
    <w:rsid w:val="007A4EB7"/>
    <w:rsid w:val="007B5451"/>
    <w:rsid w:val="007B56C2"/>
    <w:rsid w:val="007B5920"/>
    <w:rsid w:val="007C223B"/>
    <w:rsid w:val="007C2D0B"/>
    <w:rsid w:val="007C3B51"/>
    <w:rsid w:val="007C4012"/>
    <w:rsid w:val="007C5A0D"/>
    <w:rsid w:val="007C5D8F"/>
    <w:rsid w:val="007D26CE"/>
    <w:rsid w:val="007D3E48"/>
    <w:rsid w:val="007D4E91"/>
    <w:rsid w:val="007D52DA"/>
    <w:rsid w:val="007D52DD"/>
    <w:rsid w:val="007D60C3"/>
    <w:rsid w:val="007E09A8"/>
    <w:rsid w:val="007F0D49"/>
    <w:rsid w:val="007F193B"/>
    <w:rsid w:val="007F2F11"/>
    <w:rsid w:val="007F5C15"/>
    <w:rsid w:val="007F6D6B"/>
    <w:rsid w:val="0080002A"/>
    <w:rsid w:val="00800CFC"/>
    <w:rsid w:val="00802053"/>
    <w:rsid w:val="008072C1"/>
    <w:rsid w:val="0081443B"/>
    <w:rsid w:val="00816A20"/>
    <w:rsid w:val="00820FAB"/>
    <w:rsid w:val="0082560B"/>
    <w:rsid w:val="00825675"/>
    <w:rsid w:val="00827084"/>
    <w:rsid w:val="008308AB"/>
    <w:rsid w:val="008418E1"/>
    <w:rsid w:val="00845F6A"/>
    <w:rsid w:val="00851D22"/>
    <w:rsid w:val="00854655"/>
    <w:rsid w:val="00857E57"/>
    <w:rsid w:val="00863BF1"/>
    <w:rsid w:val="00864F31"/>
    <w:rsid w:val="00865728"/>
    <w:rsid w:val="008735B0"/>
    <w:rsid w:val="00874034"/>
    <w:rsid w:val="00875C3D"/>
    <w:rsid w:val="00881965"/>
    <w:rsid w:val="00882A85"/>
    <w:rsid w:val="008850AA"/>
    <w:rsid w:val="00891546"/>
    <w:rsid w:val="00893012"/>
    <w:rsid w:val="008A36A9"/>
    <w:rsid w:val="008A59C6"/>
    <w:rsid w:val="008B1F16"/>
    <w:rsid w:val="008B21DC"/>
    <w:rsid w:val="008B2EE4"/>
    <w:rsid w:val="008B30F1"/>
    <w:rsid w:val="008C16CE"/>
    <w:rsid w:val="008C41E0"/>
    <w:rsid w:val="008C6C3B"/>
    <w:rsid w:val="008C6E16"/>
    <w:rsid w:val="008D3368"/>
    <w:rsid w:val="008D57D6"/>
    <w:rsid w:val="008E1D75"/>
    <w:rsid w:val="008E22FE"/>
    <w:rsid w:val="008E2730"/>
    <w:rsid w:val="008F12A7"/>
    <w:rsid w:val="0090681C"/>
    <w:rsid w:val="00907595"/>
    <w:rsid w:val="00907A51"/>
    <w:rsid w:val="00907B16"/>
    <w:rsid w:val="009141A2"/>
    <w:rsid w:val="00917531"/>
    <w:rsid w:val="009208EB"/>
    <w:rsid w:val="00931F9D"/>
    <w:rsid w:val="00936E7F"/>
    <w:rsid w:val="00940A3C"/>
    <w:rsid w:val="00943E4A"/>
    <w:rsid w:val="0094508F"/>
    <w:rsid w:val="00950E81"/>
    <w:rsid w:val="00951BDB"/>
    <w:rsid w:val="00954D1F"/>
    <w:rsid w:val="00961331"/>
    <w:rsid w:val="00962614"/>
    <w:rsid w:val="00963F0F"/>
    <w:rsid w:val="00964DBB"/>
    <w:rsid w:val="0096661F"/>
    <w:rsid w:val="0096709E"/>
    <w:rsid w:val="00970A01"/>
    <w:rsid w:val="00976035"/>
    <w:rsid w:val="00977C6C"/>
    <w:rsid w:val="00982120"/>
    <w:rsid w:val="00984266"/>
    <w:rsid w:val="00985F03"/>
    <w:rsid w:val="00987E3B"/>
    <w:rsid w:val="00990EBE"/>
    <w:rsid w:val="009A12CF"/>
    <w:rsid w:val="009A3B11"/>
    <w:rsid w:val="009A7DDB"/>
    <w:rsid w:val="009B33B0"/>
    <w:rsid w:val="009B5ADF"/>
    <w:rsid w:val="009B74FF"/>
    <w:rsid w:val="009C4486"/>
    <w:rsid w:val="009C615D"/>
    <w:rsid w:val="009D0B67"/>
    <w:rsid w:val="009D790D"/>
    <w:rsid w:val="009E0E52"/>
    <w:rsid w:val="009E2885"/>
    <w:rsid w:val="009F219B"/>
    <w:rsid w:val="009F6849"/>
    <w:rsid w:val="00A00F36"/>
    <w:rsid w:val="00A0218C"/>
    <w:rsid w:val="00A02FFA"/>
    <w:rsid w:val="00A07085"/>
    <w:rsid w:val="00A16A36"/>
    <w:rsid w:val="00A22BEF"/>
    <w:rsid w:val="00A2476C"/>
    <w:rsid w:val="00A24C2D"/>
    <w:rsid w:val="00A2689D"/>
    <w:rsid w:val="00A276EC"/>
    <w:rsid w:val="00A358DC"/>
    <w:rsid w:val="00A36C96"/>
    <w:rsid w:val="00A373E2"/>
    <w:rsid w:val="00A45103"/>
    <w:rsid w:val="00A50417"/>
    <w:rsid w:val="00A50697"/>
    <w:rsid w:val="00A54B36"/>
    <w:rsid w:val="00A6077F"/>
    <w:rsid w:val="00A64A19"/>
    <w:rsid w:val="00A717A4"/>
    <w:rsid w:val="00A75234"/>
    <w:rsid w:val="00A75F89"/>
    <w:rsid w:val="00A77619"/>
    <w:rsid w:val="00A813FE"/>
    <w:rsid w:val="00A81D77"/>
    <w:rsid w:val="00A820F7"/>
    <w:rsid w:val="00A826D2"/>
    <w:rsid w:val="00A83F6F"/>
    <w:rsid w:val="00A85095"/>
    <w:rsid w:val="00A8736A"/>
    <w:rsid w:val="00A90B7D"/>
    <w:rsid w:val="00A93BB9"/>
    <w:rsid w:val="00A94C22"/>
    <w:rsid w:val="00A94DB2"/>
    <w:rsid w:val="00AA1707"/>
    <w:rsid w:val="00AA2336"/>
    <w:rsid w:val="00AA46D7"/>
    <w:rsid w:val="00AA6646"/>
    <w:rsid w:val="00AC2BD1"/>
    <w:rsid w:val="00AC4429"/>
    <w:rsid w:val="00AC6825"/>
    <w:rsid w:val="00AC7931"/>
    <w:rsid w:val="00AD2330"/>
    <w:rsid w:val="00AE0892"/>
    <w:rsid w:val="00AE25F8"/>
    <w:rsid w:val="00AE6099"/>
    <w:rsid w:val="00AF4068"/>
    <w:rsid w:val="00AF7A91"/>
    <w:rsid w:val="00B067CB"/>
    <w:rsid w:val="00B13241"/>
    <w:rsid w:val="00B1642C"/>
    <w:rsid w:val="00B17357"/>
    <w:rsid w:val="00B21668"/>
    <w:rsid w:val="00B2307B"/>
    <w:rsid w:val="00B231A3"/>
    <w:rsid w:val="00B2324B"/>
    <w:rsid w:val="00B2505E"/>
    <w:rsid w:val="00B25BA4"/>
    <w:rsid w:val="00B26DFE"/>
    <w:rsid w:val="00B309A1"/>
    <w:rsid w:val="00B33EC5"/>
    <w:rsid w:val="00B36ECB"/>
    <w:rsid w:val="00B37259"/>
    <w:rsid w:val="00B44BD9"/>
    <w:rsid w:val="00B457A6"/>
    <w:rsid w:val="00B45DAE"/>
    <w:rsid w:val="00B46A70"/>
    <w:rsid w:val="00B5140B"/>
    <w:rsid w:val="00B535FB"/>
    <w:rsid w:val="00B6022A"/>
    <w:rsid w:val="00B66E30"/>
    <w:rsid w:val="00B73D2D"/>
    <w:rsid w:val="00B83F1C"/>
    <w:rsid w:val="00B86C1C"/>
    <w:rsid w:val="00B9605D"/>
    <w:rsid w:val="00B978AB"/>
    <w:rsid w:val="00BA13A0"/>
    <w:rsid w:val="00BA7AE3"/>
    <w:rsid w:val="00BB7BA9"/>
    <w:rsid w:val="00BC0F41"/>
    <w:rsid w:val="00BC2A38"/>
    <w:rsid w:val="00BD35AD"/>
    <w:rsid w:val="00BD42C5"/>
    <w:rsid w:val="00BD582C"/>
    <w:rsid w:val="00BE0A4D"/>
    <w:rsid w:val="00BE0E56"/>
    <w:rsid w:val="00BE15D7"/>
    <w:rsid w:val="00BE367E"/>
    <w:rsid w:val="00BE3A28"/>
    <w:rsid w:val="00BE42D7"/>
    <w:rsid w:val="00BE4428"/>
    <w:rsid w:val="00BE4FD2"/>
    <w:rsid w:val="00BE7289"/>
    <w:rsid w:val="00BE740E"/>
    <w:rsid w:val="00BF66C8"/>
    <w:rsid w:val="00BF6C55"/>
    <w:rsid w:val="00C02C4E"/>
    <w:rsid w:val="00C04ABE"/>
    <w:rsid w:val="00C121D9"/>
    <w:rsid w:val="00C20FC9"/>
    <w:rsid w:val="00C22070"/>
    <w:rsid w:val="00C2230F"/>
    <w:rsid w:val="00C22C17"/>
    <w:rsid w:val="00C45F19"/>
    <w:rsid w:val="00C5045C"/>
    <w:rsid w:val="00C53839"/>
    <w:rsid w:val="00C53D1C"/>
    <w:rsid w:val="00C54012"/>
    <w:rsid w:val="00C54532"/>
    <w:rsid w:val="00C63DF5"/>
    <w:rsid w:val="00C669C0"/>
    <w:rsid w:val="00C7362A"/>
    <w:rsid w:val="00C848FB"/>
    <w:rsid w:val="00C87841"/>
    <w:rsid w:val="00C87BF8"/>
    <w:rsid w:val="00C91F39"/>
    <w:rsid w:val="00C94193"/>
    <w:rsid w:val="00CA020A"/>
    <w:rsid w:val="00CA0DFA"/>
    <w:rsid w:val="00CA5EBD"/>
    <w:rsid w:val="00CA6F1C"/>
    <w:rsid w:val="00CB02B1"/>
    <w:rsid w:val="00CB65D4"/>
    <w:rsid w:val="00CB7983"/>
    <w:rsid w:val="00CC7BF3"/>
    <w:rsid w:val="00CD187D"/>
    <w:rsid w:val="00CD44C6"/>
    <w:rsid w:val="00CE3D72"/>
    <w:rsid w:val="00CE68B2"/>
    <w:rsid w:val="00CF322C"/>
    <w:rsid w:val="00CF448F"/>
    <w:rsid w:val="00CF7B10"/>
    <w:rsid w:val="00CF7C8F"/>
    <w:rsid w:val="00D00817"/>
    <w:rsid w:val="00D03064"/>
    <w:rsid w:val="00D10D90"/>
    <w:rsid w:val="00D1571B"/>
    <w:rsid w:val="00D20136"/>
    <w:rsid w:val="00D25BB0"/>
    <w:rsid w:val="00D26059"/>
    <w:rsid w:val="00D3101F"/>
    <w:rsid w:val="00D3192E"/>
    <w:rsid w:val="00D31A49"/>
    <w:rsid w:val="00D34742"/>
    <w:rsid w:val="00D34D2E"/>
    <w:rsid w:val="00D40A7F"/>
    <w:rsid w:val="00D422FE"/>
    <w:rsid w:val="00D43BED"/>
    <w:rsid w:val="00D4564F"/>
    <w:rsid w:val="00D50D4E"/>
    <w:rsid w:val="00D53355"/>
    <w:rsid w:val="00D6288D"/>
    <w:rsid w:val="00D62B7A"/>
    <w:rsid w:val="00D62E09"/>
    <w:rsid w:val="00D645A2"/>
    <w:rsid w:val="00D700A8"/>
    <w:rsid w:val="00D7037E"/>
    <w:rsid w:val="00D76E3F"/>
    <w:rsid w:val="00D806EB"/>
    <w:rsid w:val="00D851BD"/>
    <w:rsid w:val="00D858A7"/>
    <w:rsid w:val="00D8750A"/>
    <w:rsid w:val="00D87E3A"/>
    <w:rsid w:val="00D87E3C"/>
    <w:rsid w:val="00D90ED1"/>
    <w:rsid w:val="00D92BD1"/>
    <w:rsid w:val="00D93835"/>
    <w:rsid w:val="00D95CEA"/>
    <w:rsid w:val="00DA0A9D"/>
    <w:rsid w:val="00DA35CC"/>
    <w:rsid w:val="00DA574C"/>
    <w:rsid w:val="00DA5883"/>
    <w:rsid w:val="00DA5CBB"/>
    <w:rsid w:val="00DA614E"/>
    <w:rsid w:val="00DB22D1"/>
    <w:rsid w:val="00DB385F"/>
    <w:rsid w:val="00DC434F"/>
    <w:rsid w:val="00DC56BF"/>
    <w:rsid w:val="00DC57B8"/>
    <w:rsid w:val="00DC5E7B"/>
    <w:rsid w:val="00DD157F"/>
    <w:rsid w:val="00DD6D51"/>
    <w:rsid w:val="00DD70F3"/>
    <w:rsid w:val="00DE201B"/>
    <w:rsid w:val="00DE3C3D"/>
    <w:rsid w:val="00DE5461"/>
    <w:rsid w:val="00DE57B8"/>
    <w:rsid w:val="00DF1BE1"/>
    <w:rsid w:val="00DF2835"/>
    <w:rsid w:val="00DF2CC3"/>
    <w:rsid w:val="00E006D7"/>
    <w:rsid w:val="00E01180"/>
    <w:rsid w:val="00E0656C"/>
    <w:rsid w:val="00E20725"/>
    <w:rsid w:val="00E219EC"/>
    <w:rsid w:val="00E23DC4"/>
    <w:rsid w:val="00E24AC0"/>
    <w:rsid w:val="00E25328"/>
    <w:rsid w:val="00E26562"/>
    <w:rsid w:val="00E34524"/>
    <w:rsid w:val="00E34734"/>
    <w:rsid w:val="00E35411"/>
    <w:rsid w:val="00E40902"/>
    <w:rsid w:val="00E40A22"/>
    <w:rsid w:val="00E42851"/>
    <w:rsid w:val="00E42D32"/>
    <w:rsid w:val="00E5099E"/>
    <w:rsid w:val="00E50BCA"/>
    <w:rsid w:val="00E55D77"/>
    <w:rsid w:val="00E60179"/>
    <w:rsid w:val="00E65F67"/>
    <w:rsid w:val="00E66C23"/>
    <w:rsid w:val="00E67867"/>
    <w:rsid w:val="00E7093A"/>
    <w:rsid w:val="00E77A2A"/>
    <w:rsid w:val="00E77E1C"/>
    <w:rsid w:val="00E843FB"/>
    <w:rsid w:val="00E84FE9"/>
    <w:rsid w:val="00E8521E"/>
    <w:rsid w:val="00E85ABD"/>
    <w:rsid w:val="00E904FE"/>
    <w:rsid w:val="00EA26B5"/>
    <w:rsid w:val="00EB20E7"/>
    <w:rsid w:val="00EB2F4E"/>
    <w:rsid w:val="00EB30BB"/>
    <w:rsid w:val="00EB4DED"/>
    <w:rsid w:val="00EB75DF"/>
    <w:rsid w:val="00EC6E18"/>
    <w:rsid w:val="00EC75BD"/>
    <w:rsid w:val="00ED33ED"/>
    <w:rsid w:val="00ED3D4B"/>
    <w:rsid w:val="00EF07B5"/>
    <w:rsid w:val="00EF1A39"/>
    <w:rsid w:val="00EF1CCB"/>
    <w:rsid w:val="00EF2163"/>
    <w:rsid w:val="00EF2BC5"/>
    <w:rsid w:val="00EF4FD4"/>
    <w:rsid w:val="00F03433"/>
    <w:rsid w:val="00F0500D"/>
    <w:rsid w:val="00F07067"/>
    <w:rsid w:val="00F07FA7"/>
    <w:rsid w:val="00F11DA3"/>
    <w:rsid w:val="00F12167"/>
    <w:rsid w:val="00F16D83"/>
    <w:rsid w:val="00F235EB"/>
    <w:rsid w:val="00F33002"/>
    <w:rsid w:val="00F36472"/>
    <w:rsid w:val="00F377E6"/>
    <w:rsid w:val="00F4047D"/>
    <w:rsid w:val="00F41F44"/>
    <w:rsid w:val="00F4371B"/>
    <w:rsid w:val="00F442B8"/>
    <w:rsid w:val="00F45846"/>
    <w:rsid w:val="00F47806"/>
    <w:rsid w:val="00F56818"/>
    <w:rsid w:val="00F63083"/>
    <w:rsid w:val="00F63494"/>
    <w:rsid w:val="00F66473"/>
    <w:rsid w:val="00F67169"/>
    <w:rsid w:val="00F67430"/>
    <w:rsid w:val="00F7003F"/>
    <w:rsid w:val="00F8114B"/>
    <w:rsid w:val="00F8454A"/>
    <w:rsid w:val="00F84C90"/>
    <w:rsid w:val="00F9438F"/>
    <w:rsid w:val="00F96107"/>
    <w:rsid w:val="00FA28EE"/>
    <w:rsid w:val="00FA3A63"/>
    <w:rsid w:val="00FA47A4"/>
    <w:rsid w:val="00FB122B"/>
    <w:rsid w:val="00FB1A84"/>
    <w:rsid w:val="00FB400E"/>
    <w:rsid w:val="00FC6690"/>
    <w:rsid w:val="00FD3127"/>
    <w:rsid w:val="00FD5394"/>
    <w:rsid w:val="00FE564E"/>
    <w:rsid w:val="00FF4E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A574"/>
  <w15:docId w15:val="{84847D6B-7A46-451A-98E9-94FEFA17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5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DFA"/>
    <w:rPr>
      <w:color w:val="0563C1" w:themeColor="hyperlink"/>
      <w:u w:val="single"/>
    </w:rPr>
  </w:style>
  <w:style w:type="paragraph" w:styleId="NormalWeb">
    <w:name w:val="Normal (Web)"/>
    <w:basedOn w:val="Normal"/>
    <w:uiPriority w:val="99"/>
    <w:unhideWhenUsed/>
    <w:rsid w:val="0027659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zmlenmeyenBahsetme1">
    <w:name w:val="Çözümlenmeyen Bahsetme1"/>
    <w:basedOn w:val="DefaultParagraphFont"/>
    <w:uiPriority w:val="99"/>
    <w:semiHidden/>
    <w:unhideWhenUsed/>
    <w:rsid w:val="0027659F"/>
    <w:rPr>
      <w:color w:val="605E5C"/>
      <w:shd w:val="clear" w:color="auto" w:fill="E1DFDD"/>
    </w:rPr>
  </w:style>
  <w:style w:type="character" w:customStyle="1" w:styleId="apple-converted-space">
    <w:name w:val="apple-converted-space"/>
    <w:basedOn w:val="DefaultParagraphFont"/>
    <w:rsid w:val="002806ED"/>
  </w:style>
  <w:style w:type="paragraph" w:styleId="HTMLPreformatted">
    <w:name w:val="HTML Preformatted"/>
    <w:basedOn w:val="Normal"/>
    <w:link w:val="HTMLPreformattedChar"/>
    <w:uiPriority w:val="99"/>
    <w:semiHidden/>
    <w:unhideWhenUsed/>
    <w:rsid w:val="00DA0A9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A0A9D"/>
    <w:rPr>
      <w:rFonts w:ascii="Consolas" w:hAnsi="Consolas"/>
      <w:sz w:val="20"/>
      <w:szCs w:val="20"/>
    </w:rPr>
  </w:style>
  <w:style w:type="character" w:customStyle="1" w:styleId="zmlenmeyenBahsetme2">
    <w:name w:val="Çözümlenmeyen Bahsetme2"/>
    <w:basedOn w:val="DefaultParagraphFont"/>
    <w:uiPriority w:val="99"/>
    <w:semiHidden/>
    <w:unhideWhenUsed/>
    <w:rsid w:val="004545B9"/>
    <w:rPr>
      <w:color w:val="605E5C"/>
      <w:shd w:val="clear" w:color="auto" w:fill="E1DFDD"/>
    </w:rPr>
  </w:style>
  <w:style w:type="character" w:styleId="UnresolvedMention">
    <w:name w:val="Unresolved Mention"/>
    <w:basedOn w:val="DefaultParagraphFont"/>
    <w:uiPriority w:val="99"/>
    <w:semiHidden/>
    <w:unhideWhenUsed/>
    <w:rsid w:val="00447D01"/>
    <w:rPr>
      <w:color w:val="605E5C"/>
      <w:shd w:val="clear" w:color="auto" w:fill="E1DFDD"/>
    </w:rPr>
  </w:style>
  <w:style w:type="paragraph" w:styleId="Revision">
    <w:name w:val="Revision"/>
    <w:hidden/>
    <w:uiPriority w:val="99"/>
    <w:semiHidden/>
    <w:rsid w:val="0030052A"/>
    <w:pPr>
      <w:spacing w:after="0" w:line="240" w:lineRule="auto"/>
    </w:pPr>
  </w:style>
  <w:style w:type="character" w:styleId="CommentReference">
    <w:name w:val="annotation reference"/>
    <w:basedOn w:val="DefaultParagraphFont"/>
    <w:uiPriority w:val="99"/>
    <w:semiHidden/>
    <w:unhideWhenUsed/>
    <w:rsid w:val="007C5D8F"/>
    <w:rPr>
      <w:sz w:val="16"/>
      <w:szCs w:val="16"/>
    </w:rPr>
  </w:style>
  <w:style w:type="paragraph" w:styleId="CommentText">
    <w:name w:val="annotation text"/>
    <w:basedOn w:val="Normal"/>
    <w:link w:val="CommentTextChar"/>
    <w:uiPriority w:val="99"/>
    <w:unhideWhenUsed/>
    <w:rsid w:val="007C5D8F"/>
    <w:pPr>
      <w:spacing w:line="240" w:lineRule="auto"/>
    </w:pPr>
    <w:rPr>
      <w:sz w:val="20"/>
      <w:szCs w:val="20"/>
    </w:rPr>
  </w:style>
  <w:style w:type="character" w:customStyle="1" w:styleId="CommentTextChar">
    <w:name w:val="Comment Text Char"/>
    <w:basedOn w:val="DefaultParagraphFont"/>
    <w:link w:val="CommentText"/>
    <w:uiPriority w:val="99"/>
    <w:rsid w:val="007C5D8F"/>
    <w:rPr>
      <w:sz w:val="20"/>
      <w:szCs w:val="20"/>
    </w:rPr>
  </w:style>
  <w:style w:type="paragraph" w:styleId="CommentSubject">
    <w:name w:val="annotation subject"/>
    <w:basedOn w:val="CommentText"/>
    <w:next w:val="CommentText"/>
    <w:link w:val="CommentSubjectChar"/>
    <w:uiPriority w:val="99"/>
    <w:semiHidden/>
    <w:unhideWhenUsed/>
    <w:rsid w:val="007C5D8F"/>
    <w:rPr>
      <w:b/>
      <w:bCs/>
    </w:rPr>
  </w:style>
  <w:style w:type="character" w:customStyle="1" w:styleId="CommentSubjectChar">
    <w:name w:val="Comment Subject Char"/>
    <w:basedOn w:val="CommentTextChar"/>
    <w:link w:val="CommentSubject"/>
    <w:uiPriority w:val="99"/>
    <w:semiHidden/>
    <w:rsid w:val="007C5D8F"/>
    <w:rPr>
      <w:b/>
      <w:bCs/>
      <w:sz w:val="20"/>
      <w:szCs w:val="20"/>
    </w:rPr>
  </w:style>
  <w:style w:type="paragraph" w:styleId="ListParagraph">
    <w:name w:val="List Paragraph"/>
    <w:basedOn w:val="Normal"/>
    <w:uiPriority w:val="34"/>
    <w:qFormat/>
    <w:rsid w:val="00DE57B8"/>
    <w:pPr>
      <w:ind w:left="720"/>
      <w:contextualSpacing/>
    </w:pPr>
  </w:style>
  <w:style w:type="character" w:styleId="LineNumber">
    <w:name w:val="line number"/>
    <w:basedOn w:val="DefaultParagraphFont"/>
    <w:uiPriority w:val="99"/>
    <w:semiHidden/>
    <w:unhideWhenUsed/>
    <w:rsid w:val="004130E2"/>
  </w:style>
  <w:style w:type="table" w:styleId="PlainTable2">
    <w:name w:val="Plain Table 2"/>
    <w:basedOn w:val="TableNormal"/>
    <w:uiPriority w:val="42"/>
    <w:rsid w:val="00E85AB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6781">
      <w:bodyDiv w:val="1"/>
      <w:marLeft w:val="0"/>
      <w:marRight w:val="0"/>
      <w:marTop w:val="0"/>
      <w:marBottom w:val="0"/>
      <w:divBdr>
        <w:top w:val="none" w:sz="0" w:space="0" w:color="auto"/>
        <w:left w:val="none" w:sz="0" w:space="0" w:color="auto"/>
        <w:bottom w:val="none" w:sz="0" w:space="0" w:color="auto"/>
        <w:right w:val="none" w:sz="0" w:space="0" w:color="auto"/>
      </w:divBdr>
    </w:div>
    <w:div w:id="438137826">
      <w:bodyDiv w:val="1"/>
      <w:marLeft w:val="0"/>
      <w:marRight w:val="0"/>
      <w:marTop w:val="0"/>
      <w:marBottom w:val="0"/>
      <w:divBdr>
        <w:top w:val="none" w:sz="0" w:space="0" w:color="auto"/>
        <w:left w:val="none" w:sz="0" w:space="0" w:color="auto"/>
        <w:bottom w:val="none" w:sz="0" w:space="0" w:color="auto"/>
        <w:right w:val="none" w:sz="0" w:space="0" w:color="auto"/>
      </w:divBdr>
    </w:div>
    <w:div w:id="452284977">
      <w:bodyDiv w:val="1"/>
      <w:marLeft w:val="0"/>
      <w:marRight w:val="0"/>
      <w:marTop w:val="0"/>
      <w:marBottom w:val="0"/>
      <w:divBdr>
        <w:top w:val="none" w:sz="0" w:space="0" w:color="auto"/>
        <w:left w:val="none" w:sz="0" w:space="0" w:color="auto"/>
        <w:bottom w:val="none" w:sz="0" w:space="0" w:color="auto"/>
        <w:right w:val="none" w:sz="0" w:space="0" w:color="auto"/>
      </w:divBdr>
    </w:div>
    <w:div w:id="485974213">
      <w:bodyDiv w:val="1"/>
      <w:marLeft w:val="0"/>
      <w:marRight w:val="0"/>
      <w:marTop w:val="0"/>
      <w:marBottom w:val="0"/>
      <w:divBdr>
        <w:top w:val="none" w:sz="0" w:space="0" w:color="auto"/>
        <w:left w:val="none" w:sz="0" w:space="0" w:color="auto"/>
        <w:bottom w:val="none" w:sz="0" w:space="0" w:color="auto"/>
        <w:right w:val="none" w:sz="0" w:space="0" w:color="auto"/>
      </w:divBdr>
    </w:div>
    <w:div w:id="751898104">
      <w:bodyDiv w:val="1"/>
      <w:marLeft w:val="0"/>
      <w:marRight w:val="0"/>
      <w:marTop w:val="0"/>
      <w:marBottom w:val="0"/>
      <w:divBdr>
        <w:top w:val="none" w:sz="0" w:space="0" w:color="auto"/>
        <w:left w:val="none" w:sz="0" w:space="0" w:color="auto"/>
        <w:bottom w:val="none" w:sz="0" w:space="0" w:color="auto"/>
        <w:right w:val="none" w:sz="0" w:space="0" w:color="auto"/>
      </w:divBdr>
    </w:div>
    <w:div w:id="959607478">
      <w:bodyDiv w:val="1"/>
      <w:marLeft w:val="0"/>
      <w:marRight w:val="0"/>
      <w:marTop w:val="0"/>
      <w:marBottom w:val="0"/>
      <w:divBdr>
        <w:top w:val="none" w:sz="0" w:space="0" w:color="auto"/>
        <w:left w:val="none" w:sz="0" w:space="0" w:color="auto"/>
        <w:bottom w:val="none" w:sz="0" w:space="0" w:color="auto"/>
        <w:right w:val="none" w:sz="0" w:space="0" w:color="auto"/>
      </w:divBdr>
    </w:div>
    <w:div w:id="993333908">
      <w:bodyDiv w:val="1"/>
      <w:marLeft w:val="0"/>
      <w:marRight w:val="0"/>
      <w:marTop w:val="0"/>
      <w:marBottom w:val="0"/>
      <w:divBdr>
        <w:top w:val="none" w:sz="0" w:space="0" w:color="auto"/>
        <w:left w:val="none" w:sz="0" w:space="0" w:color="auto"/>
        <w:bottom w:val="none" w:sz="0" w:space="0" w:color="auto"/>
        <w:right w:val="none" w:sz="0" w:space="0" w:color="auto"/>
      </w:divBdr>
    </w:div>
    <w:div w:id="1056706039">
      <w:bodyDiv w:val="1"/>
      <w:marLeft w:val="0"/>
      <w:marRight w:val="0"/>
      <w:marTop w:val="0"/>
      <w:marBottom w:val="0"/>
      <w:divBdr>
        <w:top w:val="none" w:sz="0" w:space="0" w:color="auto"/>
        <w:left w:val="none" w:sz="0" w:space="0" w:color="auto"/>
        <w:bottom w:val="none" w:sz="0" w:space="0" w:color="auto"/>
        <w:right w:val="none" w:sz="0" w:space="0" w:color="auto"/>
      </w:divBdr>
    </w:div>
    <w:div w:id="1071345972">
      <w:bodyDiv w:val="1"/>
      <w:marLeft w:val="0"/>
      <w:marRight w:val="0"/>
      <w:marTop w:val="0"/>
      <w:marBottom w:val="0"/>
      <w:divBdr>
        <w:top w:val="none" w:sz="0" w:space="0" w:color="auto"/>
        <w:left w:val="none" w:sz="0" w:space="0" w:color="auto"/>
        <w:bottom w:val="none" w:sz="0" w:space="0" w:color="auto"/>
        <w:right w:val="none" w:sz="0" w:space="0" w:color="auto"/>
      </w:divBdr>
    </w:div>
    <w:div w:id="1288856396">
      <w:bodyDiv w:val="1"/>
      <w:marLeft w:val="0"/>
      <w:marRight w:val="0"/>
      <w:marTop w:val="0"/>
      <w:marBottom w:val="0"/>
      <w:divBdr>
        <w:top w:val="none" w:sz="0" w:space="0" w:color="auto"/>
        <w:left w:val="none" w:sz="0" w:space="0" w:color="auto"/>
        <w:bottom w:val="none" w:sz="0" w:space="0" w:color="auto"/>
        <w:right w:val="none" w:sz="0" w:space="0" w:color="auto"/>
      </w:divBdr>
    </w:div>
    <w:div w:id="1373848000">
      <w:bodyDiv w:val="1"/>
      <w:marLeft w:val="0"/>
      <w:marRight w:val="0"/>
      <w:marTop w:val="0"/>
      <w:marBottom w:val="0"/>
      <w:divBdr>
        <w:top w:val="none" w:sz="0" w:space="0" w:color="auto"/>
        <w:left w:val="none" w:sz="0" w:space="0" w:color="auto"/>
        <w:bottom w:val="none" w:sz="0" w:space="0" w:color="auto"/>
        <w:right w:val="none" w:sz="0" w:space="0" w:color="auto"/>
      </w:divBdr>
    </w:div>
    <w:div w:id="1661620990">
      <w:bodyDiv w:val="1"/>
      <w:marLeft w:val="0"/>
      <w:marRight w:val="0"/>
      <w:marTop w:val="0"/>
      <w:marBottom w:val="0"/>
      <w:divBdr>
        <w:top w:val="none" w:sz="0" w:space="0" w:color="auto"/>
        <w:left w:val="none" w:sz="0" w:space="0" w:color="auto"/>
        <w:bottom w:val="none" w:sz="0" w:space="0" w:color="auto"/>
        <w:right w:val="none" w:sz="0" w:space="0" w:color="auto"/>
      </w:divBdr>
    </w:div>
    <w:div w:id="1686327332">
      <w:bodyDiv w:val="1"/>
      <w:marLeft w:val="0"/>
      <w:marRight w:val="0"/>
      <w:marTop w:val="0"/>
      <w:marBottom w:val="0"/>
      <w:divBdr>
        <w:top w:val="none" w:sz="0" w:space="0" w:color="auto"/>
        <w:left w:val="none" w:sz="0" w:space="0" w:color="auto"/>
        <w:bottom w:val="none" w:sz="0" w:space="0" w:color="auto"/>
        <w:right w:val="none" w:sz="0" w:space="0" w:color="auto"/>
      </w:divBdr>
    </w:div>
    <w:div w:id="193312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34181909/" TargetMode="External"/><Relationship Id="rId11" Type="http://schemas.openxmlformats.org/officeDocument/2006/relationships/theme" Target="theme/theme1.xml"/><Relationship Id="rId5" Type="http://schemas.openxmlformats.org/officeDocument/2006/relationships/hyperlink" Target="mailto:dr.pinarsoysal@hot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4673</Words>
  <Characters>26641</Characters>
  <Application>Microsoft Office Word</Application>
  <DocSecurity>0</DocSecurity>
  <Lines>222</Lines>
  <Paragraphs>62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 Soysal</dc:creator>
  <cp:keywords/>
  <dc:description/>
  <cp:lastModifiedBy>Smith, Lee</cp:lastModifiedBy>
  <cp:revision>2</cp:revision>
  <dcterms:created xsi:type="dcterms:W3CDTF">2022-10-22T19:56:00Z</dcterms:created>
  <dcterms:modified xsi:type="dcterms:W3CDTF">2022-10-22T19:56:00Z</dcterms:modified>
</cp:coreProperties>
</file>