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CD607" w14:textId="77777777" w:rsidR="0082611C" w:rsidRPr="009054AD" w:rsidRDefault="0082611C" w:rsidP="00943629">
      <w:pPr>
        <w:pStyle w:val="MDPI11articletype"/>
        <w:rPr>
          <w:color w:val="000000" w:themeColor="text1"/>
        </w:rPr>
      </w:pPr>
      <w:bookmarkStart w:id="0" w:name="_Hlk110255133"/>
      <w:r w:rsidRPr="009054AD">
        <w:rPr>
          <w:color w:val="000000" w:themeColor="text1"/>
        </w:rPr>
        <w:t>Article</w:t>
      </w:r>
    </w:p>
    <w:p w14:paraId="282BA85B" w14:textId="7652D25B" w:rsidR="0082611C" w:rsidRPr="009054AD" w:rsidRDefault="005D7CD2" w:rsidP="00943629">
      <w:pPr>
        <w:pStyle w:val="MDPI12title"/>
        <w:rPr>
          <w:color w:val="000000" w:themeColor="text1"/>
        </w:rPr>
      </w:pPr>
      <w:r>
        <w:rPr>
          <w:color w:val="000000" w:themeColor="text1"/>
        </w:rPr>
        <w:t>Associations between</w:t>
      </w:r>
      <w:r w:rsidR="0082611C" w:rsidRPr="009054AD">
        <w:rPr>
          <w:color w:val="000000" w:themeColor="text1"/>
        </w:rPr>
        <w:t xml:space="preserve"> Schizotyp</w:t>
      </w:r>
      <w:r>
        <w:rPr>
          <w:color w:val="000000" w:themeColor="text1"/>
        </w:rPr>
        <w:t>al Facets</w:t>
      </w:r>
      <w:r w:rsidR="0082611C" w:rsidRPr="009054AD">
        <w:rPr>
          <w:color w:val="000000" w:themeColor="text1"/>
        </w:rPr>
        <w:t xml:space="preserve"> and Symptoms of Disordered Eating in Women</w:t>
      </w:r>
    </w:p>
    <w:p w14:paraId="52AA2F61" w14:textId="77777777" w:rsidR="00943629" w:rsidRPr="009054AD" w:rsidRDefault="0082611C" w:rsidP="00943629">
      <w:pPr>
        <w:pStyle w:val="MDPI13authornames"/>
        <w:rPr>
          <w:color w:val="000000" w:themeColor="text1"/>
        </w:rPr>
      </w:pPr>
      <w:r w:rsidRPr="009054AD">
        <w:rPr>
          <w:color w:val="000000" w:themeColor="text1"/>
        </w:rPr>
        <w:t xml:space="preserve">Viren Swami </w:t>
      </w:r>
      <w:r w:rsidRPr="009054AD">
        <w:rPr>
          <w:color w:val="000000" w:themeColor="text1"/>
          <w:vertAlign w:val="superscript"/>
        </w:rPr>
        <w:t>1,2</w:t>
      </w:r>
      <w:r w:rsidRPr="009054AD">
        <w:rPr>
          <w:color w:val="000000" w:themeColor="text1"/>
        </w:rPr>
        <w:t xml:space="preserve">, David Barron </w:t>
      </w:r>
      <w:r w:rsidRPr="009054AD">
        <w:rPr>
          <w:color w:val="000000" w:themeColor="text1"/>
          <w:vertAlign w:val="superscript"/>
        </w:rPr>
        <w:t>2</w:t>
      </w:r>
      <w:r w:rsidRPr="009054AD">
        <w:rPr>
          <w:color w:val="000000" w:themeColor="text1"/>
        </w:rPr>
        <w:t xml:space="preserve"> and Adrian Furnham </w:t>
      </w:r>
      <w:r w:rsidRPr="009054AD">
        <w:rPr>
          <w:color w:val="000000" w:themeColor="text1"/>
          <w:vertAlign w:val="superscript"/>
        </w:rPr>
        <w:t>2,3</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9054AD" w:rsidRPr="009054AD" w14:paraId="7D0D96D4" w14:textId="77777777" w:rsidTr="00943629">
        <w:trPr>
          <w:cantSplit/>
        </w:trPr>
        <w:tc>
          <w:tcPr>
            <w:tcW w:w="2409" w:type="dxa"/>
          </w:tcPr>
          <w:p w14:paraId="2A042051" w14:textId="32F07D9D" w:rsidR="00943629" w:rsidRPr="009054AD" w:rsidRDefault="00943629" w:rsidP="00943629">
            <w:pPr>
              <w:pStyle w:val="MDPI61Citation"/>
              <w:rPr>
                <w:color w:val="000000" w:themeColor="text1"/>
              </w:rPr>
            </w:pPr>
            <w:r w:rsidRPr="009054AD">
              <w:rPr>
                <w:b/>
                <w:color w:val="000000" w:themeColor="text1"/>
              </w:rPr>
              <w:t>Citation:</w:t>
            </w:r>
            <w:r w:rsidRPr="009054AD">
              <w:rPr>
                <w:color w:val="000000" w:themeColor="text1"/>
              </w:rPr>
              <w:t xml:space="preserve"> Swami, V.; Barron, D.; Furnham, A. Multidimensional Schizotypy and Symptoms of Disordered Eating in Women. </w:t>
            </w:r>
            <w:r w:rsidRPr="009054AD">
              <w:rPr>
                <w:i/>
                <w:color w:val="000000" w:themeColor="text1"/>
              </w:rPr>
              <w:t xml:space="preserve"> </w:t>
            </w:r>
            <w:r w:rsidRPr="009054AD">
              <w:rPr>
                <w:b/>
                <w:color w:val="000000" w:themeColor="text1"/>
              </w:rPr>
              <w:t>2022</w:t>
            </w:r>
            <w:r w:rsidRPr="009054AD">
              <w:rPr>
                <w:color w:val="000000" w:themeColor="text1"/>
              </w:rPr>
              <w:t xml:space="preserve">, </w:t>
            </w:r>
            <w:r w:rsidRPr="009054AD">
              <w:rPr>
                <w:i/>
                <w:color w:val="000000" w:themeColor="text1"/>
              </w:rPr>
              <w:t>18</w:t>
            </w:r>
            <w:r w:rsidRPr="009054AD">
              <w:rPr>
                <w:color w:val="000000" w:themeColor="text1"/>
              </w:rPr>
              <w:t>, x. https://doi.org/10.3390/xxxxx</w:t>
            </w:r>
          </w:p>
          <w:p w14:paraId="4219EFAD" w14:textId="77777777" w:rsidR="00943629" w:rsidRPr="009054AD" w:rsidRDefault="00943629" w:rsidP="00943629">
            <w:pPr>
              <w:pStyle w:val="MDPI15academiceditor"/>
              <w:spacing w:after="120"/>
              <w:rPr>
                <w:color w:val="000000" w:themeColor="text1"/>
              </w:rPr>
            </w:pPr>
            <w:r w:rsidRPr="009054AD">
              <w:rPr>
                <w:color w:val="000000" w:themeColor="text1"/>
              </w:rPr>
              <w:t xml:space="preserve">Academic Editor(s): </w:t>
            </w:r>
          </w:p>
          <w:p w14:paraId="6FCC9345" w14:textId="77777777" w:rsidR="00943629" w:rsidRPr="009054AD" w:rsidRDefault="00943629" w:rsidP="00943629">
            <w:pPr>
              <w:pStyle w:val="MDPI14history"/>
              <w:spacing w:before="120"/>
              <w:rPr>
                <w:color w:val="000000" w:themeColor="text1"/>
              </w:rPr>
            </w:pPr>
            <w:r w:rsidRPr="009054AD">
              <w:rPr>
                <w:color w:val="000000" w:themeColor="text1"/>
              </w:rPr>
              <w:t>Received: date</w:t>
            </w:r>
          </w:p>
          <w:p w14:paraId="6568DCFC" w14:textId="77777777" w:rsidR="00943629" w:rsidRPr="009054AD" w:rsidRDefault="00943629" w:rsidP="00943629">
            <w:pPr>
              <w:pStyle w:val="MDPI14history"/>
              <w:rPr>
                <w:color w:val="000000" w:themeColor="text1"/>
              </w:rPr>
            </w:pPr>
            <w:r w:rsidRPr="009054AD">
              <w:rPr>
                <w:color w:val="000000" w:themeColor="text1"/>
              </w:rPr>
              <w:t>Accepted: date</w:t>
            </w:r>
          </w:p>
          <w:p w14:paraId="2DE688A1" w14:textId="77777777" w:rsidR="00943629" w:rsidRPr="009054AD" w:rsidRDefault="00943629" w:rsidP="00943629">
            <w:pPr>
              <w:pStyle w:val="MDPI14history"/>
              <w:spacing w:after="120"/>
              <w:rPr>
                <w:color w:val="000000" w:themeColor="text1"/>
              </w:rPr>
            </w:pPr>
            <w:r w:rsidRPr="009054AD">
              <w:rPr>
                <w:color w:val="000000" w:themeColor="text1"/>
              </w:rPr>
              <w:t>Published: date</w:t>
            </w:r>
          </w:p>
          <w:p w14:paraId="7D0C5247" w14:textId="77777777" w:rsidR="00943629" w:rsidRPr="009054AD" w:rsidRDefault="00943629" w:rsidP="00943629">
            <w:pPr>
              <w:pStyle w:val="MDPI63Notes"/>
              <w:jc w:val="both"/>
              <w:rPr>
                <w:color w:val="000000" w:themeColor="text1"/>
              </w:rPr>
            </w:pPr>
            <w:r w:rsidRPr="009054AD">
              <w:rPr>
                <w:b/>
                <w:color w:val="000000" w:themeColor="text1"/>
              </w:rPr>
              <w:t>Publisher’s Note:</w:t>
            </w:r>
            <w:r w:rsidRPr="009054AD">
              <w:rPr>
                <w:color w:val="000000" w:themeColor="text1"/>
              </w:rPr>
              <w:t xml:space="preserve"> MDPI stays neutral with regard to jurisdictional claims in published maps and institutional affiliations.</w:t>
            </w:r>
          </w:p>
          <w:p w14:paraId="5676C39F" w14:textId="50EC4A6A" w:rsidR="00943629" w:rsidRPr="009054AD" w:rsidRDefault="009054AD" w:rsidP="00943629">
            <w:pPr>
              <w:pStyle w:val="MDPI63Notes"/>
              <w:spacing w:before="120" w:after="0"/>
              <w:jc w:val="both"/>
              <w:rPr>
                <w:color w:val="000000" w:themeColor="text1"/>
              </w:rPr>
            </w:pPr>
            <w:r w:rsidRPr="009054AD">
              <w:rPr>
                <w:noProof/>
                <w:color w:val="000000" w:themeColor="text1"/>
              </w:rPr>
              <w:drawing>
                <wp:inline distT="0" distB="0" distL="0" distR="0" wp14:anchorId="2913180B" wp14:editId="43B9FB58">
                  <wp:extent cx="692150" cy="24828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2150" cy="248285"/>
                          </a:xfrm>
                          <a:prstGeom prst="rect">
                            <a:avLst/>
                          </a:prstGeom>
                          <a:noFill/>
                          <a:ln>
                            <a:noFill/>
                          </a:ln>
                        </pic:spPr>
                      </pic:pic>
                    </a:graphicData>
                  </a:graphic>
                </wp:inline>
              </w:drawing>
            </w:r>
          </w:p>
          <w:p w14:paraId="23A49C51" w14:textId="2428A026" w:rsidR="00943629" w:rsidRPr="009054AD" w:rsidRDefault="00943629" w:rsidP="00943629">
            <w:pPr>
              <w:pStyle w:val="MDPI63Notes"/>
              <w:spacing w:before="60" w:after="0"/>
              <w:jc w:val="both"/>
              <w:rPr>
                <w:color w:val="000000" w:themeColor="text1"/>
              </w:rPr>
            </w:pPr>
            <w:r w:rsidRPr="009054AD">
              <w:rPr>
                <w:b/>
                <w:color w:val="000000" w:themeColor="text1"/>
              </w:rPr>
              <w:t>Copyright:</w:t>
            </w:r>
            <w:r w:rsidRPr="009054AD">
              <w:rPr>
                <w:color w:val="000000" w:themeColor="text1"/>
              </w:rPr>
              <w:t xml:space="preserve"> © 2022 by the authors. Submitted for possible open access publication under the terms and conditions of the Creative Commons Attribution (CC BY) license (https://creativecommons.org/licenses/by/4.0/).</w:t>
            </w:r>
          </w:p>
        </w:tc>
      </w:tr>
    </w:tbl>
    <w:p w14:paraId="47A58756" w14:textId="6E10A7F1" w:rsidR="0082611C" w:rsidRPr="009054AD" w:rsidRDefault="0082611C" w:rsidP="00943629">
      <w:pPr>
        <w:pStyle w:val="MDPI16affiliation"/>
        <w:rPr>
          <w:color w:val="000000" w:themeColor="text1"/>
        </w:rPr>
      </w:pPr>
      <w:r w:rsidRPr="009054AD">
        <w:rPr>
          <w:color w:val="000000" w:themeColor="text1"/>
          <w:vertAlign w:val="superscript"/>
        </w:rPr>
        <w:t>1</w:t>
      </w:r>
      <w:r w:rsidRPr="009054AD">
        <w:rPr>
          <w:color w:val="000000" w:themeColor="text1"/>
        </w:rPr>
        <w:tab/>
        <w:t>School of Psychology and Sport Science, Anglia Ruskin University, Cambridge, United Kingdom</w:t>
      </w:r>
    </w:p>
    <w:p w14:paraId="3445D5B8" w14:textId="1007CA41" w:rsidR="0082611C" w:rsidRPr="009054AD" w:rsidRDefault="0082611C" w:rsidP="00943629">
      <w:pPr>
        <w:pStyle w:val="MDPI16affiliation"/>
        <w:rPr>
          <w:color w:val="000000" w:themeColor="text1"/>
        </w:rPr>
      </w:pPr>
      <w:r w:rsidRPr="009054AD">
        <w:rPr>
          <w:color w:val="000000" w:themeColor="text1"/>
          <w:vertAlign w:val="superscript"/>
        </w:rPr>
        <w:t>2</w:t>
      </w:r>
      <w:r w:rsidRPr="009054AD">
        <w:rPr>
          <w:color w:val="000000" w:themeColor="text1"/>
        </w:rPr>
        <w:tab/>
        <w:t>Centre for Psychological Medicine, Perdana University, Kuala Lumpur, Malaysia</w:t>
      </w:r>
    </w:p>
    <w:p w14:paraId="3A62E097" w14:textId="55A9CF18" w:rsidR="0082611C" w:rsidRPr="0082611C" w:rsidRDefault="0082611C" w:rsidP="00943629">
      <w:pPr>
        <w:pStyle w:val="MDPI16affiliation"/>
        <w:rPr>
          <w:color w:val="000000" w:themeColor="text1"/>
        </w:rPr>
      </w:pPr>
      <w:r w:rsidRPr="009054AD">
        <w:rPr>
          <w:color w:val="000000" w:themeColor="text1"/>
          <w:vertAlign w:val="superscript"/>
        </w:rPr>
        <w:t>3</w:t>
      </w:r>
      <w:r w:rsidRPr="009054AD">
        <w:rPr>
          <w:color w:val="000000" w:themeColor="text1"/>
        </w:rPr>
        <w:tab/>
        <w:t xml:space="preserve">Department of Leadership and Organizational </w:t>
      </w:r>
      <w:proofErr w:type="spellStart"/>
      <w:r w:rsidRPr="009054AD">
        <w:rPr>
          <w:color w:val="000000" w:themeColor="text1"/>
        </w:rPr>
        <w:t>Behaviour</w:t>
      </w:r>
      <w:proofErr w:type="spellEnd"/>
      <w:r w:rsidRPr="009054AD">
        <w:rPr>
          <w:color w:val="000000" w:themeColor="text1"/>
        </w:rPr>
        <w:t>, Norwegian Business School, Oslo, Norway</w:t>
      </w:r>
    </w:p>
    <w:p w14:paraId="7E4EDE83" w14:textId="711E4E2E" w:rsidR="0082611C" w:rsidRPr="009054AD" w:rsidRDefault="0082611C" w:rsidP="00943629">
      <w:pPr>
        <w:pStyle w:val="MDPI16affiliation"/>
        <w:rPr>
          <w:color w:val="000000" w:themeColor="text1"/>
        </w:rPr>
      </w:pPr>
      <w:r w:rsidRPr="009054AD">
        <w:rPr>
          <w:b/>
          <w:color w:val="000000" w:themeColor="text1"/>
        </w:rPr>
        <w:t>*</w:t>
      </w:r>
      <w:r w:rsidRPr="009054AD">
        <w:rPr>
          <w:color w:val="000000" w:themeColor="text1"/>
        </w:rPr>
        <w:tab/>
        <w:t xml:space="preserve">Correspondence: </w:t>
      </w:r>
      <w:r w:rsidRPr="009054AD">
        <w:rPr>
          <w:b/>
          <w:color w:val="000000" w:themeColor="text1"/>
        </w:rPr>
        <w:t>v</w:t>
      </w:r>
      <w:r w:rsidRPr="009054AD">
        <w:rPr>
          <w:color w:val="000000" w:themeColor="text1"/>
        </w:rPr>
        <w:t>iren.swami@anglia.ac.uk</w:t>
      </w:r>
    </w:p>
    <w:p w14:paraId="297F6B4A" w14:textId="2A210B19" w:rsidR="0082611C" w:rsidRPr="009054AD" w:rsidRDefault="0082611C" w:rsidP="00943629">
      <w:pPr>
        <w:pStyle w:val="MDPI17abstract"/>
        <w:rPr>
          <w:color w:val="000000" w:themeColor="text1"/>
        </w:rPr>
      </w:pPr>
      <w:r w:rsidRPr="009054AD">
        <w:rPr>
          <w:b/>
          <w:color w:val="000000" w:themeColor="text1"/>
        </w:rPr>
        <w:t xml:space="preserve">Abstract: </w:t>
      </w:r>
      <w:r w:rsidRPr="009054AD">
        <w:rPr>
          <w:color w:val="000000" w:themeColor="text1"/>
        </w:rPr>
        <w:t xml:space="preserve">Research has suggested that schizotypy – a personality </w:t>
      </w:r>
      <w:proofErr w:type="spellStart"/>
      <w:r w:rsidRPr="009054AD">
        <w:rPr>
          <w:color w:val="000000" w:themeColor="text1"/>
        </w:rPr>
        <w:t>organisation</w:t>
      </w:r>
      <w:proofErr w:type="spellEnd"/>
      <w:r w:rsidRPr="009054AD">
        <w:rPr>
          <w:color w:val="000000" w:themeColor="text1"/>
        </w:rPr>
        <w:t xml:space="preserve"> representing latent vulnerability for schizophrenia-spectrum disorders – may be elevated in women with symptoms of disordered eating. However, studies have not fully considered associations between symptoms of disordered eating and multidimensional schizotypy. To overcome this limitation, we asked an online sample of 235 women from the United States to complete measures of symptoms of disordered eating (drive for thinness, body dissatisfaction, and bulimic symptoms) and multidimensional schizotypy. Correlational analyses indicated significant associations between drive for thinness and bulimic symptoms, respectively, and most schizotypal facets. Body dissatisfaction was significantly associated with only two schizotypal facets. Overall, the strength of correlations was weak-to-moderate. Regression results indicated that only the schizotypal feature of excessive social anxiety was significantly associated with all risk for disordered eating factors. These results are consistent with </w:t>
      </w:r>
      <w:proofErr w:type="spellStart"/>
      <w:r w:rsidRPr="009054AD">
        <w:rPr>
          <w:color w:val="000000" w:themeColor="text1"/>
        </w:rPr>
        <w:t>aetiological</w:t>
      </w:r>
      <w:proofErr w:type="spellEnd"/>
      <w:r w:rsidRPr="009054AD">
        <w:rPr>
          <w:color w:val="000000" w:themeColor="text1"/>
        </w:rPr>
        <w:t xml:space="preserve"> models of disordered eating that highlight socio-affective difficulties as risk factors for symptoms of disordered eating.</w:t>
      </w:r>
    </w:p>
    <w:p w14:paraId="57DAD188" w14:textId="77777777" w:rsidR="0082611C" w:rsidRPr="009054AD" w:rsidRDefault="0082611C" w:rsidP="00943629">
      <w:pPr>
        <w:pStyle w:val="MDPI18keywords"/>
        <w:rPr>
          <w:color w:val="000000" w:themeColor="text1"/>
        </w:rPr>
      </w:pPr>
      <w:r w:rsidRPr="009054AD">
        <w:rPr>
          <w:b/>
          <w:color w:val="000000" w:themeColor="text1"/>
        </w:rPr>
        <w:t xml:space="preserve">Keywords: </w:t>
      </w:r>
      <w:r w:rsidRPr="009054AD">
        <w:rPr>
          <w:color w:val="000000" w:themeColor="text1"/>
        </w:rPr>
        <w:t>Schizotypy; Disordered eating; Excessive social anxiety; Drive for thinness; Body dissatisfaction; Bulimia symptoms</w:t>
      </w:r>
    </w:p>
    <w:p w14:paraId="1843C9BB" w14:textId="35B0B9F6" w:rsidR="0082611C" w:rsidRPr="009054AD" w:rsidRDefault="0082611C" w:rsidP="00943629">
      <w:pPr>
        <w:pStyle w:val="MDPI19line"/>
        <w:pBdr>
          <w:bottom w:val="single" w:sz="4" w:space="1" w:color="000000"/>
        </w:pBdr>
        <w:rPr>
          <w:color w:val="000000" w:themeColor="text1"/>
        </w:rPr>
      </w:pPr>
    </w:p>
    <w:p w14:paraId="157422E1" w14:textId="119A9D65" w:rsidR="0082611C" w:rsidRPr="009054AD" w:rsidRDefault="00943629" w:rsidP="00943629">
      <w:pPr>
        <w:pStyle w:val="MDPI21heading1"/>
        <w:rPr>
          <w:color w:val="000000" w:themeColor="text1"/>
        </w:rPr>
      </w:pPr>
      <w:r w:rsidRPr="009054AD">
        <w:rPr>
          <w:color w:val="000000" w:themeColor="text1"/>
        </w:rPr>
        <w:t xml:space="preserve">1. </w:t>
      </w:r>
      <w:r w:rsidR="0082611C" w:rsidRPr="009054AD">
        <w:rPr>
          <w:color w:val="000000" w:themeColor="text1"/>
        </w:rPr>
        <w:t>Introduction</w:t>
      </w:r>
    </w:p>
    <w:p w14:paraId="236AC212" w14:textId="0C6FE0EE" w:rsidR="0082611C" w:rsidRPr="009054AD" w:rsidRDefault="0082611C" w:rsidP="00943629">
      <w:pPr>
        <w:pStyle w:val="MDPI31text"/>
        <w:rPr>
          <w:color w:val="000000" w:themeColor="text1"/>
        </w:rPr>
      </w:pPr>
      <w:r w:rsidRPr="009054AD">
        <w:rPr>
          <w:color w:val="000000" w:themeColor="text1"/>
        </w:rPr>
        <w:t xml:space="preserve">According to the </w:t>
      </w:r>
      <w:r w:rsidRPr="009054AD">
        <w:rPr>
          <w:i/>
          <w:iCs/>
          <w:color w:val="000000" w:themeColor="text1"/>
        </w:rPr>
        <w:t xml:space="preserve">Diagnostic and Statistical Manual of Mental Disorders </w:t>
      </w:r>
      <w:r w:rsidRPr="009054AD">
        <w:rPr>
          <w:color w:val="000000" w:themeColor="text1"/>
        </w:rPr>
        <w:t>(</w:t>
      </w:r>
      <w:r w:rsidRPr="009054AD">
        <w:rPr>
          <w:i/>
          <w:iCs/>
          <w:color w:val="000000" w:themeColor="text1"/>
        </w:rPr>
        <w:t>DSM-5</w:t>
      </w:r>
      <w:r w:rsidRPr="009054AD">
        <w:rPr>
          <w:color w:val="000000" w:themeColor="text1"/>
        </w:rPr>
        <w:t xml:space="preserve">; American Psychiatric Association, 2013), eating disorders are </w:t>
      </w:r>
      <w:proofErr w:type="spellStart"/>
      <w:r w:rsidRPr="009054AD">
        <w:rPr>
          <w:color w:val="000000" w:themeColor="text1"/>
        </w:rPr>
        <w:t>characterised</w:t>
      </w:r>
      <w:proofErr w:type="spellEnd"/>
      <w:r w:rsidRPr="009054AD">
        <w:rPr>
          <w:color w:val="000000" w:themeColor="text1"/>
        </w:rPr>
        <w:t xml:space="preserve"> by a severe and chronic disturbance in eating </w:t>
      </w:r>
      <w:proofErr w:type="spellStart"/>
      <w:r w:rsidRPr="009054AD">
        <w:rPr>
          <w:color w:val="000000" w:themeColor="text1"/>
        </w:rPr>
        <w:t>behaviour</w:t>
      </w:r>
      <w:proofErr w:type="spellEnd"/>
      <w:r w:rsidRPr="009054AD">
        <w:rPr>
          <w:color w:val="000000" w:themeColor="text1"/>
        </w:rPr>
        <w:t xml:space="preserve">, which causes significant impairment (Papadopoulos et al., 2009; </w:t>
      </w:r>
      <w:proofErr w:type="spellStart"/>
      <w:r w:rsidRPr="009054AD">
        <w:rPr>
          <w:color w:val="000000" w:themeColor="text1"/>
        </w:rPr>
        <w:t>Wonderlich</w:t>
      </w:r>
      <w:proofErr w:type="spellEnd"/>
      <w:r w:rsidRPr="009054AD">
        <w:rPr>
          <w:color w:val="000000" w:themeColor="text1"/>
        </w:rPr>
        <w:t xml:space="preserve"> et al., 2014). They are a major area of concern for clinicians, families, and wider society given their detrimental impacts on health and psychological well-being, as well as their wide-ranging socioeconomic costs (e.g., Treasure et al., 2010). Additionally, eating disorders have some of the highest rates of mortality of all psychiatric disorders (</w:t>
      </w:r>
      <w:proofErr w:type="spellStart"/>
      <w:r w:rsidRPr="009054AD">
        <w:rPr>
          <w:color w:val="000000" w:themeColor="text1"/>
        </w:rPr>
        <w:t>Arcelus</w:t>
      </w:r>
      <w:proofErr w:type="spellEnd"/>
      <w:r w:rsidRPr="009054AD">
        <w:rPr>
          <w:color w:val="000000" w:themeColor="text1"/>
        </w:rPr>
        <w:t xml:space="preserve"> et al., 2011). It is, therefore, imperative that researchers and practitioners seek to understand risk factors for the development of symptoms of disordered eating and thereby contribute to the development of effective intervention strategies (Hilbert et al., 2014; </w:t>
      </w:r>
      <w:proofErr w:type="spellStart"/>
      <w:r w:rsidRPr="009054AD">
        <w:rPr>
          <w:color w:val="000000" w:themeColor="text1"/>
        </w:rPr>
        <w:t>Stice</w:t>
      </w:r>
      <w:proofErr w:type="spellEnd"/>
      <w:r w:rsidRPr="009054AD">
        <w:rPr>
          <w:color w:val="000000" w:themeColor="text1"/>
        </w:rPr>
        <w:t xml:space="preserve"> et al., 2017). The current consensus on the causes of eating disorders suggests that </w:t>
      </w:r>
      <w:proofErr w:type="spellStart"/>
      <w:r w:rsidRPr="009054AD">
        <w:rPr>
          <w:color w:val="000000" w:themeColor="text1"/>
        </w:rPr>
        <w:t>aetiology</w:t>
      </w:r>
      <w:proofErr w:type="spellEnd"/>
      <w:r w:rsidRPr="009054AD">
        <w:rPr>
          <w:color w:val="000000" w:themeColor="text1"/>
        </w:rPr>
        <w:t xml:space="preserve"> is complex and that there are likely multiple causal factors that give rise to the various symptoms of disordered eating (</w:t>
      </w:r>
      <w:proofErr w:type="spellStart"/>
      <w:r w:rsidRPr="009054AD">
        <w:rPr>
          <w:color w:val="000000" w:themeColor="text1"/>
        </w:rPr>
        <w:t>Zachar</w:t>
      </w:r>
      <w:proofErr w:type="spellEnd"/>
      <w:r w:rsidRPr="009054AD">
        <w:rPr>
          <w:color w:val="000000" w:themeColor="text1"/>
        </w:rPr>
        <w:t xml:space="preserve"> &amp; Kendler, 2007).</w:t>
      </w:r>
    </w:p>
    <w:p w14:paraId="51A3E615" w14:textId="57D27488" w:rsidR="0082611C" w:rsidRPr="009054AD" w:rsidRDefault="0082611C" w:rsidP="00943629">
      <w:pPr>
        <w:pStyle w:val="MDPI31text"/>
        <w:rPr>
          <w:color w:val="000000" w:themeColor="text1"/>
        </w:rPr>
      </w:pPr>
      <w:r w:rsidRPr="009054AD">
        <w:rPr>
          <w:color w:val="000000" w:themeColor="text1"/>
        </w:rPr>
        <w:t xml:space="preserve">One strand of research has focused on the role of personality features in the </w:t>
      </w:r>
      <w:proofErr w:type="spellStart"/>
      <w:r w:rsidRPr="009054AD">
        <w:rPr>
          <w:color w:val="000000" w:themeColor="text1"/>
        </w:rPr>
        <w:t>aetiology</w:t>
      </w:r>
      <w:proofErr w:type="spellEnd"/>
      <w:r w:rsidRPr="009054AD">
        <w:rPr>
          <w:color w:val="000000" w:themeColor="text1"/>
        </w:rPr>
        <w:t xml:space="preserve"> of symptoms of disordered eating (</w:t>
      </w:r>
      <w:proofErr w:type="spellStart"/>
      <w:r w:rsidRPr="009054AD">
        <w:rPr>
          <w:color w:val="000000" w:themeColor="text1"/>
        </w:rPr>
        <w:t>Lilenfeld</w:t>
      </w:r>
      <w:proofErr w:type="spellEnd"/>
      <w:r w:rsidRPr="009054AD">
        <w:rPr>
          <w:color w:val="000000" w:themeColor="text1"/>
        </w:rPr>
        <w:t xml:space="preserve"> et al., 2006; MacGregor &amp; Lamborn, 2014). In particular, personality disorders are frequently comorbid with eating disorders (for a review, see Cassin &amp; von </w:t>
      </w:r>
      <w:proofErr w:type="spellStart"/>
      <w:r w:rsidRPr="009054AD">
        <w:rPr>
          <w:color w:val="000000" w:themeColor="text1"/>
        </w:rPr>
        <w:t>Ranson</w:t>
      </w:r>
      <w:proofErr w:type="spellEnd"/>
      <w:r w:rsidRPr="009054AD">
        <w:rPr>
          <w:color w:val="000000" w:themeColor="text1"/>
        </w:rPr>
        <w:t>, 2005), with some studies suggesting that comorbidity may reach 60% (</w:t>
      </w:r>
      <w:proofErr w:type="spellStart"/>
      <w:r w:rsidRPr="009054AD">
        <w:rPr>
          <w:color w:val="000000" w:themeColor="text1"/>
        </w:rPr>
        <w:t>Wonderlich</w:t>
      </w:r>
      <w:proofErr w:type="spellEnd"/>
      <w:r w:rsidRPr="009054AD">
        <w:rPr>
          <w:color w:val="000000" w:themeColor="text1"/>
        </w:rPr>
        <w:t xml:space="preserve"> &amp; Mitchell, 2001). In explanation, it has been suggested that the dysregulation (e.g., affective lability, interpersonal dysfunction, and </w:t>
      </w:r>
      <w:proofErr w:type="spellStart"/>
      <w:r w:rsidRPr="009054AD">
        <w:rPr>
          <w:color w:val="000000" w:themeColor="text1"/>
        </w:rPr>
        <w:t>behavioural</w:t>
      </w:r>
      <w:proofErr w:type="spellEnd"/>
      <w:r w:rsidRPr="009054AD">
        <w:rPr>
          <w:color w:val="000000" w:themeColor="text1"/>
        </w:rPr>
        <w:t xml:space="preserve"> disinhibition) that accompanies personality disorders have an influence on the </w:t>
      </w:r>
      <w:proofErr w:type="spellStart"/>
      <w:r w:rsidRPr="009054AD">
        <w:rPr>
          <w:color w:val="000000" w:themeColor="text1"/>
        </w:rPr>
        <w:t>aetiology</w:t>
      </w:r>
      <w:proofErr w:type="spellEnd"/>
      <w:r w:rsidRPr="009054AD">
        <w:rPr>
          <w:color w:val="000000" w:themeColor="text1"/>
        </w:rPr>
        <w:t xml:space="preserve"> and </w:t>
      </w:r>
      <w:r w:rsidRPr="009054AD">
        <w:rPr>
          <w:color w:val="000000" w:themeColor="text1"/>
        </w:rPr>
        <w:lastRenderedPageBreak/>
        <w:t>maintenance of disordered eating (</w:t>
      </w:r>
      <w:proofErr w:type="spellStart"/>
      <w:r w:rsidRPr="009054AD">
        <w:rPr>
          <w:color w:val="000000" w:themeColor="text1"/>
        </w:rPr>
        <w:t>Westen</w:t>
      </w:r>
      <w:proofErr w:type="spellEnd"/>
      <w:r w:rsidRPr="009054AD">
        <w:rPr>
          <w:color w:val="000000" w:themeColor="text1"/>
        </w:rPr>
        <w:t xml:space="preserve"> et al., 2006). While much of this work has focused on comorbidities with obsessive-compulsive personality disorder (e.g., Young et al., 2013) and borderline personality disorder (e.g., </w:t>
      </w:r>
      <w:proofErr w:type="spellStart"/>
      <w:r w:rsidRPr="009054AD">
        <w:rPr>
          <w:color w:val="000000" w:themeColor="text1"/>
        </w:rPr>
        <w:t>Atiye</w:t>
      </w:r>
      <w:proofErr w:type="spellEnd"/>
      <w:r w:rsidRPr="009054AD">
        <w:rPr>
          <w:color w:val="000000" w:themeColor="text1"/>
        </w:rPr>
        <w:t xml:space="preserve"> et al., 2015), more recent studies have argued for a focus on broader comorbid personality psychopathology (e.g., </w:t>
      </w:r>
      <w:proofErr w:type="spellStart"/>
      <w:r w:rsidRPr="009054AD">
        <w:rPr>
          <w:color w:val="000000" w:themeColor="text1"/>
        </w:rPr>
        <w:t>Raynal</w:t>
      </w:r>
      <w:proofErr w:type="spellEnd"/>
      <w:r w:rsidRPr="009054AD">
        <w:rPr>
          <w:color w:val="000000" w:themeColor="text1"/>
        </w:rPr>
        <w:t xml:space="preserve"> et al., 2016).</w:t>
      </w:r>
    </w:p>
    <w:p w14:paraId="17BEA0A7" w14:textId="53D25430" w:rsidR="0082611C" w:rsidRPr="009054AD" w:rsidRDefault="0082611C" w:rsidP="00943629">
      <w:pPr>
        <w:pStyle w:val="MDPI31text"/>
        <w:rPr>
          <w:color w:val="000000" w:themeColor="text1"/>
        </w:rPr>
      </w:pPr>
      <w:r w:rsidRPr="009054AD">
        <w:rPr>
          <w:color w:val="000000" w:themeColor="text1"/>
        </w:rPr>
        <w:t xml:space="preserve">Within this broader focus, some relevant research has suggested that schizophrenia-spectrum disorders may also be comorbid with eating disorders (e.g., </w:t>
      </w:r>
      <w:proofErr w:type="spellStart"/>
      <w:r w:rsidRPr="009054AD">
        <w:rPr>
          <w:color w:val="000000" w:themeColor="text1"/>
        </w:rPr>
        <w:t>Kouidrat</w:t>
      </w:r>
      <w:proofErr w:type="spellEnd"/>
      <w:r w:rsidRPr="009054AD">
        <w:rPr>
          <w:color w:val="000000" w:themeColor="text1"/>
        </w:rPr>
        <w:t xml:space="preserve"> et al., 2014; Udo &amp; </w:t>
      </w:r>
      <w:proofErr w:type="spellStart"/>
      <w:r w:rsidRPr="009054AD">
        <w:rPr>
          <w:color w:val="000000" w:themeColor="text1"/>
        </w:rPr>
        <w:t>Grilo</w:t>
      </w:r>
      <w:proofErr w:type="spellEnd"/>
      <w:r w:rsidRPr="009054AD">
        <w:rPr>
          <w:color w:val="000000" w:themeColor="text1"/>
        </w:rPr>
        <w:t xml:space="preserve">, 2019). For instance, in very early work, both Kraepelin (1919) and Bleuler (1924) described </w:t>
      </w:r>
      <w:proofErr w:type="spellStart"/>
      <w:r w:rsidRPr="009054AD">
        <w:rPr>
          <w:color w:val="000000" w:themeColor="text1"/>
        </w:rPr>
        <w:t>disorganised</w:t>
      </w:r>
      <w:proofErr w:type="spellEnd"/>
      <w:r w:rsidRPr="009054AD">
        <w:rPr>
          <w:color w:val="000000" w:themeColor="text1"/>
        </w:rPr>
        <w:t xml:space="preserve"> and uncontrolled food intake as a characteristic symptom of schizophrenia. This line of thinking has been picked up more recently, with Sansone and Sansone (2007) suggesting that childhood trauma may heighten the risk for both schizophrenia spectrum disorders and eating disorders, indicative of complex inter-relationships between these constructs. Meanwhile, the evidence base linking schizophrenia spectrum disorders and symptoms of disordered eating is more equivocal, with some studies identifying a significant association (e.g., </w:t>
      </w:r>
      <w:proofErr w:type="spellStart"/>
      <w:r w:rsidRPr="009054AD">
        <w:rPr>
          <w:color w:val="000000" w:themeColor="text1"/>
        </w:rPr>
        <w:t>Zaider</w:t>
      </w:r>
      <w:proofErr w:type="spellEnd"/>
      <w:r w:rsidRPr="009054AD">
        <w:rPr>
          <w:color w:val="000000" w:themeColor="text1"/>
        </w:rPr>
        <w:t xml:space="preserve"> et al., 2000) and others suggesting that the association does not reach significance (e.g., Valente et al., 2017). Even so, a recent review concluded that rates of binge eating and disordered eating </w:t>
      </w:r>
      <w:proofErr w:type="spellStart"/>
      <w:r w:rsidRPr="009054AD">
        <w:rPr>
          <w:color w:val="000000" w:themeColor="text1"/>
        </w:rPr>
        <w:t>behaviours</w:t>
      </w:r>
      <w:proofErr w:type="spellEnd"/>
      <w:r w:rsidRPr="009054AD">
        <w:rPr>
          <w:color w:val="000000" w:themeColor="text1"/>
        </w:rPr>
        <w:t xml:space="preserve"> were elevated in people </w:t>
      </w:r>
      <w:r w:rsidR="005D7CD2">
        <w:rPr>
          <w:color w:val="000000" w:themeColor="text1"/>
        </w:rPr>
        <w:t xml:space="preserve">with </w:t>
      </w:r>
      <w:r w:rsidRPr="009054AD">
        <w:rPr>
          <w:color w:val="000000" w:themeColor="text1"/>
        </w:rPr>
        <w:t>schizophrenia spectrum disorders, although many studies relied on clinical samples and did not use valid assessment tools (</w:t>
      </w:r>
      <w:proofErr w:type="spellStart"/>
      <w:r w:rsidRPr="009054AD">
        <w:rPr>
          <w:color w:val="000000" w:themeColor="text1"/>
        </w:rPr>
        <w:t>Sankaranarayanan</w:t>
      </w:r>
      <w:proofErr w:type="spellEnd"/>
      <w:r w:rsidRPr="009054AD">
        <w:rPr>
          <w:color w:val="000000" w:themeColor="text1"/>
        </w:rPr>
        <w:t xml:space="preserve"> et al., 2021).</w:t>
      </w:r>
    </w:p>
    <w:p w14:paraId="0725E529" w14:textId="79BDA6FA" w:rsidR="0082611C" w:rsidRPr="009054AD" w:rsidRDefault="0082611C" w:rsidP="00943629">
      <w:pPr>
        <w:pStyle w:val="MDPI31text"/>
        <w:rPr>
          <w:color w:val="000000" w:themeColor="text1"/>
        </w:rPr>
      </w:pPr>
      <w:r w:rsidRPr="009054AD">
        <w:rPr>
          <w:color w:val="000000" w:themeColor="text1"/>
        </w:rPr>
        <w:t>One issue in interpreting the links between schizophrenia spectrum disorders and disordered eating symptoms is that, in clinical populations at least, anti-psychotic medication may lead to changes in dietary habits (</w:t>
      </w:r>
      <w:proofErr w:type="spellStart"/>
      <w:r w:rsidRPr="009054AD">
        <w:rPr>
          <w:color w:val="000000" w:themeColor="text1"/>
        </w:rPr>
        <w:t>Khosravi</w:t>
      </w:r>
      <w:proofErr w:type="spellEnd"/>
      <w:r w:rsidRPr="009054AD">
        <w:rPr>
          <w:color w:val="000000" w:themeColor="text1"/>
        </w:rPr>
        <w:t xml:space="preserve">, 2020). One way of getting around this issue is to focus on the construct of </w:t>
      </w:r>
      <w:r w:rsidRPr="009054AD">
        <w:rPr>
          <w:i/>
          <w:color w:val="000000" w:themeColor="text1"/>
        </w:rPr>
        <w:t>schizotypy</w:t>
      </w:r>
      <w:r w:rsidRPr="009054AD">
        <w:rPr>
          <w:color w:val="000000" w:themeColor="text1"/>
        </w:rPr>
        <w:t xml:space="preserve">, a heterogeneous personality </w:t>
      </w:r>
      <w:proofErr w:type="spellStart"/>
      <w:r w:rsidRPr="009054AD">
        <w:rPr>
          <w:color w:val="000000" w:themeColor="text1"/>
        </w:rPr>
        <w:t>organisation</w:t>
      </w:r>
      <w:proofErr w:type="spellEnd"/>
      <w:r w:rsidRPr="009054AD">
        <w:rPr>
          <w:color w:val="000000" w:themeColor="text1"/>
        </w:rPr>
        <w:t xml:space="preserve"> representing latent vulnerability for schizophrenia spectrum disorders (</w:t>
      </w:r>
      <w:proofErr w:type="spellStart"/>
      <w:r w:rsidRPr="009054AD">
        <w:rPr>
          <w:color w:val="000000" w:themeColor="text1"/>
        </w:rPr>
        <w:t>Kwapil</w:t>
      </w:r>
      <w:proofErr w:type="spellEnd"/>
      <w:r w:rsidRPr="009054AD">
        <w:rPr>
          <w:color w:val="000000" w:themeColor="text1"/>
        </w:rPr>
        <w:t xml:space="preserve"> &amp; </w:t>
      </w:r>
      <w:proofErr w:type="spellStart"/>
      <w:r w:rsidRPr="009054AD">
        <w:rPr>
          <w:color w:val="000000" w:themeColor="text1"/>
        </w:rPr>
        <w:t>Barrantes</w:t>
      </w:r>
      <w:proofErr w:type="spellEnd"/>
      <w:r w:rsidRPr="009054AD">
        <w:rPr>
          <w:color w:val="000000" w:themeColor="text1"/>
        </w:rPr>
        <w:t>-Vidal, 2015). Focusing on schizotypy is consistent with continuum models of mental illness (e.g., Baumeister et al., 2017), wherein it is suggested that the phenotypic manifestation of schizotypal traits can occur in the general population without necessarily being associated with schizophrenia spectrum personality disorders or full psychosis (</w:t>
      </w:r>
      <w:proofErr w:type="spellStart"/>
      <w:r w:rsidRPr="009054AD">
        <w:rPr>
          <w:color w:val="000000" w:themeColor="text1"/>
        </w:rPr>
        <w:t>Debanné</w:t>
      </w:r>
      <w:proofErr w:type="spellEnd"/>
      <w:r w:rsidRPr="009054AD">
        <w:rPr>
          <w:color w:val="000000" w:themeColor="text1"/>
        </w:rPr>
        <w:t xml:space="preserve"> et al., 2015; Fonseca-</w:t>
      </w:r>
      <w:proofErr w:type="spellStart"/>
      <w:r w:rsidRPr="009054AD">
        <w:rPr>
          <w:color w:val="000000" w:themeColor="text1"/>
        </w:rPr>
        <w:t>Pedrero</w:t>
      </w:r>
      <w:proofErr w:type="spellEnd"/>
      <w:r w:rsidRPr="009054AD">
        <w:rPr>
          <w:color w:val="000000" w:themeColor="text1"/>
        </w:rPr>
        <w:t xml:space="preserve"> &amp; </w:t>
      </w:r>
      <w:proofErr w:type="spellStart"/>
      <w:r w:rsidRPr="009054AD">
        <w:rPr>
          <w:color w:val="000000" w:themeColor="text1"/>
        </w:rPr>
        <w:t>Debanné</w:t>
      </w:r>
      <w:proofErr w:type="spellEnd"/>
      <w:r w:rsidRPr="009054AD">
        <w:rPr>
          <w:color w:val="000000" w:themeColor="text1"/>
        </w:rPr>
        <w:t>, 2017; Grant et al., 2018). Moreover, longitudinal studies have suggested that the manifestation of schizotypal traits is a risk factor for transitioning from subclinical symptomatology to full-blown psychosis (e.g., Zammit et al., 2013), particularly in the presence of genetic or environmental risk factors (</w:t>
      </w:r>
      <w:proofErr w:type="spellStart"/>
      <w:r w:rsidRPr="009054AD">
        <w:rPr>
          <w:color w:val="000000" w:themeColor="text1"/>
        </w:rPr>
        <w:t>Debanné</w:t>
      </w:r>
      <w:proofErr w:type="spellEnd"/>
      <w:r w:rsidRPr="009054AD">
        <w:rPr>
          <w:color w:val="000000" w:themeColor="text1"/>
        </w:rPr>
        <w:t xml:space="preserve"> et al., 2015; </w:t>
      </w:r>
      <w:proofErr w:type="spellStart"/>
      <w:r w:rsidRPr="009054AD">
        <w:rPr>
          <w:color w:val="000000" w:themeColor="text1"/>
        </w:rPr>
        <w:t>Linscott</w:t>
      </w:r>
      <w:proofErr w:type="spellEnd"/>
      <w:r w:rsidRPr="009054AD">
        <w:rPr>
          <w:color w:val="000000" w:themeColor="text1"/>
        </w:rPr>
        <w:t xml:space="preserve"> &amp; van </w:t>
      </w:r>
      <w:proofErr w:type="spellStart"/>
      <w:r w:rsidRPr="009054AD">
        <w:rPr>
          <w:color w:val="000000" w:themeColor="text1"/>
        </w:rPr>
        <w:t>Os</w:t>
      </w:r>
      <w:proofErr w:type="spellEnd"/>
      <w:r w:rsidRPr="009054AD">
        <w:rPr>
          <w:color w:val="000000" w:themeColor="text1"/>
        </w:rPr>
        <w:t>, 2013). In other words, schizotypy can be viewed as an important bridge to the onset of psychosis in general and schizophrenia in particular (</w:t>
      </w:r>
      <w:proofErr w:type="spellStart"/>
      <w:r w:rsidRPr="009054AD">
        <w:rPr>
          <w:color w:val="000000" w:themeColor="text1"/>
        </w:rPr>
        <w:t>Kwapil</w:t>
      </w:r>
      <w:proofErr w:type="spellEnd"/>
      <w:r w:rsidRPr="009054AD">
        <w:rPr>
          <w:color w:val="000000" w:themeColor="text1"/>
        </w:rPr>
        <w:t xml:space="preserve"> &amp; </w:t>
      </w:r>
      <w:proofErr w:type="spellStart"/>
      <w:r w:rsidRPr="009054AD">
        <w:rPr>
          <w:color w:val="000000" w:themeColor="text1"/>
        </w:rPr>
        <w:t>Barrantes</w:t>
      </w:r>
      <w:proofErr w:type="spellEnd"/>
      <w:r w:rsidRPr="009054AD">
        <w:rPr>
          <w:color w:val="000000" w:themeColor="text1"/>
        </w:rPr>
        <w:t>-Vidal, 2015).</w:t>
      </w:r>
    </w:p>
    <w:p w14:paraId="53D51C1A" w14:textId="0A25C66D" w:rsidR="0082611C" w:rsidRPr="009054AD" w:rsidRDefault="0082611C" w:rsidP="00943629">
      <w:pPr>
        <w:pStyle w:val="MDPI31text"/>
        <w:rPr>
          <w:color w:val="000000" w:themeColor="text1"/>
        </w:rPr>
      </w:pPr>
      <w:r w:rsidRPr="009054AD">
        <w:rPr>
          <w:color w:val="000000" w:themeColor="text1"/>
        </w:rPr>
        <w:t>Importantly, schizotypy and schizophrenia spectrum disorders are not isomorphic (</w:t>
      </w:r>
      <w:proofErr w:type="spellStart"/>
      <w:r w:rsidRPr="009054AD">
        <w:rPr>
          <w:color w:val="000000" w:themeColor="text1"/>
        </w:rPr>
        <w:t>Kwapil</w:t>
      </w:r>
      <w:proofErr w:type="spellEnd"/>
      <w:r w:rsidRPr="009054AD">
        <w:rPr>
          <w:color w:val="000000" w:themeColor="text1"/>
        </w:rPr>
        <w:t xml:space="preserve"> &amp; </w:t>
      </w:r>
      <w:proofErr w:type="spellStart"/>
      <w:r w:rsidRPr="009054AD">
        <w:rPr>
          <w:color w:val="000000" w:themeColor="text1"/>
        </w:rPr>
        <w:t>Barrantes</w:t>
      </w:r>
      <w:proofErr w:type="spellEnd"/>
      <w:r w:rsidRPr="009054AD">
        <w:rPr>
          <w:color w:val="000000" w:themeColor="text1"/>
        </w:rPr>
        <w:t xml:space="preserve">-Vidal, 2015), which makes it important to examine associations between schizotypy and symptoms of disordered eating. Indeed, in developing the construct of </w:t>
      </w:r>
      <w:proofErr w:type="spellStart"/>
      <w:r w:rsidRPr="009054AD">
        <w:rPr>
          <w:color w:val="000000" w:themeColor="text1"/>
        </w:rPr>
        <w:t>schizotypy</w:t>
      </w:r>
      <w:proofErr w:type="spellEnd"/>
      <w:r w:rsidRPr="009054AD">
        <w:rPr>
          <w:color w:val="000000" w:themeColor="text1"/>
        </w:rPr>
        <w:t xml:space="preserve">, </w:t>
      </w:r>
      <w:proofErr w:type="spellStart"/>
      <w:r w:rsidRPr="009054AD">
        <w:rPr>
          <w:color w:val="000000" w:themeColor="text1"/>
        </w:rPr>
        <w:t>Rado</w:t>
      </w:r>
      <w:proofErr w:type="spellEnd"/>
      <w:r w:rsidRPr="009054AD">
        <w:rPr>
          <w:color w:val="000000" w:themeColor="text1"/>
        </w:rPr>
        <w:t xml:space="preserve"> (1960) described a </w:t>
      </w:r>
      <w:proofErr w:type="spellStart"/>
      <w:r w:rsidRPr="009054AD">
        <w:rPr>
          <w:color w:val="000000" w:themeColor="text1"/>
        </w:rPr>
        <w:t>kinaesthetic</w:t>
      </w:r>
      <w:proofErr w:type="spellEnd"/>
      <w:r w:rsidRPr="009054AD">
        <w:rPr>
          <w:color w:val="000000" w:themeColor="text1"/>
        </w:rPr>
        <w:t xml:space="preserve"> predisposition that results in an aberrant awareness of the body, which in turn led to </w:t>
      </w:r>
      <w:proofErr w:type="spellStart"/>
      <w:r w:rsidRPr="009054AD">
        <w:rPr>
          <w:color w:val="000000" w:themeColor="text1"/>
        </w:rPr>
        <w:t>schizotypic</w:t>
      </w:r>
      <w:proofErr w:type="spellEnd"/>
      <w:r w:rsidRPr="009054AD">
        <w:rPr>
          <w:color w:val="000000" w:themeColor="text1"/>
        </w:rPr>
        <w:t xml:space="preserve"> body image distortions. Similarly, </w:t>
      </w:r>
      <w:proofErr w:type="spellStart"/>
      <w:r w:rsidRPr="009054AD">
        <w:rPr>
          <w:color w:val="000000" w:themeColor="text1"/>
        </w:rPr>
        <w:t>Meehl</w:t>
      </w:r>
      <w:proofErr w:type="spellEnd"/>
      <w:r w:rsidRPr="009054AD">
        <w:rPr>
          <w:color w:val="000000" w:themeColor="text1"/>
        </w:rPr>
        <w:t xml:space="preserve"> (1964) described a range of schizotypal signs and symptoms, including body image aberrations, a suggestion that has received support more recently in the finding that high schizotypal traits are associated with sense of detachment from one’s lived body and that abnormal bodily experiences may be a marker of schizophrenia proneness (</w:t>
      </w:r>
      <w:proofErr w:type="spellStart"/>
      <w:r w:rsidRPr="009054AD">
        <w:rPr>
          <w:color w:val="000000" w:themeColor="text1"/>
        </w:rPr>
        <w:t>Fotia</w:t>
      </w:r>
      <w:proofErr w:type="spellEnd"/>
      <w:r w:rsidRPr="009054AD">
        <w:rPr>
          <w:color w:val="000000" w:themeColor="text1"/>
        </w:rPr>
        <w:t xml:space="preserve"> et al., 2022). Other studies have also suggested that body ownership (i.e., a component of the bodily self) as measured using the Rubber Hand Illusion is significantly associated with schizotypy, indicating that body image disturbances may be central to prodromal schizophrenia (e.g., </w:t>
      </w:r>
      <w:proofErr w:type="spellStart"/>
      <w:r w:rsidRPr="009054AD">
        <w:rPr>
          <w:color w:val="000000" w:themeColor="text1"/>
        </w:rPr>
        <w:t>Asai</w:t>
      </w:r>
      <w:proofErr w:type="spellEnd"/>
      <w:r w:rsidRPr="009054AD">
        <w:rPr>
          <w:color w:val="000000" w:themeColor="text1"/>
        </w:rPr>
        <w:t xml:space="preserve"> et al., 2011; </w:t>
      </w:r>
      <w:proofErr w:type="spellStart"/>
      <w:r w:rsidRPr="009054AD">
        <w:rPr>
          <w:color w:val="000000" w:themeColor="text1"/>
        </w:rPr>
        <w:t>Torregrossa</w:t>
      </w:r>
      <w:proofErr w:type="spellEnd"/>
      <w:r w:rsidRPr="009054AD">
        <w:rPr>
          <w:color w:val="000000" w:themeColor="text1"/>
        </w:rPr>
        <w:t xml:space="preserve"> &amp; Park, 2022).</w:t>
      </w:r>
    </w:p>
    <w:p w14:paraId="31A3F2DA" w14:textId="457C39B4" w:rsidR="0082611C" w:rsidRPr="009054AD" w:rsidRDefault="0082611C" w:rsidP="00943629">
      <w:pPr>
        <w:pStyle w:val="MDPI31text"/>
        <w:rPr>
          <w:color w:val="000000" w:themeColor="text1"/>
        </w:rPr>
      </w:pPr>
      <w:r w:rsidRPr="009054AD">
        <w:rPr>
          <w:color w:val="000000" w:themeColor="text1"/>
        </w:rPr>
        <w:t xml:space="preserve">An alternative way to approach this topic is to assess associations between symptoms of disordered eating and schizotypy, which two previous studies have done. First, </w:t>
      </w:r>
      <w:proofErr w:type="spellStart"/>
      <w:r w:rsidRPr="009054AD">
        <w:rPr>
          <w:color w:val="000000" w:themeColor="text1"/>
        </w:rPr>
        <w:t>Raynal</w:t>
      </w:r>
      <w:proofErr w:type="spellEnd"/>
      <w:r w:rsidRPr="009054AD">
        <w:rPr>
          <w:color w:val="000000" w:themeColor="text1"/>
        </w:rPr>
        <w:t xml:space="preserve"> and colleagues (2016) reported that, in French college students (</w:t>
      </w:r>
      <w:r w:rsidRPr="009054AD">
        <w:rPr>
          <w:i/>
          <w:iCs/>
          <w:color w:val="000000" w:themeColor="text1"/>
        </w:rPr>
        <w:t>N</w:t>
      </w:r>
      <w:r w:rsidRPr="009054AD">
        <w:rPr>
          <w:color w:val="000000" w:themeColor="text1"/>
        </w:rPr>
        <w:t xml:space="preserve"> = 378), those who were assessed as having disordered eating </w:t>
      </w:r>
      <w:proofErr w:type="spellStart"/>
      <w:r w:rsidRPr="009054AD">
        <w:rPr>
          <w:color w:val="000000" w:themeColor="text1"/>
        </w:rPr>
        <w:t>behaviours</w:t>
      </w:r>
      <w:proofErr w:type="spellEnd"/>
      <w:r w:rsidRPr="009054AD">
        <w:rPr>
          <w:color w:val="000000" w:themeColor="text1"/>
        </w:rPr>
        <w:t xml:space="preserve"> had significantly higher schizotypy scores than those without disordered eating </w:t>
      </w:r>
      <w:proofErr w:type="spellStart"/>
      <w:r w:rsidRPr="009054AD">
        <w:rPr>
          <w:color w:val="000000" w:themeColor="text1"/>
        </w:rPr>
        <w:t>behaviours</w:t>
      </w:r>
      <w:proofErr w:type="spellEnd"/>
      <w:r w:rsidRPr="009054AD">
        <w:rPr>
          <w:color w:val="000000" w:themeColor="text1"/>
        </w:rPr>
        <w:t xml:space="preserve">. One important limitation of this study, however, is the fact that the authors only examined global schizotypy scores, which </w:t>
      </w:r>
      <w:r w:rsidRPr="009054AD">
        <w:rPr>
          <w:color w:val="000000" w:themeColor="text1"/>
        </w:rPr>
        <w:lastRenderedPageBreak/>
        <w:t>contrasts with the consensus among schizotypy scholars that the construct is heterogeneous and multidimensional (Fonseca-</w:t>
      </w:r>
      <w:proofErr w:type="spellStart"/>
      <w:r w:rsidRPr="009054AD">
        <w:rPr>
          <w:color w:val="000000" w:themeColor="text1"/>
        </w:rPr>
        <w:t>Pedrero</w:t>
      </w:r>
      <w:proofErr w:type="spellEnd"/>
      <w:r w:rsidRPr="009054AD">
        <w:rPr>
          <w:color w:val="000000" w:themeColor="text1"/>
        </w:rPr>
        <w:t xml:space="preserve"> et al., 2018; Grant et al., 2018). More specifically, there is a wealth of evidence to suggest that </w:t>
      </w:r>
      <w:proofErr w:type="spellStart"/>
      <w:r w:rsidRPr="009054AD">
        <w:rPr>
          <w:color w:val="000000" w:themeColor="text1"/>
        </w:rPr>
        <w:t>schizotypy</w:t>
      </w:r>
      <w:proofErr w:type="spellEnd"/>
      <w:r w:rsidRPr="009054AD">
        <w:rPr>
          <w:color w:val="000000" w:themeColor="text1"/>
        </w:rPr>
        <w:t xml:space="preserve"> is </w:t>
      </w:r>
      <w:proofErr w:type="spellStart"/>
      <w:r w:rsidRPr="009054AD">
        <w:rPr>
          <w:color w:val="000000" w:themeColor="text1"/>
        </w:rPr>
        <w:t>characterised</w:t>
      </w:r>
      <w:proofErr w:type="spellEnd"/>
      <w:r w:rsidRPr="009054AD">
        <w:rPr>
          <w:color w:val="000000" w:themeColor="text1"/>
        </w:rPr>
        <w:t xml:space="preserve"> by a positive or psychotic-like dimension (</w:t>
      </w:r>
      <w:proofErr w:type="spellStart"/>
      <w:r w:rsidRPr="009054AD">
        <w:rPr>
          <w:color w:val="000000" w:themeColor="text1"/>
        </w:rPr>
        <w:t>characterised</w:t>
      </w:r>
      <w:proofErr w:type="spellEnd"/>
      <w:r w:rsidRPr="009054AD">
        <w:rPr>
          <w:color w:val="000000" w:themeColor="text1"/>
        </w:rPr>
        <w:t xml:space="preserve"> by disruptions in content of thought, perceptual oddities, and suspiciousness or paranoia), a negative or deficit dimension (</w:t>
      </w:r>
      <w:proofErr w:type="spellStart"/>
      <w:r w:rsidRPr="009054AD">
        <w:rPr>
          <w:color w:val="000000" w:themeColor="text1"/>
        </w:rPr>
        <w:t>characterised</w:t>
      </w:r>
      <w:proofErr w:type="spellEnd"/>
      <w:r w:rsidRPr="009054AD">
        <w:rPr>
          <w:color w:val="000000" w:themeColor="text1"/>
        </w:rPr>
        <w:t xml:space="preserve"> by diminished experiences, such as anergia and anhedonia), and a </w:t>
      </w:r>
      <w:proofErr w:type="spellStart"/>
      <w:r w:rsidRPr="009054AD">
        <w:rPr>
          <w:color w:val="000000" w:themeColor="text1"/>
        </w:rPr>
        <w:t>disorganised</w:t>
      </w:r>
      <w:proofErr w:type="spellEnd"/>
      <w:r w:rsidRPr="009054AD">
        <w:rPr>
          <w:color w:val="000000" w:themeColor="text1"/>
        </w:rPr>
        <w:t xml:space="preserve"> dimension (</w:t>
      </w:r>
      <w:proofErr w:type="spellStart"/>
      <w:r w:rsidRPr="009054AD">
        <w:rPr>
          <w:color w:val="000000" w:themeColor="text1"/>
        </w:rPr>
        <w:t>characterised</w:t>
      </w:r>
      <w:proofErr w:type="spellEnd"/>
      <w:r w:rsidRPr="009054AD">
        <w:rPr>
          <w:color w:val="000000" w:themeColor="text1"/>
        </w:rPr>
        <w:t xml:space="preserve"> by disturbances in the ability to </w:t>
      </w:r>
      <w:proofErr w:type="spellStart"/>
      <w:r w:rsidRPr="009054AD">
        <w:rPr>
          <w:color w:val="000000" w:themeColor="text1"/>
        </w:rPr>
        <w:t>organise</w:t>
      </w:r>
      <w:proofErr w:type="spellEnd"/>
      <w:r w:rsidRPr="009054AD">
        <w:rPr>
          <w:color w:val="000000" w:themeColor="text1"/>
        </w:rPr>
        <w:t xml:space="preserve"> and express thoughts and </w:t>
      </w:r>
      <w:proofErr w:type="spellStart"/>
      <w:r w:rsidRPr="009054AD">
        <w:rPr>
          <w:color w:val="000000" w:themeColor="text1"/>
        </w:rPr>
        <w:t>behaviours</w:t>
      </w:r>
      <w:proofErr w:type="spellEnd"/>
      <w:r w:rsidRPr="009054AD">
        <w:rPr>
          <w:color w:val="000000" w:themeColor="text1"/>
        </w:rPr>
        <w:t>) (</w:t>
      </w:r>
      <w:proofErr w:type="spellStart"/>
      <w:r w:rsidRPr="009054AD">
        <w:rPr>
          <w:color w:val="000000" w:themeColor="text1"/>
        </w:rPr>
        <w:t>Kwapil</w:t>
      </w:r>
      <w:proofErr w:type="spellEnd"/>
      <w:r w:rsidRPr="009054AD">
        <w:rPr>
          <w:color w:val="000000" w:themeColor="text1"/>
        </w:rPr>
        <w:t xml:space="preserve"> &amp; </w:t>
      </w:r>
      <w:proofErr w:type="spellStart"/>
      <w:r w:rsidRPr="009054AD">
        <w:rPr>
          <w:color w:val="000000" w:themeColor="text1"/>
        </w:rPr>
        <w:t>Barrantes</w:t>
      </w:r>
      <w:proofErr w:type="spellEnd"/>
      <w:r w:rsidRPr="009054AD">
        <w:rPr>
          <w:color w:val="000000" w:themeColor="text1"/>
        </w:rPr>
        <w:t xml:space="preserve">-Vidal, 2015). </w:t>
      </w:r>
    </w:p>
    <w:p w14:paraId="79A87420" w14:textId="6D16A996" w:rsidR="0082611C" w:rsidRPr="009054AD" w:rsidRDefault="0082611C" w:rsidP="00943629">
      <w:pPr>
        <w:pStyle w:val="MDPI31text"/>
        <w:rPr>
          <w:color w:val="000000" w:themeColor="text1"/>
        </w:rPr>
      </w:pPr>
      <w:r w:rsidRPr="009054AD">
        <w:rPr>
          <w:color w:val="000000" w:themeColor="text1"/>
        </w:rPr>
        <w:t>An earlier study did examine associations between multidimensional schizotypy and disordered eating attitudes (</w:t>
      </w:r>
      <w:proofErr w:type="spellStart"/>
      <w:r w:rsidRPr="009054AD">
        <w:rPr>
          <w:color w:val="000000" w:themeColor="text1"/>
        </w:rPr>
        <w:t>Bremser</w:t>
      </w:r>
      <w:proofErr w:type="spellEnd"/>
      <w:r w:rsidRPr="009054AD">
        <w:rPr>
          <w:color w:val="000000" w:themeColor="text1"/>
        </w:rPr>
        <w:t xml:space="preserve"> &amp; Gallup, 2012). Here, it was reported across two studies that several facets of schizotypy – particularly ideas of reference, odd beliefs/magical thinking, and suspiciousness – were significantly and positively associated with disordered eating attitudes in university students from the United States, although effects sizes were weak-to-moderate. This suggests that the positive or psychotic-like facets of schizotypy in particular may be associated with greater disordered eating attitudes, which would be consistent with the finding that positive schizotypy is associated with a weakened sense of body ownership (</w:t>
      </w:r>
      <w:proofErr w:type="spellStart"/>
      <w:r w:rsidRPr="009054AD">
        <w:rPr>
          <w:color w:val="000000" w:themeColor="text1"/>
        </w:rPr>
        <w:t>Torregrossa</w:t>
      </w:r>
      <w:proofErr w:type="spellEnd"/>
      <w:r w:rsidRPr="009054AD">
        <w:rPr>
          <w:color w:val="000000" w:themeColor="text1"/>
        </w:rPr>
        <w:t xml:space="preserve"> &amp; Park, 2022). However, issues in interpreting these findings related to the small sample sizes in the studies by </w:t>
      </w:r>
      <w:proofErr w:type="spellStart"/>
      <w:r w:rsidRPr="009054AD">
        <w:rPr>
          <w:color w:val="000000" w:themeColor="text1"/>
        </w:rPr>
        <w:t>Bremser</w:t>
      </w:r>
      <w:proofErr w:type="spellEnd"/>
      <w:r w:rsidRPr="009054AD">
        <w:rPr>
          <w:color w:val="000000" w:themeColor="text1"/>
        </w:rPr>
        <w:t xml:space="preserve"> and Gallup (2012; </w:t>
      </w:r>
      <w:r w:rsidRPr="009054AD">
        <w:rPr>
          <w:i/>
          <w:iCs/>
          <w:color w:val="000000" w:themeColor="text1"/>
        </w:rPr>
        <w:t>N</w:t>
      </w:r>
      <w:r w:rsidRPr="009054AD">
        <w:rPr>
          <w:color w:val="000000" w:themeColor="text1"/>
        </w:rPr>
        <w:t xml:space="preserve"> = 42 and 37, respectively), the sole focus on correlational analyses (i.e., no follow-up analyses were conducted), and the lack of consideration of possible gendered effects (i.e., data were pooled across women and men for analyses).</w:t>
      </w:r>
    </w:p>
    <w:p w14:paraId="4E7BF526" w14:textId="6D30C8B3" w:rsidR="0082611C" w:rsidRPr="009054AD" w:rsidRDefault="0082611C" w:rsidP="00943629">
      <w:pPr>
        <w:pStyle w:val="MDPI31text"/>
        <w:rPr>
          <w:color w:val="000000" w:themeColor="text1"/>
        </w:rPr>
      </w:pPr>
      <w:r w:rsidRPr="009054AD">
        <w:rPr>
          <w:color w:val="000000" w:themeColor="text1"/>
        </w:rPr>
        <w:t xml:space="preserve">In view of these issues, the present study sought to make an incremental contribution to knowledge by re-examining associations between multidimensional schizotypal facets and symptoms of disordered eating in a larger sample of women. While this study adopted a largely exploratory framework given the dearth of relevant research, several schizotypal facets stand out as </w:t>
      </w:r>
      <w:r w:rsidRPr="009054AD">
        <w:rPr>
          <w:i/>
          <w:color w:val="000000" w:themeColor="text1"/>
        </w:rPr>
        <w:t xml:space="preserve">prima facie </w:t>
      </w:r>
      <w:r w:rsidRPr="009054AD">
        <w:rPr>
          <w:color w:val="000000" w:themeColor="text1"/>
        </w:rPr>
        <w:t xml:space="preserve">antecedents of disordered eating. These include the positive schizotypal facets identified by </w:t>
      </w:r>
      <w:proofErr w:type="spellStart"/>
      <w:r w:rsidRPr="009054AD">
        <w:rPr>
          <w:color w:val="000000" w:themeColor="text1"/>
        </w:rPr>
        <w:t>Bremser</w:t>
      </w:r>
      <w:proofErr w:type="spellEnd"/>
      <w:r w:rsidRPr="009054AD">
        <w:rPr>
          <w:color w:val="000000" w:themeColor="text1"/>
        </w:rPr>
        <w:t xml:space="preserve"> and Gallup (2012), namely ideas of reference, odd beliefs/magical thinking, and suspiciousness. Two other potential candidates were unusual perceptual experiences (which may be associated with unrealistic perceptions of one’s body) and constricted affect (which may be associated with the </w:t>
      </w:r>
      <w:proofErr w:type="spellStart"/>
      <w:r w:rsidRPr="009054AD">
        <w:rPr>
          <w:color w:val="000000" w:themeColor="text1"/>
        </w:rPr>
        <w:t>behavioural</w:t>
      </w:r>
      <w:proofErr w:type="spellEnd"/>
      <w:r w:rsidRPr="009054AD">
        <w:rPr>
          <w:color w:val="000000" w:themeColor="text1"/>
        </w:rPr>
        <w:t xml:space="preserve"> inhibition that is common in disordered eating; Claes et al., 2006). Finally, we also </w:t>
      </w:r>
      <w:proofErr w:type="spellStart"/>
      <w:r w:rsidRPr="009054AD">
        <w:rPr>
          <w:color w:val="000000" w:themeColor="text1"/>
        </w:rPr>
        <w:t>hypothesised</w:t>
      </w:r>
      <w:proofErr w:type="spellEnd"/>
      <w:r w:rsidRPr="009054AD">
        <w:rPr>
          <w:color w:val="000000" w:themeColor="text1"/>
        </w:rPr>
        <w:t xml:space="preserve"> a role for the schizotypal trait of excessive social anxiety, which refers to excessive self-consciousness, social fear, and fear of social interaction and judgement. These socio-affective difficulties have been highlighted as risk factors for disordered eating (Levinson &amp; </w:t>
      </w:r>
      <w:proofErr w:type="spellStart"/>
      <w:r w:rsidRPr="009054AD">
        <w:rPr>
          <w:color w:val="000000" w:themeColor="text1"/>
        </w:rPr>
        <w:t>Rodebaugh</w:t>
      </w:r>
      <w:proofErr w:type="spellEnd"/>
      <w:r w:rsidRPr="009054AD">
        <w:rPr>
          <w:color w:val="000000" w:themeColor="text1"/>
        </w:rPr>
        <w:t xml:space="preserve">, 2015), with previous studies indicating that non-schizotypal social anxiety uniquely predicts symptoms of disordered eating in women (Levinson &amp; </w:t>
      </w:r>
      <w:proofErr w:type="spellStart"/>
      <w:r w:rsidRPr="009054AD">
        <w:rPr>
          <w:color w:val="000000" w:themeColor="text1"/>
        </w:rPr>
        <w:t>Rodebaugh</w:t>
      </w:r>
      <w:proofErr w:type="spellEnd"/>
      <w:r w:rsidRPr="009054AD">
        <w:rPr>
          <w:color w:val="000000" w:themeColor="text1"/>
        </w:rPr>
        <w:t>, 2012).</w:t>
      </w:r>
    </w:p>
    <w:p w14:paraId="047880A9" w14:textId="448F6739" w:rsidR="0082611C" w:rsidRPr="009054AD" w:rsidRDefault="00943629" w:rsidP="00943629">
      <w:pPr>
        <w:pStyle w:val="MDPI21heading1"/>
        <w:rPr>
          <w:color w:val="000000" w:themeColor="text1"/>
        </w:rPr>
      </w:pPr>
      <w:r w:rsidRPr="009054AD">
        <w:rPr>
          <w:color w:val="000000" w:themeColor="text1"/>
        </w:rPr>
        <w:t xml:space="preserve">2. </w:t>
      </w:r>
      <w:r w:rsidR="0082611C" w:rsidRPr="009054AD">
        <w:rPr>
          <w:color w:val="000000" w:themeColor="text1"/>
        </w:rPr>
        <w:t>Materials and Method</w:t>
      </w:r>
    </w:p>
    <w:p w14:paraId="1DEC7C4F" w14:textId="3B20D6F2" w:rsidR="0082611C" w:rsidRPr="009054AD" w:rsidRDefault="00943629" w:rsidP="00943629">
      <w:pPr>
        <w:pStyle w:val="MDPI22heading2"/>
        <w:rPr>
          <w:color w:val="000000" w:themeColor="text1"/>
        </w:rPr>
      </w:pPr>
      <w:r w:rsidRPr="009054AD">
        <w:rPr>
          <w:color w:val="000000" w:themeColor="text1"/>
        </w:rPr>
        <w:t xml:space="preserve">2.1. </w:t>
      </w:r>
      <w:r w:rsidR="0082611C" w:rsidRPr="009054AD">
        <w:rPr>
          <w:color w:val="000000" w:themeColor="text1"/>
        </w:rPr>
        <w:t>Participants</w:t>
      </w:r>
    </w:p>
    <w:p w14:paraId="14699CEC" w14:textId="47A2757A" w:rsidR="0082611C" w:rsidRPr="009054AD" w:rsidRDefault="0082611C" w:rsidP="00943629">
      <w:pPr>
        <w:pStyle w:val="MDPI31text"/>
        <w:rPr>
          <w:color w:val="000000" w:themeColor="text1"/>
        </w:rPr>
      </w:pPr>
      <w:r w:rsidRPr="009054AD">
        <w:rPr>
          <w:color w:val="000000" w:themeColor="text1"/>
        </w:rPr>
        <w:t>Participants were 235 women from the United States, who ranged in age from 19 to 70 years (</w:t>
      </w:r>
      <w:r w:rsidRPr="009054AD">
        <w:rPr>
          <w:i/>
          <w:color w:val="000000" w:themeColor="text1"/>
        </w:rPr>
        <w:t>M</w:t>
      </w:r>
      <w:r w:rsidRPr="009054AD">
        <w:rPr>
          <w:color w:val="000000" w:themeColor="text1"/>
        </w:rPr>
        <w:t xml:space="preserve"> = 39.09, </w:t>
      </w:r>
      <w:r w:rsidRPr="009054AD">
        <w:rPr>
          <w:i/>
          <w:color w:val="000000" w:themeColor="text1"/>
        </w:rPr>
        <w:t>SD</w:t>
      </w:r>
      <w:r w:rsidRPr="009054AD">
        <w:rPr>
          <w:color w:val="000000" w:themeColor="text1"/>
        </w:rPr>
        <w:t xml:space="preserve"> = 13.07) and in body mass index (BMI) from 15.24 to 49.92 kg/m</w:t>
      </w:r>
      <w:r w:rsidRPr="009054AD">
        <w:rPr>
          <w:color w:val="000000" w:themeColor="text1"/>
          <w:vertAlign w:val="superscript"/>
        </w:rPr>
        <w:t>2</w:t>
      </w:r>
      <w:r w:rsidRPr="009054AD">
        <w:rPr>
          <w:color w:val="000000" w:themeColor="text1"/>
        </w:rPr>
        <w:t xml:space="preserve"> (</w:t>
      </w:r>
      <w:r w:rsidRPr="009054AD">
        <w:rPr>
          <w:i/>
          <w:color w:val="000000" w:themeColor="text1"/>
        </w:rPr>
        <w:t>M</w:t>
      </w:r>
      <w:r w:rsidRPr="009054AD">
        <w:rPr>
          <w:color w:val="000000" w:themeColor="text1"/>
        </w:rPr>
        <w:t xml:space="preserve"> = 24.92, </w:t>
      </w:r>
      <w:r w:rsidRPr="009054AD">
        <w:rPr>
          <w:i/>
          <w:color w:val="000000" w:themeColor="text1"/>
        </w:rPr>
        <w:t>SD</w:t>
      </w:r>
      <w:r w:rsidRPr="009054AD">
        <w:rPr>
          <w:color w:val="000000" w:themeColor="text1"/>
        </w:rPr>
        <w:t xml:space="preserve"> = 6.44). The majority of the sample were White (75.3%), with 10.2% of African American descent, and the remainder of other racial groups.</w:t>
      </w:r>
    </w:p>
    <w:p w14:paraId="32B5C262" w14:textId="24B2A201" w:rsidR="0082611C" w:rsidRPr="009054AD" w:rsidRDefault="00943629" w:rsidP="00943629">
      <w:pPr>
        <w:pStyle w:val="MDPI22heading2"/>
        <w:spacing w:before="240"/>
        <w:rPr>
          <w:color w:val="000000" w:themeColor="text1"/>
        </w:rPr>
      </w:pPr>
      <w:r w:rsidRPr="009054AD">
        <w:rPr>
          <w:color w:val="000000" w:themeColor="text1"/>
        </w:rPr>
        <w:t xml:space="preserve">2.2. </w:t>
      </w:r>
      <w:r w:rsidR="0082611C" w:rsidRPr="009054AD">
        <w:rPr>
          <w:color w:val="000000" w:themeColor="text1"/>
        </w:rPr>
        <w:t>Measures</w:t>
      </w:r>
    </w:p>
    <w:p w14:paraId="4E0C6B3B" w14:textId="03632B22" w:rsidR="0082611C" w:rsidRPr="009054AD" w:rsidRDefault="00943629" w:rsidP="00943629">
      <w:pPr>
        <w:pStyle w:val="MDPI23heading3"/>
        <w:rPr>
          <w:color w:val="000000" w:themeColor="text1"/>
        </w:rPr>
      </w:pPr>
      <w:r w:rsidRPr="009054AD">
        <w:rPr>
          <w:color w:val="000000" w:themeColor="text1"/>
        </w:rPr>
        <w:t xml:space="preserve">2.2.1. </w:t>
      </w:r>
      <w:r w:rsidR="0082611C" w:rsidRPr="009054AD">
        <w:rPr>
          <w:color w:val="000000" w:themeColor="text1"/>
        </w:rPr>
        <w:t>Schizotypy</w:t>
      </w:r>
    </w:p>
    <w:p w14:paraId="01EEE95F" w14:textId="42D059A8" w:rsidR="0082611C" w:rsidRPr="009054AD" w:rsidRDefault="0082611C" w:rsidP="00943629">
      <w:pPr>
        <w:pStyle w:val="MDPI31text"/>
        <w:rPr>
          <w:color w:val="000000" w:themeColor="text1"/>
        </w:rPr>
      </w:pPr>
      <w:r w:rsidRPr="009054AD">
        <w:rPr>
          <w:color w:val="000000" w:themeColor="text1"/>
        </w:rPr>
        <w:t xml:space="preserve">Participants completed the 74-item Schizotypal Personality Questionnaire (SPQ; Raine, 1991), designed to measure nine schizotypal factors, namely no close friends, constricted affect, ideas of reference, odd beliefs and magical thinking, unusual perceptual experiences, odd or eccentric </w:t>
      </w:r>
      <w:proofErr w:type="spellStart"/>
      <w:r w:rsidRPr="009054AD">
        <w:rPr>
          <w:color w:val="000000" w:themeColor="text1"/>
        </w:rPr>
        <w:t>behaviour</w:t>
      </w:r>
      <w:proofErr w:type="spellEnd"/>
      <w:r w:rsidRPr="009054AD">
        <w:rPr>
          <w:color w:val="000000" w:themeColor="text1"/>
        </w:rPr>
        <w:t>, odd speech, suspiciousness, and excessive social anxiety. Items were responded to using a dichotomous scale (</w:t>
      </w:r>
      <w:r w:rsidRPr="009054AD">
        <w:rPr>
          <w:i/>
          <w:color w:val="000000" w:themeColor="text1"/>
        </w:rPr>
        <w:t>yes</w:t>
      </w:r>
      <w:r w:rsidRPr="009054AD">
        <w:rPr>
          <w:color w:val="000000" w:themeColor="text1"/>
        </w:rPr>
        <w:t>/</w:t>
      </w:r>
      <w:r w:rsidRPr="009054AD">
        <w:rPr>
          <w:i/>
          <w:color w:val="000000" w:themeColor="text1"/>
        </w:rPr>
        <w:t>no</w:t>
      </w:r>
      <w:r w:rsidRPr="009054AD">
        <w:rPr>
          <w:color w:val="000000" w:themeColor="text1"/>
        </w:rPr>
        <w:t xml:space="preserve">). Each </w:t>
      </w:r>
      <w:r w:rsidRPr="009054AD">
        <w:rPr>
          <w:i/>
          <w:color w:val="000000" w:themeColor="text1"/>
        </w:rPr>
        <w:t>yes</w:t>
      </w:r>
      <w:r w:rsidRPr="009054AD">
        <w:rPr>
          <w:color w:val="000000" w:themeColor="text1"/>
        </w:rPr>
        <w:t xml:space="preserve"> response counts as one point and the nine factor scores were computed as the mean of all items </w:t>
      </w:r>
      <w:r w:rsidRPr="009054AD">
        <w:rPr>
          <w:color w:val="000000" w:themeColor="text1"/>
        </w:rPr>
        <w:lastRenderedPageBreak/>
        <w:t xml:space="preserve">associated with each subscale. Scores on the SPQ have very good factorial validity, adequate reliability, and good patterns of convergent and divergent validity (Raine, 1991). In the present study, McDonald’s omega was ≥ .72 for all subscales. </w:t>
      </w:r>
    </w:p>
    <w:p w14:paraId="525F1828" w14:textId="2E173392" w:rsidR="0082611C" w:rsidRPr="009054AD" w:rsidRDefault="00943629" w:rsidP="00943629">
      <w:pPr>
        <w:pStyle w:val="MDPI23heading3"/>
        <w:spacing w:before="240"/>
        <w:rPr>
          <w:color w:val="000000" w:themeColor="text1"/>
        </w:rPr>
      </w:pPr>
      <w:r w:rsidRPr="009054AD">
        <w:rPr>
          <w:color w:val="000000" w:themeColor="text1"/>
        </w:rPr>
        <w:t xml:space="preserve">2.2.2. </w:t>
      </w:r>
      <w:r w:rsidR="0082611C" w:rsidRPr="009054AD">
        <w:rPr>
          <w:color w:val="000000" w:themeColor="text1"/>
        </w:rPr>
        <w:t>Disordered eating</w:t>
      </w:r>
    </w:p>
    <w:p w14:paraId="457B84BA" w14:textId="29CF59A2" w:rsidR="0082611C" w:rsidRPr="009054AD" w:rsidRDefault="0082611C" w:rsidP="00943629">
      <w:pPr>
        <w:pStyle w:val="MDPI31text"/>
        <w:rPr>
          <w:color w:val="000000" w:themeColor="text1"/>
        </w:rPr>
      </w:pPr>
      <w:r w:rsidRPr="009054AD">
        <w:rPr>
          <w:color w:val="000000" w:themeColor="text1"/>
        </w:rPr>
        <w:t>Participants completed three subscales of the Eating Disorders Inventory-3 (</w:t>
      </w:r>
      <w:r w:rsidR="00E958AB">
        <w:rPr>
          <w:color w:val="000000" w:themeColor="text1"/>
        </w:rPr>
        <w:t xml:space="preserve">EDI-3; </w:t>
      </w:r>
      <w:r w:rsidRPr="009054AD">
        <w:rPr>
          <w:color w:val="000000" w:themeColor="text1"/>
        </w:rPr>
        <w:t xml:space="preserve">Garner, 2004), namely drive for thinness (EDI-DT), bulimic symptoms (EDI-BS), and body dissatisfaction (EDI-BD). Scores on these subscales perform well as prognostic indicators of risk for disordered eating in women (Clausen et al., 2011). All items were rated on a 6-point scale (1 = </w:t>
      </w:r>
      <w:r w:rsidRPr="009054AD">
        <w:rPr>
          <w:i/>
          <w:color w:val="000000" w:themeColor="text1"/>
        </w:rPr>
        <w:t>never</w:t>
      </w:r>
      <w:r w:rsidRPr="009054AD">
        <w:rPr>
          <w:color w:val="000000" w:themeColor="text1"/>
        </w:rPr>
        <w:t xml:space="preserve">, 6 = </w:t>
      </w:r>
      <w:r w:rsidRPr="009054AD">
        <w:rPr>
          <w:i/>
          <w:color w:val="000000" w:themeColor="text1"/>
        </w:rPr>
        <w:t>always</w:t>
      </w:r>
      <w:r w:rsidRPr="009054AD">
        <w:rPr>
          <w:color w:val="000000" w:themeColor="text1"/>
        </w:rPr>
        <w:t>) and subscale scores were computed as the mean of relevant items. The reliability and validity of EDI-3 scores are well-established (Clausen et al., 2011). Here, McDonald’s omega was ≥ .77 for all subscales.</w:t>
      </w:r>
    </w:p>
    <w:p w14:paraId="057F6889" w14:textId="645057C4" w:rsidR="0082611C" w:rsidRPr="009054AD" w:rsidRDefault="00943629" w:rsidP="00943629">
      <w:pPr>
        <w:pStyle w:val="MDPI23heading3"/>
        <w:spacing w:before="240"/>
        <w:rPr>
          <w:color w:val="000000" w:themeColor="text1"/>
        </w:rPr>
      </w:pPr>
      <w:r w:rsidRPr="009054AD">
        <w:rPr>
          <w:color w:val="000000" w:themeColor="text1"/>
        </w:rPr>
        <w:t xml:space="preserve">2.2.3. </w:t>
      </w:r>
      <w:r w:rsidR="0082611C" w:rsidRPr="009054AD">
        <w:rPr>
          <w:color w:val="000000" w:themeColor="text1"/>
        </w:rPr>
        <w:t>Demographics</w:t>
      </w:r>
    </w:p>
    <w:p w14:paraId="2E9FBBA6" w14:textId="55AA31EF" w:rsidR="0082611C" w:rsidRPr="009054AD" w:rsidRDefault="0082611C" w:rsidP="00943629">
      <w:pPr>
        <w:pStyle w:val="MDPI31text"/>
        <w:rPr>
          <w:color w:val="000000" w:themeColor="text1"/>
        </w:rPr>
      </w:pPr>
      <w:r w:rsidRPr="009054AD">
        <w:rPr>
          <w:color w:val="000000" w:themeColor="text1"/>
        </w:rPr>
        <w:t>Participants provided their demographic details consisting of age, race, height, and weight. Self-reported height and weight data were used to compute BMI as kg/m</w:t>
      </w:r>
      <w:r w:rsidRPr="009054AD">
        <w:rPr>
          <w:color w:val="000000" w:themeColor="text1"/>
          <w:vertAlign w:val="superscript"/>
        </w:rPr>
        <w:t>2</w:t>
      </w:r>
      <w:r w:rsidRPr="009054AD">
        <w:rPr>
          <w:color w:val="000000" w:themeColor="text1"/>
        </w:rPr>
        <w:t>.</w:t>
      </w:r>
    </w:p>
    <w:p w14:paraId="40EEA53F" w14:textId="0A3ECEEA" w:rsidR="0082611C" w:rsidRPr="009054AD" w:rsidRDefault="00943629" w:rsidP="00943629">
      <w:pPr>
        <w:pStyle w:val="MDPI23heading3"/>
        <w:spacing w:before="240"/>
        <w:rPr>
          <w:color w:val="000000" w:themeColor="text1"/>
        </w:rPr>
      </w:pPr>
      <w:r w:rsidRPr="009054AD">
        <w:rPr>
          <w:color w:val="000000" w:themeColor="text1"/>
        </w:rPr>
        <w:t xml:space="preserve">2.2.4. </w:t>
      </w:r>
      <w:r w:rsidR="0082611C" w:rsidRPr="009054AD">
        <w:rPr>
          <w:color w:val="000000" w:themeColor="text1"/>
        </w:rPr>
        <w:t>Procedures</w:t>
      </w:r>
    </w:p>
    <w:p w14:paraId="48CF48C4" w14:textId="625CDEF3" w:rsidR="009974FF" w:rsidRDefault="0082611C" w:rsidP="009974FF">
      <w:pPr>
        <w:pStyle w:val="MDPI31text"/>
        <w:rPr>
          <w:color w:val="000000" w:themeColor="text1"/>
        </w:rPr>
      </w:pPr>
      <w:r w:rsidRPr="009054AD">
        <w:rPr>
          <w:color w:val="000000" w:themeColor="text1"/>
        </w:rPr>
        <w:t>The project was approved by the relevant departmental ethics committee. Data were collected via Amazon’s Mechanical Turk (</w:t>
      </w:r>
      <w:proofErr w:type="spellStart"/>
      <w:r w:rsidRPr="009054AD">
        <w:rPr>
          <w:color w:val="000000" w:themeColor="text1"/>
        </w:rPr>
        <w:t>MTurk</w:t>
      </w:r>
      <w:proofErr w:type="spellEnd"/>
      <w:r w:rsidRPr="009054AD">
        <w:rPr>
          <w:color w:val="000000" w:themeColor="text1"/>
        </w:rPr>
        <w:t xml:space="preserve">) website, a crowdsourcing Internet marketplace that allows individuals to complete academic surveys for monetary compensation. To be eligible, </w:t>
      </w:r>
      <w:proofErr w:type="spellStart"/>
      <w:r w:rsidRPr="009054AD">
        <w:rPr>
          <w:color w:val="000000" w:themeColor="text1"/>
        </w:rPr>
        <w:t>MTurk</w:t>
      </w:r>
      <w:proofErr w:type="spellEnd"/>
      <w:r w:rsidRPr="009054AD">
        <w:rPr>
          <w:color w:val="000000" w:themeColor="text1"/>
        </w:rPr>
        <w:t xml:space="preserve"> workers had to be United States citizens of adult age, fluent in English, have achieved at least a 98% approval rate, and completed at least 1,000 </w:t>
      </w:r>
      <w:r w:rsidR="005D7CD2">
        <w:rPr>
          <w:color w:val="000000" w:themeColor="text1"/>
        </w:rPr>
        <w:t>Human Intelligence Tasks (HITs)</w:t>
      </w:r>
      <w:r w:rsidRPr="009054AD">
        <w:rPr>
          <w:color w:val="000000" w:themeColor="text1"/>
        </w:rPr>
        <w:t xml:space="preserve">. The project was advertised as a study on “eating habits and personality” and included an estimated duration. After providing digital informed consent, participants were directed to the measures described above, which were presented in an anonymous form and in random order via the </w:t>
      </w:r>
      <w:proofErr w:type="spellStart"/>
      <w:r w:rsidRPr="009054AD">
        <w:rPr>
          <w:color w:val="000000" w:themeColor="text1"/>
        </w:rPr>
        <w:t>randomisation</w:t>
      </w:r>
      <w:proofErr w:type="spellEnd"/>
      <w:r w:rsidRPr="009054AD">
        <w:rPr>
          <w:color w:val="000000" w:themeColor="text1"/>
        </w:rPr>
        <w:t xml:space="preserve"> function with Qualtrics, which hosted the survey. </w:t>
      </w:r>
      <w:r w:rsidR="009974FF">
        <w:rPr>
          <w:color w:val="000000" w:themeColor="text1"/>
        </w:rPr>
        <w:t>The survey included an attention check item, which needed to be answered correctly for participants to be included in the analyses. To further increase confidence in the validity of our data, we also screened for</w:t>
      </w:r>
      <w:r w:rsidR="00FD5292">
        <w:rPr>
          <w:color w:val="000000" w:themeColor="text1"/>
        </w:rPr>
        <w:t xml:space="preserve"> random responding and for</w:t>
      </w:r>
      <w:r w:rsidR="009974FF">
        <w:rPr>
          <w:color w:val="000000" w:themeColor="text1"/>
        </w:rPr>
        <w:t xml:space="preserve"> batches of responses obtained at the same exact time and excluded responses from surveys completed in under 10 minutes. </w:t>
      </w:r>
      <w:r w:rsidRPr="009054AD">
        <w:rPr>
          <w:color w:val="000000" w:themeColor="text1"/>
        </w:rPr>
        <w:t>In exchange for completing the survey, participants were paid $1.50. All participants received written debriefing information at the end of the survey.</w:t>
      </w:r>
    </w:p>
    <w:p w14:paraId="6AD8AFED" w14:textId="0AB0E6BD" w:rsidR="00FD5292" w:rsidRDefault="00FD5292" w:rsidP="009974FF">
      <w:pPr>
        <w:pStyle w:val="MDPI31text"/>
        <w:rPr>
          <w:color w:val="000000" w:themeColor="text1"/>
        </w:rPr>
      </w:pPr>
    </w:p>
    <w:p w14:paraId="3F909CAE" w14:textId="30104E7D" w:rsidR="00FD5292" w:rsidRDefault="00FD5292" w:rsidP="00802FED">
      <w:pPr>
        <w:pStyle w:val="MDPI31text"/>
        <w:ind w:left="2552" w:firstLine="0"/>
        <w:rPr>
          <w:color w:val="000000" w:themeColor="text1"/>
        </w:rPr>
      </w:pPr>
      <w:r>
        <w:rPr>
          <w:color w:val="000000" w:themeColor="text1"/>
        </w:rPr>
        <w:t>2.2.5. Statistical Analyses</w:t>
      </w:r>
    </w:p>
    <w:p w14:paraId="3FBD2D82" w14:textId="2EE30566" w:rsidR="00FD5292" w:rsidRPr="009054AD" w:rsidRDefault="00FD5292" w:rsidP="006D5FFD">
      <w:pPr>
        <w:pStyle w:val="MDPI31text"/>
        <w:rPr>
          <w:color w:val="000000" w:themeColor="text1"/>
        </w:rPr>
      </w:pPr>
      <w:r>
        <w:rPr>
          <w:color w:val="000000" w:themeColor="text1"/>
        </w:rPr>
        <w:t xml:space="preserve">All analyses were conducted in SPSS Statistics version 28. </w:t>
      </w:r>
      <w:r w:rsidR="00551F28">
        <w:rPr>
          <w:color w:val="000000" w:themeColor="text1"/>
        </w:rPr>
        <w:t>There were no missing data in the final dataset and initial analyses indicated that all assumptions for multiple regression analyses were met. We first computed bivariate correlations between</w:t>
      </w:r>
      <w:r w:rsidR="00E958AB">
        <w:rPr>
          <w:color w:val="000000" w:themeColor="text1"/>
        </w:rPr>
        <w:t xml:space="preserve"> the EDI-3 subscale scores and the schizotypal facets. Due to the large number of comparisons, a Bonferroni correction was applied such that </w:t>
      </w:r>
      <w:r w:rsidR="00E958AB">
        <w:rPr>
          <w:i/>
          <w:iCs/>
          <w:color w:val="000000" w:themeColor="text1"/>
        </w:rPr>
        <w:t>p</w:t>
      </w:r>
      <w:r w:rsidR="00E958AB">
        <w:rPr>
          <w:color w:val="000000" w:themeColor="text1"/>
        </w:rPr>
        <w:t xml:space="preserve"> = .05/11 = 0.005.</w:t>
      </w:r>
      <w:r w:rsidR="00D64792">
        <w:rPr>
          <w:color w:val="000000" w:themeColor="text1"/>
        </w:rPr>
        <w:t xml:space="preserve"> </w:t>
      </w:r>
      <w:r w:rsidR="0095454B">
        <w:rPr>
          <w:color w:val="000000" w:themeColor="text1"/>
        </w:rPr>
        <w:t>The sample size (</w:t>
      </w:r>
      <w:r w:rsidR="0095454B">
        <w:rPr>
          <w:i/>
          <w:iCs/>
          <w:color w:val="000000" w:themeColor="text1"/>
        </w:rPr>
        <w:t>N</w:t>
      </w:r>
      <w:r w:rsidR="0095454B">
        <w:rPr>
          <w:color w:val="000000" w:themeColor="text1"/>
        </w:rPr>
        <w:t xml:space="preserve"> = 235) was sufficient to detect whether a correlational coefficient differs from zero when </w:t>
      </w:r>
      <w:r w:rsidR="0095454B">
        <w:rPr>
          <w:color w:val="000000" w:themeColor="text1"/>
        </w:rPr>
        <w:sym w:font="Symbol" w:char="F061"/>
      </w:r>
      <w:r w:rsidR="0095454B">
        <w:rPr>
          <w:color w:val="000000" w:themeColor="text1"/>
        </w:rPr>
        <w:t xml:space="preserve"> = .05, </w:t>
      </w:r>
      <w:r w:rsidR="0095454B">
        <w:rPr>
          <w:color w:val="000000" w:themeColor="text1"/>
        </w:rPr>
        <w:sym w:font="Symbol" w:char="F062"/>
      </w:r>
      <w:r w:rsidR="0095454B">
        <w:rPr>
          <w:color w:val="000000" w:themeColor="text1"/>
        </w:rPr>
        <w:t xml:space="preserve"> = .20, and expected </w:t>
      </w:r>
      <w:r w:rsidR="0095454B">
        <w:rPr>
          <w:i/>
          <w:iCs/>
          <w:color w:val="000000" w:themeColor="text1"/>
        </w:rPr>
        <w:t>r</w:t>
      </w:r>
      <w:r w:rsidR="0095454B">
        <w:rPr>
          <w:color w:val="000000" w:themeColor="text1"/>
        </w:rPr>
        <w:t xml:space="preserve"> = .20 (</w:t>
      </w:r>
      <w:proofErr w:type="spellStart"/>
      <w:r w:rsidR="006D5FFD">
        <w:rPr>
          <w:color w:val="000000" w:themeColor="text1"/>
        </w:rPr>
        <w:t>Hulley</w:t>
      </w:r>
      <w:proofErr w:type="spellEnd"/>
      <w:r w:rsidR="006D5FFD">
        <w:rPr>
          <w:color w:val="000000" w:themeColor="text1"/>
        </w:rPr>
        <w:t xml:space="preserve"> et al., 2013). </w:t>
      </w:r>
      <w:r w:rsidR="00D64792" w:rsidRPr="009054AD">
        <w:rPr>
          <w:color w:val="000000" w:themeColor="text1"/>
        </w:rPr>
        <w:t>Next, we conducted three multiple linear regression, with each of the EDI-3 factor scores entered as criterion variables, and all schizotypal variables entered as predictors. Multicollinearity was not a limiting factor (variance inflation factors ≤ 3.04).</w:t>
      </w:r>
      <w:r w:rsidR="00D64792">
        <w:rPr>
          <w:color w:val="000000" w:themeColor="text1"/>
        </w:rPr>
        <w:t xml:space="preserve"> </w:t>
      </w:r>
      <w:r w:rsidR="00D64792" w:rsidRPr="009054AD">
        <w:rPr>
          <w:color w:val="000000" w:themeColor="text1"/>
        </w:rPr>
        <w:t xml:space="preserve">We also conducted hierarchical multiple regressions with age, race, and BMI included in a first step and the SPQ facets included in a second step, but this did not alter the pattern of regression results </w:t>
      </w:r>
      <w:r w:rsidR="00D64792" w:rsidRPr="009054AD">
        <w:rPr>
          <w:i/>
          <w:color w:val="000000" w:themeColor="text1"/>
        </w:rPr>
        <w:t>vis-à-vis</w:t>
      </w:r>
      <w:r w:rsidR="00D64792" w:rsidRPr="009054AD">
        <w:rPr>
          <w:color w:val="000000" w:themeColor="text1"/>
        </w:rPr>
        <w:t xml:space="preserve"> schizotypal facets. For parsimony, we report the results of the multiple linear regression here.</w:t>
      </w:r>
    </w:p>
    <w:p w14:paraId="0965299D" w14:textId="488F63F6" w:rsidR="0082611C" w:rsidRPr="009054AD" w:rsidRDefault="00943629" w:rsidP="00943629">
      <w:pPr>
        <w:pStyle w:val="MDPI21heading1"/>
        <w:rPr>
          <w:color w:val="000000" w:themeColor="text1"/>
        </w:rPr>
      </w:pPr>
      <w:r w:rsidRPr="009054AD">
        <w:rPr>
          <w:color w:val="000000" w:themeColor="text1"/>
        </w:rPr>
        <w:t xml:space="preserve">3. </w:t>
      </w:r>
      <w:r w:rsidR="0082611C" w:rsidRPr="009054AD">
        <w:rPr>
          <w:color w:val="000000" w:themeColor="text1"/>
        </w:rPr>
        <w:t>Results</w:t>
      </w:r>
    </w:p>
    <w:p w14:paraId="08FA26C8" w14:textId="6D9A149D" w:rsidR="003D25E2" w:rsidRPr="009054AD" w:rsidRDefault="0082611C" w:rsidP="00943629">
      <w:pPr>
        <w:pStyle w:val="MDPI31text"/>
        <w:rPr>
          <w:color w:val="000000" w:themeColor="text1"/>
          <w:vertAlign w:val="superscript"/>
        </w:rPr>
      </w:pPr>
      <w:r w:rsidRPr="009054AD">
        <w:rPr>
          <w:color w:val="000000" w:themeColor="text1"/>
        </w:rPr>
        <w:t xml:space="preserve">Descriptive statistics and bivariate correlations between all variables are reported in Table 1. As can be seen, drive for thinness was significantly and positively associated with </w:t>
      </w:r>
      <w:r w:rsidRPr="009054AD">
        <w:rPr>
          <w:color w:val="000000" w:themeColor="text1"/>
        </w:rPr>
        <w:lastRenderedPageBreak/>
        <w:t xml:space="preserve">scores on all but one (odd beliefs and magical thinking) of the SPQ facets, with associations generally being weak-to-moderate in strength. Body dissatisfaction was only significantly and positively associated with excessive social anxiety and unusual perceptual experiences, although the strength of the relationships was weak. Finally, bulimic symptoms scores were significantly associated with scores on all </w:t>
      </w:r>
      <w:r w:rsidR="00875939">
        <w:rPr>
          <w:color w:val="000000" w:themeColor="text1"/>
        </w:rPr>
        <w:t xml:space="preserve">but one </w:t>
      </w:r>
      <w:r w:rsidRPr="009054AD">
        <w:rPr>
          <w:color w:val="000000" w:themeColor="text1"/>
        </w:rPr>
        <w:t>SPQ facet</w:t>
      </w:r>
      <w:r w:rsidR="00875939">
        <w:rPr>
          <w:color w:val="000000" w:themeColor="text1"/>
        </w:rPr>
        <w:t xml:space="preserve"> </w:t>
      </w:r>
      <w:r w:rsidR="00875939" w:rsidRPr="009054AD">
        <w:rPr>
          <w:color w:val="000000" w:themeColor="text1"/>
        </w:rPr>
        <w:t>(odd beliefs and magical thinking)</w:t>
      </w:r>
      <w:r w:rsidRPr="009054AD">
        <w:rPr>
          <w:color w:val="000000" w:themeColor="text1"/>
        </w:rPr>
        <w:t>, although the associations were weak</w:t>
      </w:r>
      <w:r w:rsidR="00875939">
        <w:rPr>
          <w:color w:val="000000" w:themeColor="text1"/>
        </w:rPr>
        <w:t>.</w:t>
      </w:r>
      <w:r w:rsidRPr="009054AD">
        <w:rPr>
          <w:color w:val="000000" w:themeColor="text1"/>
        </w:rPr>
        <w:t xml:space="preserve"> </w:t>
      </w:r>
    </w:p>
    <w:p w14:paraId="6F978F60" w14:textId="770DE55F" w:rsidR="00D801DD" w:rsidRPr="009054AD" w:rsidRDefault="003D25E2" w:rsidP="003D25E2">
      <w:pPr>
        <w:pStyle w:val="MDPI41tablecaption"/>
        <w:jc w:val="both"/>
        <w:rPr>
          <w:color w:val="000000" w:themeColor="text1"/>
        </w:rPr>
      </w:pPr>
      <w:r w:rsidRPr="009054AD">
        <w:rPr>
          <w:b/>
          <w:color w:val="000000" w:themeColor="text1"/>
          <w:vertAlign w:val="superscript"/>
        </w:rPr>
        <w:br w:type="page"/>
      </w:r>
      <w:r w:rsidR="00D801DD" w:rsidRPr="009054AD">
        <w:rPr>
          <w:b/>
          <w:color w:val="000000" w:themeColor="text1"/>
        </w:rPr>
        <w:lastRenderedPageBreak/>
        <w:t xml:space="preserve">Table 1. </w:t>
      </w:r>
      <w:r w:rsidR="00D801DD" w:rsidRPr="009054AD">
        <w:rPr>
          <w:color w:val="000000" w:themeColor="text1"/>
        </w:rPr>
        <w:t>Descriptive Statistics and Bivariate Correlations between All Variables Included in the Present Study.</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3"/>
        <w:gridCol w:w="716"/>
        <w:gridCol w:w="746"/>
        <w:gridCol w:w="760"/>
        <w:gridCol w:w="746"/>
        <w:gridCol w:w="746"/>
        <w:gridCol w:w="746"/>
        <w:gridCol w:w="747"/>
        <w:gridCol w:w="746"/>
        <w:gridCol w:w="746"/>
        <w:gridCol w:w="746"/>
        <w:gridCol w:w="747"/>
        <w:gridCol w:w="746"/>
      </w:tblGrid>
      <w:tr w:rsidR="009054AD" w:rsidRPr="009054AD" w14:paraId="009B2AAC" w14:textId="77777777" w:rsidTr="00D801DD">
        <w:tc>
          <w:tcPr>
            <w:tcW w:w="1598" w:type="dxa"/>
            <w:tcBorders>
              <w:top w:val="single" w:sz="4" w:space="0" w:color="auto"/>
              <w:bottom w:val="single" w:sz="4" w:space="0" w:color="auto"/>
            </w:tcBorders>
          </w:tcPr>
          <w:p w14:paraId="0B2E9344" w14:textId="77777777" w:rsidR="00D801DD" w:rsidRPr="009054AD" w:rsidRDefault="00D801DD" w:rsidP="00943629">
            <w:pPr>
              <w:adjustRightInd w:val="0"/>
              <w:snapToGrid w:val="0"/>
              <w:rPr>
                <w:color w:val="000000" w:themeColor="text1"/>
              </w:rPr>
            </w:pPr>
          </w:p>
        </w:tc>
        <w:tc>
          <w:tcPr>
            <w:tcW w:w="726" w:type="dxa"/>
            <w:tcBorders>
              <w:top w:val="single" w:sz="4" w:space="0" w:color="auto"/>
              <w:bottom w:val="single" w:sz="4" w:space="0" w:color="auto"/>
            </w:tcBorders>
          </w:tcPr>
          <w:p w14:paraId="14D44556" w14:textId="77777777" w:rsidR="00D801DD" w:rsidRPr="009054AD" w:rsidRDefault="00D801DD" w:rsidP="00943629">
            <w:pPr>
              <w:adjustRightInd w:val="0"/>
              <w:snapToGrid w:val="0"/>
              <w:rPr>
                <w:color w:val="000000" w:themeColor="text1"/>
              </w:rPr>
            </w:pPr>
            <w:r w:rsidRPr="009054AD">
              <w:rPr>
                <w:color w:val="000000" w:themeColor="text1"/>
              </w:rPr>
              <w:t>(1)</w:t>
            </w:r>
          </w:p>
        </w:tc>
        <w:tc>
          <w:tcPr>
            <w:tcW w:w="760" w:type="dxa"/>
            <w:tcBorders>
              <w:top w:val="single" w:sz="4" w:space="0" w:color="auto"/>
              <w:bottom w:val="single" w:sz="4" w:space="0" w:color="auto"/>
            </w:tcBorders>
          </w:tcPr>
          <w:p w14:paraId="2E74BF79" w14:textId="77777777" w:rsidR="00D801DD" w:rsidRPr="009054AD" w:rsidRDefault="00D801DD" w:rsidP="00943629">
            <w:pPr>
              <w:adjustRightInd w:val="0"/>
              <w:snapToGrid w:val="0"/>
              <w:rPr>
                <w:color w:val="000000" w:themeColor="text1"/>
              </w:rPr>
            </w:pPr>
            <w:r w:rsidRPr="009054AD">
              <w:rPr>
                <w:color w:val="000000" w:themeColor="text1"/>
              </w:rPr>
              <w:t>(2)</w:t>
            </w:r>
          </w:p>
        </w:tc>
        <w:tc>
          <w:tcPr>
            <w:tcW w:w="761" w:type="dxa"/>
            <w:tcBorders>
              <w:top w:val="single" w:sz="4" w:space="0" w:color="auto"/>
              <w:bottom w:val="single" w:sz="4" w:space="0" w:color="auto"/>
            </w:tcBorders>
          </w:tcPr>
          <w:p w14:paraId="4FE24685" w14:textId="77777777" w:rsidR="00D801DD" w:rsidRPr="009054AD" w:rsidRDefault="00D801DD" w:rsidP="00943629">
            <w:pPr>
              <w:adjustRightInd w:val="0"/>
              <w:snapToGrid w:val="0"/>
              <w:rPr>
                <w:color w:val="000000" w:themeColor="text1"/>
              </w:rPr>
            </w:pPr>
            <w:r w:rsidRPr="009054AD">
              <w:rPr>
                <w:color w:val="000000" w:themeColor="text1"/>
              </w:rPr>
              <w:t>(3)</w:t>
            </w:r>
          </w:p>
        </w:tc>
        <w:tc>
          <w:tcPr>
            <w:tcW w:w="760" w:type="dxa"/>
            <w:tcBorders>
              <w:top w:val="single" w:sz="4" w:space="0" w:color="auto"/>
              <w:bottom w:val="single" w:sz="4" w:space="0" w:color="auto"/>
            </w:tcBorders>
          </w:tcPr>
          <w:p w14:paraId="36B833AF" w14:textId="77777777" w:rsidR="00D801DD" w:rsidRPr="009054AD" w:rsidRDefault="00D801DD" w:rsidP="00943629">
            <w:pPr>
              <w:adjustRightInd w:val="0"/>
              <w:snapToGrid w:val="0"/>
              <w:rPr>
                <w:color w:val="000000" w:themeColor="text1"/>
              </w:rPr>
            </w:pPr>
            <w:r w:rsidRPr="009054AD">
              <w:rPr>
                <w:color w:val="000000" w:themeColor="text1"/>
              </w:rPr>
              <w:t>(4)</w:t>
            </w:r>
          </w:p>
        </w:tc>
        <w:tc>
          <w:tcPr>
            <w:tcW w:w="760" w:type="dxa"/>
            <w:tcBorders>
              <w:top w:val="single" w:sz="4" w:space="0" w:color="auto"/>
              <w:bottom w:val="single" w:sz="4" w:space="0" w:color="auto"/>
            </w:tcBorders>
          </w:tcPr>
          <w:p w14:paraId="53A39278" w14:textId="77777777" w:rsidR="00D801DD" w:rsidRPr="009054AD" w:rsidRDefault="00D801DD" w:rsidP="00943629">
            <w:pPr>
              <w:adjustRightInd w:val="0"/>
              <w:snapToGrid w:val="0"/>
              <w:rPr>
                <w:color w:val="000000" w:themeColor="text1"/>
              </w:rPr>
            </w:pPr>
            <w:r w:rsidRPr="009054AD">
              <w:rPr>
                <w:color w:val="000000" w:themeColor="text1"/>
              </w:rPr>
              <w:t>(5)</w:t>
            </w:r>
          </w:p>
        </w:tc>
        <w:tc>
          <w:tcPr>
            <w:tcW w:w="760" w:type="dxa"/>
            <w:tcBorders>
              <w:top w:val="single" w:sz="4" w:space="0" w:color="auto"/>
              <w:bottom w:val="single" w:sz="4" w:space="0" w:color="auto"/>
            </w:tcBorders>
          </w:tcPr>
          <w:p w14:paraId="4536F3E3" w14:textId="77777777" w:rsidR="00D801DD" w:rsidRPr="009054AD" w:rsidRDefault="00D801DD" w:rsidP="00943629">
            <w:pPr>
              <w:adjustRightInd w:val="0"/>
              <w:snapToGrid w:val="0"/>
              <w:rPr>
                <w:color w:val="000000" w:themeColor="text1"/>
              </w:rPr>
            </w:pPr>
            <w:r w:rsidRPr="009054AD">
              <w:rPr>
                <w:color w:val="000000" w:themeColor="text1"/>
              </w:rPr>
              <w:t>(6)</w:t>
            </w:r>
          </w:p>
        </w:tc>
        <w:tc>
          <w:tcPr>
            <w:tcW w:w="761" w:type="dxa"/>
            <w:tcBorders>
              <w:top w:val="single" w:sz="4" w:space="0" w:color="auto"/>
              <w:bottom w:val="single" w:sz="4" w:space="0" w:color="auto"/>
            </w:tcBorders>
          </w:tcPr>
          <w:p w14:paraId="683733B0" w14:textId="77777777" w:rsidR="00D801DD" w:rsidRPr="009054AD" w:rsidRDefault="00D801DD" w:rsidP="00943629">
            <w:pPr>
              <w:adjustRightInd w:val="0"/>
              <w:snapToGrid w:val="0"/>
              <w:rPr>
                <w:color w:val="000000" w:themeColor="text1"/>
              </w:rPr>
            </w:pPr>
            <w:r w:rsidRPr="009054AD">
              <w:rPr>
                <w:color w:val="000000" w:themeColor="text1"/>
              </w:rPr>
              <w:t>(7)</w:t>
            </w:r>
          </w:p>
        </w:tc>
        <w:tc>
          <w:tcPr>
            <w:tcW w:w="760" w:type="dxa"/>
            <w:tcBorders>
              <w:top w:val="single" w:sz="4" w:space="0" w:color="auto"/>
              <w:bottom w:val="single" w:sz="4" w:space="0" w:color="auto"/>
            </w:tcBorders>
          </w:tcPr>
          <w:p w14:paraId="28C6DA2E" w14:textId="77777777" w:rsidR="00D801DD" w:rsidRPr="009054AD" w:rsidRDefault="00D801DD" w:rsidP="00943629">
            <w:pPr>
              <w:adjustRightInd w:val="0"/>
              <w:snapToGrid w:val="0"/>
              <w:rPr>
                <w:color w:val="000000" w:themeColor="text1"/>
              </w:rPr>
            </w:pPr>
            <w:r w:rsidRPr="009054AD">
              <w:rPr>
                <w:color w:val="000000" w:themeColor="text1"/>
              </w:rPr>
              <w:t>(8)</w:t>
            </w:r>
          </w:p>
        </w:tc>
        <w:tc>
          <w:tcPr>
            <w:tcW w:w="760" w:type="dxa"/>
            <w:tcBorders>
              <w:top w:val="single" w:sz="4" w:space="0" w:color="auto"/>
              <w:bottom w:val="single" w:sz="4" w:space="0" w:color="auto"/>
            </w:tcBorders>
          </w:tcPr>
          <w:p w14:paraId="6FACD81F" w14:textId="77777777" w:rsidR="00D801DD" w:rsidRPr="009054AD" w:rsidRDefault="00D801DD" w:rsidP="00943629">
            <w:pPr>
              <w:adjustRightInd w:val="0"/>
              <w:snapToGrid w:val="0"/>
              <w:rPr>
                <w:color w:val="000000" w:themeColor="text1"/>
              </w:rPr>
            </w:pPr>
            <w:r w:rsidRPr="009054AD">
              <w:rPr>
                <w:color w:val="000000" w:themeColor="text1"/>
              </w:rPr>
              <w:t>(9)</w:t>
            </w:r>
          </w:p>
        </w:tc>
        <w:tc>
          <w:tcPr>
            <w:tcW w:w="760" w:type="dxa"/>
            <w:tcBorders>
              <w:top w:val="single" w:sz="4" w:space="0" w:color="auto"/>
              <w:bottom w:val="single" w:sz="4" w:space="0" w:color="auto"/>
            </w:tcBorders>
          </w:tcPr>
          <w:p w14:paraId="54EC0D0E" w14:textId="77777777" w:rsidR="00D801DD" w:rsidRPr="009054AD" w:rsidRDefault="00D801DD" w:rsidP="00943629">
            <w:pPr>
              <w:adjustRightInd w:val="0"/>
              <w:snapToGrid w:val="0"/>
              <w:rPr>
                <w:color w:val="000000" w:themeColor="text1"/>
              </w:rPr>
            </w:pPr>
            <w:r w:rsidRPr="009054AD">
              <w:rPr>
                <w:color w:val="000000" w:themeColor="text1"/>
              </w:rPr>
              <w:t>(10)</w:t>
            </w:r>
          </w:p>
        </w:tc>
        <w:tc>
          <w:tcPr>
            <w:tcW w:w="761" w:type="dxa"/>
            <w:tcBorders>
              <w:top w:val="single" w:sz="4" w:space="0" w:color="auto"/>
              <w:bottom w:val="single" w:sz="4" w:space="0" w:color="auto"/>
            </w:tcBorders>
          </w:tcPr>
          <w:p w14:paraId="7EBDAC39" w14:textId="77777777" w:rsidR="00D801DD" w:rsidRPr="009054AD" w:rsidRDefault="00D801DD" w:rsidP="00943629">
            <w:pPr>
              <w:adjustRightInd w:val="0"/>
              <w:snapToGrid w:val="0"/>
              <w:rPr>
                <w:color w:val="000000" w:themeColor="text1"/>
              </w:rPr>
            </w:pPr>
            <w:r w:rsidRPr="009054AD">
              <w:rPr>
                <w:color w:val="000000" w:themeColor="text1"/>
              </w:rPr>
              <w:t>(11)</w:t>
            </w:r>
          </w:p>
        </w:tc>
        <w:tc>
          <w:tcPr>
            <w:tcW w:w="760" w:type="dxa"/>
            <w:tcBorders>
              <w:top w:val="single" w:sz="4" w:space="0" w:color="auto"/>
              <w:bottom w:val="single" w:sz="4" w:space="0" w:color="auto"/>
            </w:tcBorders>
          </w:tcPr>
          <w:p w14:paraId="4D84F440" w14:textId="77777777" w:rsidR="00D801DD" w:rsidRPr="009054AD" w:rsidRDefault="00D801DD" w:rsidP="00943629">
            <w:pPr>
              <w:adjustRightInd w:val="0"/>
              <w:snapToGrid w:val="0"/>
              <w:rPr>
                <w:color w:val="000000" w:themeColor="text1"/>
              </w:rPr>
            </w:pPr>
            <w:r w:rsidRPr="009054AD">
              <w:rPr>
                <w:color w:val="000000" w:themeColor="text1"/>
              </w:rPr>
              <w:t>(12)</w:t>
            </w:r>
          </w:p>
        </w:tc>
      </w:tr>
      <w:tr w:rsidR="009054AD" w:rsidRPr="009054AD" w14:paraId="41E190CF" w14:textId="77777777" w:rsidTr="00D801DD">
        <w:tc>
          <w:tcPr>
            <w:tcW w:w="1598" w:type="dxa"/>
            <w:tcBorders>
              <w:top w:val="single" w:sz="4" w:space="0" w:color="auto"/>
            </w:tcBorders>
          </w:tcPr>
          <w:p w14:paraId="5BC0BFC8" w14:textId="77777777" w:rsidR="00D801DD" w:rsidRPr="009054AD" w:rsidRDefault="00D801DD" w:rsidP="00943629">
            <w:pPr>
              <w:adjustRightInd w:val="0"/>
              <w:snapToGrid w:val="0"/>
              <w:rPr>
                <w:color w:val="000000" w:themeColor="text1"/>
              </w:rPr>
            </w:pPr>
            <w:r w:rsidRPr="009054AD">
              <w:rPr>
                <w:color w:val="000000" w:themeColor="text1"/>
              </w:rPr>
              <w:t>(1) EDI-DT</w:t>
            </w:r>
          </w:p>
        </w:tc>
        <w:tc>
          <w:tcPr>
            <w:tcW w:w="726" w:type="dxa"/>
            <w:tcBorders>
              <w:top w:val="single" w:sz="4" w:space="0" w:color="auto"/>
            </w:tcBorders>
          </w:tcPr>
          <w:p w14:paraId="0C8A3773" w14:textId="77777777" w:rsidR="00D801DD" w:rsidRPr="009054AD" w:rsidRDefault="00D801DD" w:rsidP="00943629">
            <w:pPr>
              <w:adjustRightInd w:val="0"/>
              <w:snapToGrid w:val="0"/>
              <w:rPr>
                <w:color w:val="000000" w:themeColor="text1"/>
              </w:rPr>
            </w:pPr>
          </w:p>
        </w:tc>
        <w:tc>
          <w:tcPr>
            <w:tcW w:w="760" w:type="dxa"/>
            <w:tcBorders>
              <w:top w:val="single" w:sz="4" w:space="0" w:color="auto"/>
            </w:tcBorders>
          </w:tcPr>
          <w:p w14:paraId="2D7DE2E9" w14:textId="4B15B67B" w:rsidR="00D801DD" w:rsidRPr="009054AD" w:rsidRDefault="00D801DD" w:rsidP="00943629">
            <w:pPr>
              <w:adjustRightInd w:val="0"/>
              <w:snapToGrid w:val="0"/>
              <w:rPr>
                <w:color w:val="000000" w:themeColor="text1"/>
              </w:rPr>
            </w:pPr>
            <w:r w:rsidRPr="009054AD">
              <w:rPr>
                <w:color w:val="000000" w:themeColor="text1"/>
              </w:rPr>
              <w:t>.30*</w:t>
            </w:r>
          </w:p>
        </w:tc>
        <w:tc>
          <w:tcPr>
            <w:tcW w:w="761" w:type="dxa"/>
            <w:tcBorders>
              <w:top w:val="single" w:sz="4" w:space="0" w:color="auto"/>
            </w:tcBorders>
          </w:tcPr>
          <w:p w14:paraId="5176DDF5" w14:textId="1B0678CF" w:rsidR="00D801DD" w:rsidRPr="009054AD" w:rsidRDefault="00D801DD" w:rsidP="00943629">
            <w:pPr>
              <w:adjustRightInd w:val="0"/>
              <w:snapToGrid w:val="0"/>
              <w:rPr>
                <w:color w:val="000000" w:themeColor="text1"/>
              </w:rPr>
            </w:pPr>
            <w:r w:rsidRPr="009054AD">
              <w:rPr>
                <w:color w:val="000000" w:themeColor="text1"/>
              </w:rPr>
              <w:t>.62*</w:t>
            </w:r>
          </w:p>
        </w:tc>
        <w:tc>
          <w:tcPr>
            <w:tcW w:w="760" w:type="dxa"/>
            <w:tcBorders>
              <w:top w:val="single" w:sz="4" w:space="0" w:color="auto"/>
            </w:tcBorders>
          </w:tcPr>
          <w:p w14:paraId="582DED9F" w14:textId="625554CB" w:rsidR="00D801DD" w:rsidRPr="009054AD" w:rsidRDefault="00D801DD" w:rsidP="00943629">
            <w:pPr>
              <w:adjustRightInd w:val="0"/>
              <w:snapToGrid w:val="0"/>
              <w:rPr>
                <w:color w:val="000000" w:themeColor="text1"/>
              </w:rPr>
            </w:pPr>
            <w:r w:rsidRPr="009054AD">
              <w:rPr>
                <w:color w:val="000000" w:themeColor="text1"/>
              </w:rPr>
              <w:t>.24*</w:t>
            </w:r>
          </w:p>
        </w:tc>
        <w:tc>
          <w:tcPr>
            <w:tcW w:w="760" w:type="dxa"/>
            <w:tcBorders>
              <w:top w:val="single" w:sz="4" w:space="0" w:color="auto"/>
            </w:tcBorders>
          </w:tcPr>
          <w:p w14:paraId="7501E2FF" w14:textId="7EA2E767" w:rsidR="00D801DD" w:rsidRPr="009054AD" w:rsidRDefault="00D801DD" w:rsidP="00943629">
            <w:pPr>
              <w:adjustRightInd w:val="0"/>
              <w:snapToGrid w:val="0"/>
              <w:rPr>
                <w:color w:val="000000" w:themeColor="text1"/>
              </w:rPr>
            </w:pPr>
            <w:r w:rsidRPr="009054AD">
              <w:rPr>
                <w:color w:val="000000" w:themeColor="text1"/>
              </w:rPr>
              <w:t>.37*</w:t>
            </w:r>
          </w:p>
        </w:tc>
        <w:tc>
          <w:tcPr>
            <w:tcW w:w="760" w:type="dxa"/>
            <w:tcBorders>
              <w:top w:val="single" w:sz="4" w:space="0" w:color="auto"/>
            </w:tcBorders>
          </w:tcPr>
          <w:p w14:paraId="646E429A" w14:textId="77777777" w:rsidR="00D801DD" w:rsidRPr="009054AD" w:rsidRDefault="00D801DD" w:rsidP="00943629">
            <w:pPr>
              <w:adjustRightInd w:val="0"/>
              <w:snapToGrid w:val="0"/>
              <w:rPr>
                <w:color w:val="000000" w:themeColor="text1"/>
              </w:rPr>
            </w:pPr>
            <w:r w:rsidRPr="009054AD">
              <w:rPr>
                <w:color w:val="000000" w:themeColor="text1"/>
              </w:rPr>
              <w:t>.07</w:t>
            </w:r>
          </w:p>
        </w:tc>
        <w:tc>
          <w:tcPr>
            <w:tcW w:w="761" w:type="dxa"/>
            <w:tcBorders>
              <w:top w:val="single" w:sz="4" w:space="0" w:color="auto"/>
            </w:tcBorders>
          </w:tcPr>
          <w:p w14:paraId="74FDF26C" w14:textId="77777777" w:rsidR="00D801DD" w:rsidRPr="009054AD" w:rsidRDefault="00D801DD" w:rsidP="00943629">
            <w:pPr>
              <w:adjustRightInd w:val="0"/>
              <w:snapToGrid w:val="0"/>
              <w:rPr>
                <w:color w:val="000000" w:themeColor="text1"/>
              </w:rPr>
            </w:pPr>
            <w:r w:rsidRPr="009054AD">
              <w:rPr>
                <w:color w:val="000000" w:themeColor="text1"/>
              </w:rPr>
              <w:t>.21*</w:t>
            </w:r>
          </w:p>
        </w:tc>
        <w:tc>
          <w:tcPr>
            <w:tcW w:w="760" w:type="dxa"/>
            <w:tcBorders>
              <w:top w:val="single" w:sz="4" w:space="0" w:color="auto"/>
            </w:tcBorders>
          </w:tcPr>
          <w:p w14:paraId="4D4A0954" w14:textId="4A945DB1" w:rsidR="00D801DD" w:rsidRPr="009054AD" w:rsidRDefault="00D801DD" w:rsidP="00943629">
            <w:pPr>
              <w:adjustRightInd w:val="0"/>
              <w:snapToGrid w:val="0"/>
              <w:rPr>
                <w:color w:val="000000" w:themeColor="text1"/>
              </w:rPr>
            </w:pPr>
            <w:r w:rsidRPr="009054AD">
              <w:rPr>
                <w:color w:val="000000" w:themeColor="text1"/>
              </w:rPr>
              <w:t>.26*</w:t>
            </w:r>
          </w:p>
        </w:tc>
        <w:tc>
          <w:tcPr>
            <w:tcW w:w="760" w:type="dxa"/>
            <w:tcBorders>
              <w:top w:val="single" w:sz="4" w:space="0" w:color="auto"/>
            </w:tcBorders>
          </w:tcPr>
          <w:p w14:paraId="2C54AB2A" w14:textId="77777777" w:rsidR="00D801DD" w:rsidRPr="009054AD" w:rsidRDefault="00D801DD" w:rsidP="00943629">
            <w:pPr>
              <w:adjustRightInd w:val="0"/>
              <w:snapToGrid w:val="0"/>
              <w:rPr>
                <w:color w:val="000000" w:themeColor="text1"/>
              </w:rPr>
            </w:pPr>
            <w:r w:rsidRPr="009054AD">
              <w:rPr>
                <w:color w:val="000000" w:themeColor="text1"/>
              </w:rPr>
              <w:t>.19*</w:t>
            </w:r>
          </w:p>
        </w:tc>
        <w:tc>
          <w:tcPr>
            <w:tcW w:w="760" w:type="dxa"/>
            <w:tcBorders>
              <w:top w:val="single" w:sz="4" w:space="0" w:color="auto"/>
            </w:tcBorders>
          </w:tcPr>
          <w:p w14:paraId="47374752" w14:textId="77777777" w:rsidR="00D801DD" w:rsidRPr="009054AD" w:rsidRDefault="00D801DD" w:rsidP="00943629">
            <w:pPr>
              <w:adjustRightInd w:val="0"/>
              <w:snapToGrid w:val="0"/>
              <w:rPr>
                <w:color w:val="000000" w:themeColor="text1"/>
              </w:rPr>
            </w:pPr>
            <w:r w:rsidRPr="009054AD">
              <w:rPr>
                <w:color w:val="000000" w:themeColor="text1"/>
              </w:rPr>
              <w:t>.20*</w:t>
            </w:r>
          </w:p>
        </w:tc>
        <w:tc>
          <w:tcPr>
            <w:tcW w:w="761" w:type="dxa"/>
            <w:tcBorders>
              <w:top w:val="single" w:sz="4" w:space="0" w:color="auto"/>
            </w:tcBorders>
          </w:tcPr>
          <w:p w14:paraId="2EB7DF32" w14:textId="77777777" w:rsidR="00D801DD" w:rsidRPr="009054AD" w:rsidRDefault="00D801DD" w:rsidP="00943629">
            <w:pPr>
              <w:adjustRightInd w:val="0"/>
              <w:snapToGrid w:val="0"/>
              <w:rPr>
                <w:color w:val="000000" w:themeColor="text1"/>
              </w:rPr>
            </w:pPr>
            <w:r w:rsidRPr="009054AD">
              <w:rPr>
                <w:color w:val="000000" w:themeColor="text1"/>
              </w:rPr>
              <w:t>.20*</w:t>
            </w:r>
          </w:p>
        </w:tc>
        <w:tc>
          <w:tcPr>
            <w:tcW w:w="760" w:type="dxa"/>
            <w:tcBorders>
              <w:top w:val="single" w:sz="4" w:space="0" w:color="auto"/>
            </w:tcBorders>
          </w:tcPr>
          <w:p w14:paraId="5EFA42CD" w14:textId="38DB3222" w:rsidR="00D801DD" w:rsidRPr="009054AD" w:rsidRDefault="00D801DD" w:rsidP="00943629">
            <w:pPr>
              <w:adjustRightInd w:val="0"/>
              <w:snapToGrid w:val="0"/>
              <w:rPr>
                <w:color w:val="000000" w:themeColor="text1"/>
              </w:rPr>
            </w:pPr>
            <w:r w:rsidRPr="009054AD">
              <w:rPr>
                <w:color w:val="000000" w:themeColor="text1"/>
              </w:rPr>
              <w:t>.24*</w:t>
            </w:r>
          </w:p>
        </w:tc>
      </w:tr>
      <w:tr w:rsidR="009054AD" w:rsidRPr="009054AD" w14:paraId="71D3519E" w14:textId="77777777" w:rsidTr="00D801DD">
        <w:tc>
          <w:tcPr>
            <w:tcW w:w="1598" w:type="dxa"/>
          </w:tcPr>
          <w:p w14:paraId="057D22FB" w14:textId="77777777" w:rsidR="00D801DD" w:rsidRPr="009054AD" w:rsidRDefault="00D801DD" w:rsidP="00943629">
            <w:pPr>
              <w:adjustRightInd w:val="0"/>
              <w:snapToGrid w:val="0"/>
              <w:rPr>
                <w:color w:val="000000" w:themeColor="text1"/>
              </w:rPr>
            </w:pPr>
            <w:r w:rsidRPr="009054AD">
              <w:rPr>
                <w:color w:val="000000" w:themeColor="text1"/>
              </w:rPr>
              <w:t>(2) EDI-BD</w:t>
            </w:r>
          </w:p>
        </w:tc>
        <w:tc>
          <w:tcPr>
            <w:tcW w:w="726" w:type="dxa"/>
          </w:tcPr>
          <w:p w14:paraId="2CB39921" w14:textId="77777777" w:rsidR="00D801DD" w:rsidRPr="009054AD" w:rsidRDefault="00D801DD" w:rsidP="00943629">
            <w:pPr>
              <w:adjustRightInd w:val="0"/>
              <w:snapToGrid w:val="0"/>
              <w:rPr>
                <w:color w:val="000000" w:themeColor="text1"/>
              </w:rPr>
            </w:pPr>
          </w:p>
        </w:tc>
        <w:tc>
          <w:tcPr>
            <w:tcW w:w="760" w:type="dxa"/>
          </w:tcPr>
          <w:p w14:paraId="01064555" w14:textId="77777777" w:rsidR="00D801DD" w:rsidRPr="009054AD" w:rsidRDefault="00D801DD" w:rsidP="00943629">
            <w:pPr>
              <w:adjustRightInd w:val="0"/>
              <w:snapToGrid w:val="0"/>
              <w:rPr>
                <w:color w:val="000000" w:themeColor="text1"/>
              </w:rPr>
            </w:pPr>
          </w:p>
        </w:tc>
        <w:tc>
          <w:tcPr>
            <w:tcW w:w="761" w:type="dxa"/>
          </w:tcPr>
          <w:p w14:paraId="689E8626" w14:textId="77777777" w:rsidR="00D801DD" w:rsidRPr="009054AD" w:rsidRDefault="00D801DD" w:rsidP="00943629">
            <w:pPr>
              <w:adjustRightInd w:val="0"/>
              <w:snapToGrid w:val="0"/>
              <w:rPr>
                <w:color w:val="000000" w:themeColor="text1"/>
              </w:rPr>
            </w:pPr>
            <w:r w:rsidRPr="009054AD">
              <w:rPr>
                <w:color w:val="000000" w:themeColor="text1"/>
              </w:rPr>
              <w:t>.25**</w:t>
            </w:r>
          </w:p>
        </w:tc>
        <w:tc>
          <w:tcPr>
            <w:tcW w:w="760" w:type="dxa"/>
          </w:tcPr>
          <w:p w14:paraId="248D4975" w14:textId="77777777" w:rsidR="00D801DD" w:rsidRPr="009054AD" w:rsidRDefault="00D801DD" w:rsidP="00943629">
            <w:pPr>
              <w:adjustRightInd w:val="0"/>
              <w:snapToGrid w:val="0"/>
              <w:rPr>
                <w:color w:val="000000" w:themeColor="text1"/>
              </w:rPr>
            </w:pPr>
            <w:r w:rsidRPr="009054AD">
              <w:rPr>
                <w:color w:val="000000" w:themeColor="text1"/>
              </w:rPr>
              <w:t>.20*</w:t>
            </w:r>
          </w:p>
        </w:tc>
        <w:tc>
          <w:tcPr>
            <w:tcW w:w="760" w:type="dxa"/>
          </w:tcPr>
          <w:p w14:paraId="5B47D0CA" w14:textId="77777777" w:rsidR="00D801DD" w:rsidRPr="009054AD" w:rsidRDefault="00D801DD" w:rsidP="00943629">
            <w:pPr>
              <w:adjustRightInd w:val="0"/>
              <w:snapToGrid w:val="0"/>
              <w:rPr>
                <w:color w:val="000000" w:themeColor="text1"/>
              </w:rPr>
            </w:pPr>
            <w:r w:rsidRPr="009054AD">
              <w:rPr>
                <w:color w:val="000000" w:themeColor="text1"/>
              </w:rPr>
              <w:t>.19*</w:t>
            </w:r>
          </w:p>
        </w:tc>
        <w:tc>
          <w:tcPr>
            <w:tcW w:w="760" w:type="dxa"/>
          </w:tcPr>
          <w:p w14:paraId="6D21B391" w14:textId="77777777" w:rsidR="00D801DD" w:rsidRPr="009054AD" w:rsidRDefault="00D801DD" w:rsidP="00943629">
            <w:pPr>
              <w:adjustRightInd w:val="0"/>
              <w:snapToGrid w:val="0"/>
              <w:rPr>
                <w:color w:val="000000" w:themeColor="text1"/>
              </w:rPr>
            </w:pPr>
            <w:r w:rsidRPr="009054AD">
              <w:rPr>
                <w:color w:val="000000" w:themeColor="text1"/>
              </w:rPr>
              <w:t>.10</w:t>
            </w:r>
          </w:p>
        </w:tc>
        <w:tc>
          <w:tcPr>
            <w:tcW w:w="761" w:type="dxa"/>
          </w:tcPr>
          <w:p w14:paraId="40F2A7E1" w14:textId="4C1F0C3B" w:rsidR="00D801DD" w:rsidRPr="009054AD" w:rsidRDefault="00D801DD" w:rsidP="00943629">
            <w:pPr>
              <w:adjustRightInd w:val="0"/>
              <w:snapToGrid w:val="0"/>
              <w:rPr>
                <w:color w:val="000000" w:themeColor="text1"/>
              </w:rPr>
            </w:pPr>
            <w:r w:rsidRPr="009054AD">
              <w:rPr>
                <w:color w:val="000000" w:themeColor="text1"/>
              </w:rPr>
              <w:t>.18</w:t>
            </w:r>
          </w:p>
        </w:tc>
        <w:tc>
          <w:tcPr>
            <w:tcW w:w="760" w:type="dxa"/>
          </w:tcPr>
          <w:p w14:paraId="381F3349" w14:textId="77777777" w:rsidR="00D801DD" w:rsidRPr="009054AD" w:rsidRDefault="00D801DD" w:rsidP="00943629">
            <w:pPr>
              <w:adjustRightInd w:val="0"/>
              <w:snapToGrid w:val="0"/>
              <w:rPr>
                <w:color w:val="000000" w:themeColor="text1"/>
              </w:rPr>
            </w:pPr>
            <w:r w:rsidRPr="009054AD">
              <w:rPr>
                <w:color w:val="000000" w:themeColor="text1"/>
              </w:rPr>
              <w:t>.08</w:t>
            </w:r>
          </w:p>
        </w:tc>
        <w:tc>
          <w:tcPr>
            <w:tcW w:w="760" w:type="dxa"/>
          </w:tcPr>
          <w:p w14:paraId="1FFF5B7A" w14:textId="77777777" w:rsidR="00D801DD" w:rsidRPr="009054AD" w:rsidRDefault="00D801DD" w:rsidP="00943629">
            <w:pPr>
              <w:adjustRightInd w:val="0"/>
              <w:snapToGrid w:val="0"/>
              <w:rPr>
                <w:color w:val="000000" w:themeColor="text1"/>
              </w:rPr>
            </w:pPr>
            <w:r w:rsidRPr="009054AD">
              <w:rPr>
                <w:color w:val="000000" w:themeColor="text1"/>
              </w:rPr>
              <w:t>.05</w:t>
            </w:r>
          </w:p>
        </w:tc>
        <w:tc>
          <w:tcPr>
            <w:tcW w:w="760" w:type="dxa"/>
          </w:tcPr>
          <w:p w14:paraId="226516A3" w14:textId="77777777" w:rsidR="00D801DD" w:rsidRPr="009054AD" w:rsidRDefault="00D801DD" w:rsidP="00943629">
            <w:pPr>
              <w:adjustRightInd w:val="0"/>
              <w:snapToGrid w:val="0"/>
              <w:rPr>
                <w:color w:val="000000" w:themeColor="text1"/>
              </w:rPr>
            </w:pPr>
            <w:r w:rsidRPr="009054AD">
              <w:rPr>
                <w:color w:val="000000" w:themeColor="text1"/>
              </w:rPr>
              <w:t>.08</w:t>
            </w:r>
          </w:p>
        </w:tc>
        <w:tc>
          <w:tcPr>
            <w:tcW w:w="761" w:type="dxa"/>
          </w:tcPr>
          <w:p w14:paraId="1B22315A" w14:textId="77777777" w:rsidR="00D801DD" w:rsidRPr="009054AD" w:rsidRDefault="00D801DD" w:rsidP="00943629">
            <w:pPr>
              <w:adjustRightInd w:val="0"/>
              <w:snapToGrid w:val="0"/>
              <w:rPr>
                <w:color w:val="000000" w:themeColor="text1"/>
              </w:rPr>
            </w:pPr>
            <w:r w:rsidRPr="009054AD">
              <w:rPr>
                <w:color w:val="000000" w:themeColor="text1"/>
              </w:rPr>
              <w:t>.12</w:t>
            </w:r>
          </w:p>
        </w:tc>
        <w:tc>
          <w:tcPr>
            <w:tcW w:w="760" w:type="dxa"/>
          </w:tcPr>
          <w:p w14:paraId="09CBFDC6" w14:textId="77777777" w:rsidR="00D801DD" w:rsidRPr="009054AD" w:rsidRDefault="00D801DD" w:rsidP="00943629">
            <w:pPr>
              <w:adjustRightInd w:val="0"/>
              <w:snapToGrid w:val="0"/>
              <w:rPr>
                <w:color w:val="000000" w:themeColor="text1"/>
              </w:rPr>
            </w:pPr>
            <w:r w:rsidRPr="009054AD">
              <w:rPr>
                <w:color w:val="000000" w:themeColor="text1"/>
              </w:rPr>
              <w:t>.09</w:t>
            </w:r>
          </w:p>
        </w:tc>
      </w:tr>
      <w:tr w:rsidR="009054AD" w:rsidRPr="009054AD" w14:paraId="26C8FAF6" w14:textId="77777777" w:rsidTr="00D801DD">
        <w:tc>
          <w:tcPr>
            <w:tcW w:w="1598" w:type="dxa"/>
          </w:tcPr>
          <w:p w14:paraId="52EF1F8C" w14:textId="77777777" w:rsidR="00D801DD" w:rsidRPr="009054AD" w:rsidRDefault="00D801DD" w:rsidP="00943629">
            <w:pPr>
              <w:adjustRightInd w:val="0"/>
              <w:snapToGrid w:val="0"/>
              <w:rPr>
                <w:color w:val="000000" w:themeColor="text1"/>
              </w:rPr>
            </w:pPr>
            <w:r w:rsidRPr="009054AD">
              <w:rPr>
                <w:color w:val="000000" w:themeColor="text1"/>
              </w:rPr>
              <w:t>(3) EDI-BS</w:t>
            </w:r>
          </w:p>
        </w:tc>
        <w:tc>
          <w:tcPr>
            <w:tcW w:w="726" w:type="dxa"/>
          </w:tcPr>
          <w:p w14:paraId="3A9A0F28" w14:textId="77777777" w:rsidR="00D801DD" w:rsidRPr="009054AD" w:rsidRDefault="00D801DD" w:rsidP="00943629">
            <w:pPr>
              <w:adjustRightInd w:val="0"/>
              <w:snapToGrid w:val="0"/>
              <w:rPr>
                <w:color w:val="000000" w:themeColor="text1"/>
              </w:rPr>
            </w:pPr>
          </w:p>
        </w:tc>
        <w:tc>
          <w:tcPr>
            <w:tcW w:w="760" w:type="dxa"/>
          </w:tcPr>
          <w:p w14:paraId="43444E71" w14:textId="77777777" w:rsidR="00D801DD" w:rsidRPr="009054AD" w:rsidRDefault="00D801DD" w:rsidP="00943629">
            <w:pPr>
              <w:adjustRightInd w:val="0"/>
              <w:snapToGrid w:val="0"/>
              <w:rPr>
                <w:color w:val="000000" w:themeColor="text1"/>
              </w:rPr>
            </w:pPr>
          </w:p>
        </w:tc>
        <w:tc>
          <w:tcPr>
            <w:tcW w:w="761" w:type="dxa"/>
          </w:tcPr>
          <w:p w14:paraId="2E8227E2" w14:textId="77777777" w:rsidR="00D801DD" w:rsidRPr="009054AD" w:rsidRDefault="00D801DD" w:rsidP="00943629">
            <w:pPr>
              <w:adjustRightInd w:val="0"/>
              <w:snapToGrid w:val="0"/>
              <w:rPr>
                <w:color w:val="000000" w:themeColor="text1"/>
              </w:rPr>
            </w:pPr>
          </w:p>
        </w:tc>
        <w:tc>
          <w:tcPr>
            <w:tcW w:w="760" w:type="dxa"/>
          </w:tcPr>
          <w:p w14:paraId="5240D2FB" w14:textId="5E251104" w:rsidR="00D801DD" w:rsidRPr="009054AD" w:rsidRDefault="00D801DD" w:rsidP="00943629">
            <w:pPr>
              <w:adjustRightInd w:val="0"/>
              <w:snapToGrid w:val="0"/>
              <w:rPr>
                <w:color w:val="000000" w:themeColor="text1"/>
              </w:rPr>
            </w:pPr>
            <w:r w:rsidRPr="009054AD">
              <w:rPr>
                <w:color w:val="000000" w:themeColor="text1"/>
              </w:rPr>
              <w:t>.28*</w:t>
            </w:r>
          </w:p>
        </w:tc>
        <w:tc>
          <w:tcPr>
            <w:tcW w:w="760" w:type="dxa"/>
          </w:tcPr>
          <w:p w14:paraId="1BEAC4C6" w14:textId="4F0AC1A2" w:rsidR="00D801DD" w:rsidRPr="009054AD" w:rsidRDefault="00D801DD" w:rsidP="00943629">
            <w:pPr>
              <w:adjustRightInd w:val="0"/>
              <w:snapToGrid w:val="0"/>
              <w:rPr>
                <w:color w:val="000000" w:themeColor="text1"/>
              </w:rPr>
            </w:pPr>
            <w:r w:rsidRPr="009054AD">
              <w:rPr>
                <w:color w:val="000000" w:themeColor="text1"/>
              </w:rPr>
              <w:t>.33*</w:t>
            </w:r>
          </w:p>
        </w:tc>
        <w:tc>
          <w:tcPr>
            <w:tcW w:w="760" w:type="dxa"/>
          </w:tcPr>
          <w:p w14:paraId="188B8E63" w14:textId="6AB3555E" w:rsidR="00D801DD" w:rsidRPr="009054AD" w:rsidRDefault="00D801DD" w:rsidP="00943629">
            <w:pPr>
              <w:adjustRightInd w:val="0"/>
              <w:snapToGrid w:val="0"/>
              <w:rPr>
                <w:color w:val="000000" w:themeColor="text1"/>
              </w:rPr>
            </w:pPr>
            <w:r w:rsidRPr="009054AD">
              <w:rPr>
                <w:color w:val="000000" w:themeColor="text1"/>
              </w:rPr>
              <w:t>.17</w:t>
            </w:r>
          </w:p>
        </w:tc>
        <w:tc>
          <w:tcPr>
            <w:tcW w:w="761" w:type="dxa"/>
          </w:tcPr>
          <w:p w14:paraId="3CE2371E" w14:textId="7CDED81A" w:rsidR="00D801DD" w:rsidRPr="009054AD" w:rsidRDefault="00D801DD" w:rsidP="00943629">
            <w:pPr>
              <w:adjustRightInd w:val="0"/>
              <w:snapToGrid w:val="0"/>
              <w:rPr>
                <w:color w:val="000000" w:themeColor="text1"/>
              </w:rPr>
            </w:pPr>
            <w:r w:rsidRPr="009054AD">
              <w:rPr>
                <w:color w:val="000000" w:themeColor="text1"/>
              </w:rPr>
              <w:t>.29*</w:t>
            </w:r>
          </w:p>
        </w:tc>
        <w:tc>
          <w:tcPr>
            <w:tcW w:w="760" w:type="dxa"/>
          </w:tcPr>
          <w:p w14:paraId="4D695ADB" w14:textId="0C155F4D" w:rsidR="00D801DD" w:rsidRPr="009054AD" w:rsidRDefault="00D801DD" w:rsidP="00943629">
            <w:pPr>
              <w:adjustRightInd w:val="0"/>
              <w:snapToGrid w:val="0"/>
              <w:rPr>
                <w:color w:val="000000" w:themeColor="text1"/>
              </w:rPr>
            </w:pPr>
            <w:r w:rsidRPr="009054AD">
              <w:rPr>
                <w:color w:val="000000" w:themeColor="text1"/>
              </w:rPr>
              <w:t>.28*</w:t>
            </w:r>
          </w:p>
        </w:tc>
        <w:tc>
          <w:tcPr>
            <w:tcW w:w="760" w:type="dxa"/>
          </w:tcPr>
          <w:p w14:paraId="5DCF5F0B" w14:textId="77777777" w:rsidR="00D801DD" w:rsidRPr="009054AD" w:rsidRDefault="00D801DD" w:rsidP="00943629">
            <w:pPr>
              <w:adjustRightInd w:val="0"/>
              <w:snapToGrid w:val="0"/>
              <w:rPr>
                <w:color w:val="000000" w:themeColor="text1"/>
              </w:rPr>
            </w:pPr>
            <w:r w:rsidRPr="009054AD">
              <w:rPr>
                <w:color w:val="000000" w:themeColor="text1"/>
              </w:rPr>
              <w:t>.21*</w:t>
            </w:r>
          </w:p>
        </w:tc>
        <w:tc>
          <w:tcPr>
            <w:tcW w:w="760" w:type="dxa"/>
          </w:tcPr>
          <w:p w14:paraId="777E20E1" w14:textId="2AF5B835" w:rsidR="00D801DD" w:rsidRPr="009054AD" w:rsidRDefault="00D801DD" w:rsidP="00943629">
            <w:pPr>
              <w:adjustRightInd w:val="0"/>
              <w:snapToGrid w:val="0"/>
              <w:rPr>
                <w:color w:val="000000" w:themeColor="text1"/>
              </w:rPr>
            </w:pPr>
            <w:r w:rsidRPr="009054AD">
              <w:rPr>
                <w:color w:val="000000" w:themeColor="text1"/>
              </w:rPr>
              <w:t>.25*</w:t>
            </w:r>
          </w:p>
        </w:tc>
        <w:tc>
          <w:tcPr>
            <w:tcW w:w="761" w:type="dxa"/>
          </w:tcPr>
          <w:p w14:paraId="3CC0498E" w14:textId="2FA89BAD" w:rsidR="00D801DD" w:rsidRPr="009054AD" w:rsidRDefault="00D801DD" w:rsidP="00943629">
            <w:pPr>
              <w:adjustRightInd w:val="0"/>
              <w:snapToGrid w:val="0"/>
              <w:rPr>
                <w:color w:val="000000" w:themeColor="text1"/>
              </w:rPr>
            </w:pPr>
            <w:r w:rsidRPr="009054AD">
              <w:rPr>
                <w:color w:val="000000" w:themeColor="text1"/>
              </w:rPr>
              <w:t>.24*</w:t>
            </w:r>
          </w:p>
        </w:tc>
        <w:tc>
          <w:tcPr>
            <w:tcW w:w="760" w:type="dxa"/>
          </w:tcPr>
          <w:p w14:paraId="37D2A321" w14:textId="72690E31" w:rsidR="00D801DD" w:rsidRPr="009054AD" w:rsidRDefault="00D801DD" w:rsidP="00943629">
            <w:pPr>
              <w:adjustRightInd w:val="0"/>
              <w:snapToGrid w:val="0"/>
              <w:rPr>
                <w:color w:val="000000" w:themeColor="text1"/>
              </w:rPr>
            </w:pPr>
            <w:r w:rsidRPr="009054AD">
              <w:rPr>
                <w:color w:val="000000" w:themeColor="text1"/>
              </w:rPr>
              <w:t>.24*</w:t>
            </w:r>
          </w:p>
        </w:tc>
      </w:tr>
      <w:tr w:rsidR="009054AD" w:rsidRPr="009054AD" w14:paraId="77D80A7E" w14:textId="77777777" w:rsidTr="00D801DD">
        <w:tc>
          <w:tcPr>
            <w:tcW w:w="1598" w:type="dxa"/>
          </w:tcPr>
          <w:p w14:paraId="07507E45" w14:textId="77777777" w:rsidR="00D801DD" w:rsidRPr="009054AD" w:rsidRDefault="00D801DD" w:rsidP="00943629">
            <w:pPr>
              <w:adjustRightInd w:val="0"/>
              <w:snapToGrid w:val="0"/>
              <w:rPr>
                <w:color w:val="000000" w:themeColor="text1"/>
              </w:rPr>
            </w:pPr>
            <w:r w:rsidRPr="009054AD">
              <w:rPr>
                <w:color w:val="000000" w:themeColor="text1"/>
              </w:rPr>
              <w:t>(4) SPQ-</w:t>
            </w:r>
            <w:proofErr w:type="spellStart"/>
            <w:r w:rsidRPr="009054AD">
              <w:rPr>
                <w:color w:val="000000" w:themeColor="text1"/>
              </w:rPr>
              <w:t>IoR</w:t>
            </w:r>
            <w:proofErr w:type="spellEnd"/>
          </w:p>
        </w:tc>
        <w:tc>
          <w:tcPr>
            <w:tcW w:w="726" w:type="dxa"/>
          </w:tcPr>
          <w:p w14:paraId="3608DACF" w14:textId="77777777" w:rsidR="00D801DD" w:rsidRPr="009054AD" w:rsidRDefault="00D801DD" w:rsidP="00943629">
            <w:pPr>
              <w:adjustRightInd w:val="0"/>
              <w:snapToGrid w:val="0"/>
              <w:rPr>
                <w:color w:val="000000" w:themeColor="text1"/>
              </w:rPr>
            </w:pPr>
          </w:p>
        </w:tc>
        <w:tc>
          <w:tcPr>
            <w:tcW w:w="760" w:type="dxa"/>
          </w:tcPr>
          <w:p w14:paraId="0CBF0474" w14:textId="77777777" w:rsidR="00D801DD" w:rsidRPr="009054AD" w:rsidRDefault="00D801DD" w:rsidP="00943629">
            <w:pPr>
              <w:adjustRightInd w:val="0"/>
              <w:snapToGrid w:val="0"/>
              <w:rPr>
                <w:color w:val="000000" w:themeColor="text1"/>
              </w:rPr>
            </w:pPr>
          </w:p>
        </w:tc>
        <w:tc>
          <w:tcPr>
            <w:tcW w:w="761" w:type="dxa"/>
          </w:tcPr>
          <w:p w14:paraId="171A9409" w14:textId="77777777" w:rsidR="00D801DD" w:rsidRPr="009054AD" w:rsidRDefault="00D801DD" w:rsidP="00943629">
            <w:pPr>
              <w:adjustRightInd w:val="0"/>
              <w:snapToGrid w:val="0"/>
              <w:rPr>
                <w:color w:val="000000" w:themeColor="text1"/>
              </w:rPr>
            </w:pPr>
          </w:p>
        </w:tc>
        <w:tc>
          <w:tcPr>
            <w:tcW w:w="760" w:type="dxa"/>
          </w:tcPr>
          <w:p w14:paraId="71ADD217" w14:textId="77777777" w:rsidR="00D801DD" w:rsidRPr="009054AD" w:rsidRDefault="00D801DD" w:rsidP="00943629">
            <w:pPr>
              <w:adjustRightInd w:val="0"/>
              <w:snapToGrid w:val="0"/>
              <w:rPr>
                <w:color w:val="000000" w:themeColor="text1"/>
              </w:rPr>
            </w:pPr>
          </w:p>
        </w:tc>
        <w:tc>
          <w:tcPr>
            <w:tcW w:w="760" w:type="dxa"/>
          </w:tcPr>
          <w:p w14:paraId="3461BEBB" w14:textId="43525F8B" w:rsidR="00D801DD" w:rsidRPr="009054AD" w:rsidRDefault="00D801DD" w:rsidP="00943629">
            <w:pPr>
              <w:adjustRightInd w:val="0"/>
              <w:snapToGrid w:val="0"/>
              <w:rPr>
                <w:color w:val="000000" w:themeColor="text1"/>
              </w:rPr>
            </w:pPr>
            <w:r w:rsidRPr="009054AD">
              <w:rPr>
                <w:color w:val="000000" w:themeColor="text1"/>
              </w:rPr>
              <w:t>.30*</w:t>
            </w:r>
          </w:p>
        </w:tc>
        <w:tc>
          <w:tcPr>
            <w:tcW w:w="760" w:type="dxa"/>
          </w:tcPr>
          <w:p w14:paraId="24DEE7DF" w14:textId="4A282725" w:rsidR="00D801DD" w:rsidRPr="009054AD" w:rsidRDefault="00D801DD" w:rsidP="00943629">
            <w:pPr>
              <w:adjustRightInd w:val="0"/>
              <w:snapToGrid w:val="0"/>
              <w:rPr>
                <w:color w:val="000000" w:themeColor="text1"/>
              </w:rPr>
            </w:pPr>
            <w:r w:rsidRPr="009054AD">
              <w:rPr>
                <w:color w:val="000000" w:themeColor="text1"/>
              </w:rPr>
              <w:t>.47*</w:t>
            </w:r>
          </w:p>
        </w:tc>
        <w:tc>
          <w:tcPr>
            <w:tcW w:w="761" w:type="dxa"/>
          </w:tcPr>
          <w:p w14:paraId="16722AFC" w14:textId="01729382" w:rsidR="00D801DD" w:rsidRPr="009054AD" w:rsidRDefault="00D801DD" w:rsidP="00943629">
            <w:pPr>
              <w:adjustRightInd w:val="0"/>
              <w:snapToGrid w:val="0"/>
              <w:rPr>
                <w:color w:val="000000" w:themeColor="text1"/>
              </w:rPr>
            </w:pPr>
            <w:r w:rsidRPr="009054AD">
              <w:rPr>
                <w:color w:val="000000" w:themeColor="text1"/>
              </w:rPr>
              <w:t>.61*</w:t>
            </w:r>
          </w:p>
        </w:tc>
        <w:tc>
          <w:tcPr>
            <w:tcW w:w="760" w:type="dxa"/>
          </w:tcPr>
          <w:p w14:paraId="34E7B846" w14:textId="23918645" w:rsidR="00D801DD" w:rsidRPr="009054AD" w:rsidRDefault="00D801DD" w:rsidP="00943629">
            <w:pPr>
              <w:adjustRightInd w:val="0"/>
              <w:snapToGrid w:val="0"/>
              <w:rPr>
                <w:color w:val="000000" w:themeColor="text1"/>
              </w:rPr>
            </w:pPr>
            <w:r w:rsidRPr="009054AD">
              <w:rPr>
                <w:color w:val="000000" w:themeColor="text1"/>
              </w:rPr>
              <w:t>.44*</w:t>
            </w:r>
          </w:p>
        </w:tc>
        <w:tc>
          <w:tcPr>
            <w:tcW w:w="760" w:type="dxa"/>
          </w:tcPr>
          <w:p w14:paraId="38952E25" w14:textId="20D8C6B5" w:rsidR="00D801DD" w:rsidRPr="009054AD" w:rsidRDefault="00D801DD" w:rsidP="00943629">
            <w:pPr>
              <w:adjustRightInd w:val="0"/>
              <w:snapToGrid w:val="0"/>
              <w:rPr>
                <w:color w:val="000000" w:themeColor="text1"/>
              </w:rPr>
            </w:pPr>
            <w:r w:rsidRPr="009054AD">
              <w:rPr>
                <w:color w:val="000000" w:themeColor="text1"/>
              </w:rPr>
              <w:t>.29*</w:t>
            </w:r>
          </w:p>
        </w:tc>
        <w:tc>
          <w:tcPr>
            <w:tcW w:w="760" w:type="dxa"/>
          </w:tcPr>
          <w:p w14:paraId="4E181DAD" w14:textId="374BD13A" w:rsidR="00D801DD" w:rsidRPr="009054AD" w:rsidRDefault="00D801DD" w:rsidP="00943629">
            <w:pPr>
              <w:adjustRightInd w:val="0"/>
              <w:snapToGrid w:val="0"/>
              <w:rPr>
                <w:color w:val="000000" w:themeColor="text1"/>
              </w:rPr>
            </w:pPr>
            <w:r w:rsidRPr="009054AD">
              <w:rPr>
                <w:color w:val="000000" w:themeColor="text1"/>
              </w:rPr>
              <w:t>.44*</w:t>
            </w:r>
          </w:p>
        </w:tc>
        <w:tc>
          <w:tcPr>
            <w:tcW w:w="761" w:type="dxa"/>
          </w:tcPr>
          <w:p w14:paraId="0E3766B1" w14:textId="72A67A7E" w:rsidR="00D801DD" w:rsidRPr="009054AD" w:rsidRDefault="00D801DD" w:rsidP="00943629">
            <w:pPr>
              <w:adjustRightInd w:val="0"/>
              <w:snapToGrid w:val="0"/>
              <w:rPr>
                <w:color w:val="000000" w:themeColor="text1"/>
              </w:rPr>
            </w:pPr>
            <w:r w:rsidRPr="009054AD">
              <w:rPr>
                <w:color w:val="000000" w:themeColor="text1"/>
              </w:rPr>
              <w:t>.32*</w:t>
            </w:r>
          </w:p>
        </w:tc>
        <w:tc>
          <w:tcPr>
            <w:tcW w:w="760" w:type="dxa"/>
          </w:tcPr>
          <w:p w14:paraId="7E6B5CE7" w14:textId="77B622D0" w:rsidR="00D801DD" w:rsidRPr="009054AD" w:rsidRDefault="00D801DD" w:rsidP="00943629">
            <w:pPr>
              <w:adjustRightInd w:val="0"/>
              <w:snapToGrid w:val="0"/>
              <w:rPr>
                <w:color w:val="000000" w:themeColor="text1"/>
              </w:rPr>
            </w:pPr>
            <w:r w:rsidRPr="009054AD">
              <w:rPr>
                <w:color w:val="000000" w:themeColor="text1"/>
              </w:rPr>
              <w:t>.69*</w:t>
            </w:r>
          </w:p>
        </w:tc>
      </w:tr>
      <w:tr w:rsidR="009054AD" w:rsidRPr="009054AD" w14:paraId="7097268D" w14:textId="77777777" w:rsidTr="00D801DD">
        <w:tc>
          <w:tcPr>
            <w:tcW w:w="1598" w:type="dxa"/>
          </w:tcPr>
          <w:p w14:paraId="3617784A" w14:textId="77777777" w:rsidR="00D801DD" w:rsidRPr="009054AD" w:rsidRDefault="00D801DD" w:rsidP="00943629">
            <w:pPr>
              <w:adjustRightInd w:val="0"/>
              <w:snapToGrid w:val="0"/>
              <w:rPr>
                <w:color w:val="000000" w:themeColor="text1"/>
              </w:rPr>
            </w:pPr>
            <w:r w:rsidRPr="009054AD">
              <w:rPr>
                <w:color w:val="000000" w:themeColor="text1"/>
              </w:rPr>
              <w:t>(5) SPQ-ESA</w:t>
            </w:r>
          </w:p>
        </w:tc>
        <w:tc>
          <w:tcPr>
            <w:tcW w:w="726" w:type="dxa"/>
          </w:tcPr>
          <w:p w14:paraId="3D6E73BE" w14:textId="77777777" w:rsidR="00D801DD" w:rsidRPr="009054AD" w:rsidRDefault="00D801DD" w:rsidP="00943629">
            <w:pPr>
              <w:adjustRightInd w:val="0"/>
              <w:snapToGrid w:val="0"/>
              <w:rPr>
                <w:color w:val="000000" w:themeColor="text1"/>
              </w:rPr>
            </w:pPr>
          </w:p>
        </w:tc>
        <w:tc>
          <w:tcPr>
            <w:tcW w:w="760" w:type="dxa"/>
          </w:tcPr>
          <w:p w14:paraId="515B1717" w14:textId="77777777" w:rsidR="00D801DD" w:rsidRPr="009054AD" w:rsidRDefault="00D801DD" w:rsidP="00943629">
            <w:pPr>
              <w:adjustRightInd w:val="0"/>
              <w:snapToGrid w:val="0"/>
              <w:rPr>
                <w:color w:val="000000" w:themeColor="text1"/>
              </w:rPr>
            </w:pPr>
          </w:p>
        </w:tc>
        <w:tc>
          <w:tcPr>
            <w:tcW w:w="761" w:type="dxa"/>
          </w:tcPr>
          <w:p w14:paraId="2E91A9BE" w14:textId="77777777" w:rsidR="00D801DD" w:rsidRPr="009054AD" w:rsidRDefault="00D801DD" w:rsidP="00943629">
            <w:pPr>
              <w:adjustRightInd w:val="0"/>
              <w:snapToGrid w:val="0"/>
              <w:rPr>
                <w:color w:val="000000" w:themeColor="text1"/>
              </w:rPr>
            </w:pPr>
          </w:p>
        </w:tc>
        <w:tc>
          <w:tcPr>
            <w:tcW w:w="760" w:type="dxa"/>
          </w:tcPr>
          <w:p w14:paraId="2529B671" w14:textId="77777777" w:rsidR="00D801DD" w:rsidRPr="009054AD" w:rsidRDefault="00D801DD" w:rsidP="00943629">
            <w:pPr>
              <w:adjustRightInd w:val="0"/>
              <w:snapToGrid w:val="0"/>
              <w:rPr>
                <w:color w:val="000000" w:themeColor="text1"/>
              </w:rPr>
            </w:pPr>
          </w:p>
        </w:tc>
        <w:tc>
          <w:tcPr>
            <w:tcW w:w="760" w:type="dxa"/>
          </w:tcPr>
          <w:p w14:paraId="4C48CD6A" w14:textId="77777777" w:rsidR="00D801DD" w:rsidRPr="009054AD" w:rsidRDefault="00D801DD" w:rsidP="00943629">
            <w:pPr>
              <w:adjustRightInd w:val="0"/>
              <w:snapToGrid w:val="0"/>
              <w:rPr>
                <w:color w:val="000000" w:themeColor="text1"/>
              </w:rPr>
            </w:pPr>
          </w:p>
        </w:tc>
        <w:tc>
          <w:tcPr>
            <w:tcW w:w="760" w:type="dxa"/>
          </w:tcPr>
          <w:p w14:paraId="1FFD3679" w14:textId="77777777" w:rsidR="00D801DD" w:rsidRPr="009054AD" w:rsidRDefault="00D801DD" w:rsidP="00943629">
            <w:pPr>
              <w:adjustRightInd w:val="0"/>
              <w:snapToGrid w:val="0"/>
              <w:rPr>
                <w:color w:val="000000" w:themeColor="text1"/>
              </w:rPr>
            </w:pPr>
            <w:r w:rsidRPr="009054AD">
              <w:rPr>
                <w:color w:val="000000" w:themeColor="text1"/>
              </w:rPr>
              <w:t>.04</w:t>
            </w:r>
          </w:p>
        </w:tc>
        <w:tc>
          <w:tcPr>
            <w:tcW w:w="761" w:type="dxa"/>
          </w:tcPr>
          <w:p w14:paraId="501F8710" w14:textId="21628D43" w:rsidR="00D801DD" w:rsidRPr="009054AD" w:rsidRDefault="00D801DD" w:rsidP="00943629">
            <w:pPr>
              <w:adjustRightInd w:val="0"/>
              <w:snapToGrid w:val="0"/>
              <w:rPr>
                <w:color w:val="000000" w:themeColor="text1"/>
              </w:rPr>
            </w:pPr>
            <w:r w:rsidRPr="009054AD">
              <w:rPr>
                <w:color w:val="000000" w:themeColor="text1"/>
              </w:rPr>
              <w:t>.31*</w:t>
            </w:r>
          </w:p>
        </w:tc>
        <w:tc>
          <w:tcPr>
            <w:tcW w:w="760" w:type="dxa"/>
          </w:tcPr>
          <w:p w14:paraId="648D591C" w14:textId="5CD1F504" w:rsidR="00D801DD" w:rsidRPr="009054AD" w:rsidRDefault="00D801DD" w:rsidP="00943629">
            <w:pPr>
              <w:adjustRightInd w:val="0"/>
              <w:snapToGrid w:val="0"/>
              <w:rPr>
                <w:color w:val="000000" w:themeColor="text1"/>
              </w:rPr>
            </w:pPr>
            <w:r w:rsidRPr="009054AD">
              <w:rPr>
                <w:color w:val="000000" w:themeColor="text1"/>
              </w:rPr>
              <w:t>.40*</w:t>
            </w:r>
          </w:p>
        </w:tc>
        <w:tc>
          <w:tcPr>
            <w:tcW w:w="760" w:type="dxa"/>
          </w:tcPr>
          <w:p w14:paraId="1DA08162" w14:textId="7DB184B3" w:rsidR="00D801DD" w:rsidRPr="009054AD" w:rsidRDefault="00D801DD" w:rsidP="00943629">
            <w:pPr>
              <w:adjustRightInd w:val="0"/>
              <w:snapToGrid w:val="0"/>
              <w:rPr>
                <w:color w:val="000000" w:themeColor="text1"/>
              </w:rPr>
            </w:pPr>
            <w:r w:rsidRPr="009054AD">
              <w:rPr>
                <w:color w:val="000000" w:themeColor="text1"/>
              </w:rPr>
              <w:t>.63*</w:t>
            </w:r>
          </w:p>
        </w:tc>
        <w:tc>
          <w:tcPr>
            <w:tcW w:w="760" w:type="dxa"/>
          </w:tcPr>
          <w:p w14:paraId="319049E5" w14:textId="1E3CB699" w:rsidR="00D801DD" w:rsidRPr="009054AD" w:rsidRDefault="00D801DD" w:rsidP="00943629">
            <w:pPr>
              <w:adjustRightInd w:val="0"/>
              <w:snapToGrid w:val="0"/>
              <w:rPr>
                <w:color w:val="000000" w:themeColor="text1"/>
              </w:rPr>
            </w:pPr>
            <w:r w:rsidRPr="009054AD">
              <w:rPr>
                <w:color w:val="000000" w:themeColor="text1"/>
              </w:rPr>
              <w:t>.43*</w:t>
            </w:r>
          </w:p>
        </w:tc>
        <w:tc>
          <w:tcPr>
            <w:tcW w:w="761" w:type="dxa"/>
          </w:tcPr>
          <w:p w14:paraId="076FA000" w14:textId="1A35D0E5" w:rsidR="00D801DD" w:rsidRPr="009054AD" w:rsidRDefault="00D801DD" w:rsidP="00943629">
            <w:pPr>
              <w:adjustRightInd w:val="0"/>
              <w:snapToGrid w:val="0"/>
              <w:rPr>
                <w:color w:val="000000" w:themeColor="text1"/>
              </w:rPr>
            </w:pPr>
            <w:r w:rsidRPr="009054AD">
              <w:rPr>
                <w:color w:val="000000" w:themeColor="text1"/>
              </w:rPr>
              <w:t>.53*</w:t>
            </w:r>
          </w:p>
        </w:tc>
        <w:tc>
          <w:tcPr>
            <w:tcW w:w="760" w:type="dxa"/>
          </w:tcPr>
          <w:p w14:paraId="6059D041" w14:textId="1D9B9558" w:rsidR="00D801DD" w:rsidRPr="009054AD" w:rsidRDefault="00D801DD" w:rsidP="00943629">
            <w:pPr>
              <w:adjustRightInd w:val="0"/>
              <w:snapToGrid w:val="0"/>
              <w:rPr>
                <w:color w:val="000000" w:themeColor="text1"/>
              </w:rPr>
            </w:pPr>
            <w:r w:rsidRPr="009054AD">
              <w:rPr>
                <w:color w:val="000000" w:themeColor="text1"/>
              </w:rPr>
              <w:t>.44*</w:t>
            </w:r>
          </w:p>
        </w:tc>
      </w:tr>
      <w:tr w:rsidR="009054AD" w:rsidRPr="009054AD" w14:paraId="4D2ED7D1" w14:textId="77777777" w:rsidTr="00D801DD">
        <w:tc>
          <w:tcPr>
            <w:tcW w:w="1598" w:type="dxa"/>
          </w:tcPr>
          <w:p w14:paraId="71AEE05D" w14:textId="77777777" w:rsidR="00D801DD" w:rsidRPr="009054AD" w:rsidRDefault="00D801DD" w:rsidP="00943629">
            <w:pPr>
              <w:adjustRightInd w:val="0"/>
              <w:snapToGrid w:val="0"/>
              <w:rPr>
                <w:color w:val="000000" w:themeColor="text1"/>
              </w:rPr>
            </w:pPr>
            <w:r w:rsidRPr="009054AD">
              <w:rPr>
                <w:color w:val="000000" w:themeColor="text1"/>
              </w:rPr>
              <w:t>(6) SPQ-</w:t>
            </w:r>
            <w:proofErr w:type="spellStart"/>
            <w:r w:rsidRPr="009054AD">
              <w:rPr>
                <w:color w:val="000000" w:themeColor="text1"/>
              </w:rPr>
              <w:t>OBoMT</w:t>
            </w:r>
            <w:proofErr w:type="spellEnd"/>
          </w:p>
        </w:tc>
        <w:tc>
          <w:tcPr>
            <w:tcW w:w="726" w:type="dxa"/>
          </w:tcPr>
          <w:p w14:paraId="5CE2346A" w14:textId="77777777" w:rsidR="00D801DD" w:rsidRPr="009054AD" w:rsidRDefault="00D801DD" w:rsidP="00943629">
            <w:pPr>
              <w:adjustRightInd w:val="0"/>
              <w:snapToGrid w:val="0"/>
              <w:rPr>
                <w:color w:val="000000" w:themeColor="text1"/>
              </w:rPr>
            </w:pPr>
          </w:p>
        </w:tc>
        <w:tc>
          <w:tcPr>
            <w:tcW w:w="760" w:type="dxa"/>
          </w:tcPr>
          <w:p w14:paraId="6D019E3F" w14:textId="77777777" w:rsidR="00D801DD" w:rsidRPr="009054AD" w:rsidRDefault="00D801DD" w:rsidP="00943629">
            <w:pPr>
              <w:adjustRightInd w:val="0"/>
              <w:snapToGrid w:val="0"/>
              <w:rPr>
                <w:color w:val="000000" w:themeColor="text1"/>
              </w:rPr>
            </w:pPr>
          </w:p>
        </w:tc>
        <w:tc>
          <w:tcPr>
            <w:tcW w:w="761" w:type="dxa"/>
          </w:tcPr>
          <w:p w14:paraId="7220CB9F" w14:textId="77777777" w:rsidR="00D801DD" w:rsidRPr="009054AD" w:rsidRDefault="00D801DD" w:rsidP="00943629">
            <w:pPr>
              <w:adjustRightInd w:val="0"/>
              <w:snapToGrid w:val="0"/>
              <w:rPr>
                <w:color w:val="000000" w:themeColor="text1"/>
              </w:rPr>
            </w:pPr>
          </w:p>
        </w:tc>
        <w:tc>
          <w:tcPr>
            <w:tcW w:w="760" w:type="dxa"/>
          </w:tcPr>
          <w:p w14:paraId="6F3092F6" w14:textId="77777777" w:rsidR="00D801DD" w:rsidRPr="009054AD" w:rsidRDefault="00D801DD" w:rsidP="00943629">
            <w:pPr>
              <w:adjustRightInd w:val="0"/>
              <w:snapToGrid w:val="0"/>
              <w:rPr>
                <w:color w:val="000000" w:themeColor="text1"/>
              </w:rPr>
            </w:pPr>
          </w:p>
        </w:tc>
        <w:tc>
          <w:tcPr>
            <w:tcW w:w="760" w:type="dxa"/>
          </w:tcPr>
          <w:p w14:paraId="3582DF7A" w14:textId="77777777" w:rsidR="00D801DD" w:rsidRPr="009054AD" w:rsidRDefault="00D801DD" w:rsidP="00943629">
            <w:pPr>
              <w:adjustRightInd w:val="0"/>
              <w:snapToGrid w:val="0"/>
              <w:rPr>
                <w:color w:val="000000" w:themeColor="text1"/>
              </w:rPr>
            </w:pPr>
          </w:p>
        </w:tc>
        <w:tc>
          <w:tcPr>
            <w:tcW w:w="760" w:type="dxa"/>
          </w:tcPr>
          <w:p w14:paraId="78C42BC0" w14:textId="77777777" w:rsidR="00D801DD" w:rsidRPr="009054AD" w:rsidRDefault="00D801DD" w:rsidP="00943629">
            <w:pPr>
              <w:adjustRightInd w:val="0"/>
              <w:snapToGrid w:val="0"/>
              <w:rPr>
                <w:color w:val="000000" w:themeColor="text1"/>
              </w:rPr>
            </w:pPr>
          </w:p>
        </w:tc>
        <w:tc>
          <w:tcPr>
            <w:tcW w:w="761" w:type="dxa"/>
          </w:tcPr>
          <w:p w14:paraId="18CF5C30" w14:textId="74BD14A0" w:rsidR="00D801DD" w:rsidRPr="009054AD" w:rsidRDefault="00D801DD" w:rsidP="00943629">
            <w:pPr>
              <w:adjustRightInd w:val="0"/>
              <w:snapToGrid w:val="0"/>
              <w:rPr>
                <w:color w:val="000000" w:themeColor="text1"/>
              </w:rPr>
            </w:pPr>
            <w:r w:rsidRPr="009054AD">
              <w:rPr>
                <w:color w:val="000000" w:themeColor="text1"/>
              </w:rPr>
              <w:t>.59*</w:t>
            </w:r>
          </w:p>
        </w:tc>
        <w:tc>
          <w:tcPr>
            <w:tcW w:w="760" w:type="dxa"/>
          </w:tcPr>
          <w:p w14:paraId="66106597" w14:textId="14CD3F28" w:rsidR="00D801DD" w:rsidRPr="009054AD" w:rsidRDefault="00D801DD" w:rsidP="00943629">
            <w:pPr>
              <w:adjustRightInd w:val="0"/>
              <w:snapToGrid w:val="0"/>
              <w:rPr>
                <w:color w:val="000000" w:themeColor="text1"/>
              </w:rPr>
            </w:pPr>
            <w:r w:rsidRPr="009054AD">
              <w:rPr>
                <w:color w:val="000000" w:themeColor="text1"/>
              </w:rPr>
              <w:t>.39*</w:t>
            </w:r>
          </w:p>
        </w:tc>
        <w:tc>
          <w:tcPr>
            <w:tcW w:w="760" w:type="dxa"/>
          </w:tcPr>
          <w:p w14:paraId="1E164EFD" w14:textId="20FC8CEB" w:rsidR="00D801DD" w:rsidRPr="009054AD" w:rsidRDefault="00D801DD" w:rsidP="00943629">
            <w:pPr>
              <w:adjustRightInd w:val="0"/>
              <w:snapToGrid w:val="0"/>
              <w:rPr>
                <w:color w:val="000000" w:themeColor="text1"/>
              </w:rPr>
            </w:pPr>
            <w:r w:rsidRPr="009054AD">
              <w:rPr>
                <w:color w:val="000000" w:themeColor="text1"/>
              </w:rPr>
              <w:t>.18</w:t>
            </w:r>
          </w:p>
        </w:tc>
        <w:tc>
          <w:tcPr>
            <w:tcW w:w="760" w:type="dxa"/>
          </w:tcPr>
          <w:p w14:paraId="58E1006C" w14:textId="13B6CD5E" w:rsidR="00D801DD" w:rsidRPr="009054AD" w:rsidRDefault="00D801DD" w:rsidP="00943629">
            <w:pPr>
              <w:adjustRightInd w:val="0"/>
              <w:snapToGrid w:val="0"/>
              <w:rPr>
                <w:color w:val="000000" w:themeColor="text1"/>
              </w:rPr>
            </w:pPr>
            <w:r w:rsidRPr="009054AD">
              <w:rPr>
                <w:color w:val="000000" w:themeColor="text1"/>
              </w:rPr>
              <w:t>.28*</w:t>
            </w:r>
          </w:p>
        </w:tc>
        <w:tc>
          <w:tcPr>
            <w:tcW w:w="761" w:type="dxa"/>
          </w:tcPr>
          <w:p w14:paraId="4ADA1822" w14:textId="66F15940" w:rsidR="00D801DD" w:rsidRPr="009054AD" w:rsidRDefault="00D801DD" w:rsidP="00943629">
            <w:pPr>
              <w:adjustRightInd w:val="0"/>
              <w:snapToGrid w:val="0"/>
              <w:rPr>
                <w:color w:val="000000" w:themeColor="text1"/>
              </w:rPr>
            </w:pPr>
            <w:r w:rsidRPr="009054AD">
              <w:rPr>
                <w:color w:val="000000" w:themeColor="text1"/>
              </w:rPr>
              <w:t>.17</w:t>
            </w:r>
          </w:p>
        </w:tc>
        <w:tc>
          <w:tcPr>
            <w:tcW w:w="760" w:type="dxa"/>
          </w:tcPr>
          <w:p w14:paraId="2BDCB595" w14:textId="53F9DEBD" w:rsidR="00D801DD" w:rsidRPr="009054AD" w:rsidRDefault="00D801DD" w:rsidP="00943629">
            <w:pPr>
              <w:adjustRightInd w:val="0"/>
              <w:snapToGrid w:val="0"/>
              <w:rPr>
                <w:color w:val="000000" w:themeColor="text1"/>
              </w:rPr>
            </w:pPr>
            <w:r w:rsidRPr="009054AD">
              <w:rPr>
                <w:color w:val="000000" w:themeColor="text1"/>
              </w:rPr>
              <w:t>.42*</w:t>
            </w:r>
          </w:p>
        </w:tc>
      </w:tr>
      <w:tr w:rsidR="009054AD" w:rsidRPr="009054AD" w14:paraId="1569581A" w14:textId="77777777" w:rsidTr="00D801DD">
        <w:tc>
          <w:tcPr>
            <w:tcW w:w="1598" w:type="dxa"/>
          </w:tcPr>
          <w:p w14:paraId="191A39BB" w14:textId="77777777" w:rsidR="00D801DD" w:rsidRPr="009054AD" w:rsidRDefault="00D801DD" w:rsidP="00943629">
            <w:pPr>
              <w:adjustRightInd w:val="0"/>
              <w:snapToGrid w:val="0"/>
              <w:rPr>
                <w:color w:val="000000" w:themeColor="text1"/>
              </w:rPr>
            </w:pPr>
            <w:r w:rsidRPr="009054AD">
              <w:rPr>
                <w:color w:val="000000" w:themeColor="text1"/>
              </w:rPr>
              <w:t>(7) SPQ-UPE</w:t>
            </w:r>
          </w:p>
        </w:tc>
        <w:tc>
          <w:tcPr>
            <w:tcW w:w="726" w:type="dxa"/>
          </w:tcPr>
          <w:p w14:paraId="1E257561" w14:textId="77777777" w:rsidR="00D801DD" w:rsidRPr="009054AD" w:rsidRDefault="00D801DD" w:rsidP="00943629">
            <w:pPr>
              <w:adjustRightInd w:val="0"/>
              <w:snapToGrid w:val="0"/>
              <w:rPr>
                <w:color w:val="000000" w:themeColor="text1"/>
              </w:rPr>
            </w:pPr>
          </w:p>
        </w:tc>
        <w:tc>
          <w:tcPr>
            <w:tcW w:w="760" w:type="dxa"/>
          </w:tcPr>
          <w:p w14:paraId="1E14D7CB" w14:textId="77777777" w:rsidR="00D801DD" w:rsidRPr="009054AD" w:rsidRDefault="00D801DD" w:rsidP="00943629">
            <w:pPr>
              <w:adjustRightInd w:val="0"/>
              <w:snapToGrid w:val="0"/>
              <w:rPr>
                <w:color w:val="000000" w:themeColor="text1"/>
              </w:rPr>
            </w:pPr>
          </w:p>
        </w:tc>
        <w:tc>
          <w:tcPr>
            <w:tcW w:w="761" w:type="dxa"/>
          </w:tcPr>
          <w:p w14:paraId="20A73A26" w14:textId="77777777" w:rsidR="00D801DD" w:rsidRPr="009054AD" w:rsidRDefault="00D801DD" w:rsidP="00943629">
            <w:pPr>
              <w:adjustRightInd w:val="0"/>
              <w:snapToGrid w:val="0"/>
              <w:rPr>
                <w:color w:val="000000" w:themeColor="text1"/>
              </w:rPr>
            </w:pPr>
          </w:p>
        </w:tc>
        <w:tc>
          <w:tcPr>
            <w:tcW w:w="760" w:type="dxa"/>
          </w:tcPr>
          <w:p w14:paraId="4A6E8E82" w14:textId="77777777" w:rsidR="00D801DD" w:rsidRPr="009054AD" w:rsidRDefault="00D801DD" w:rsidP="00943629">
            <w:pPr>
              <w:adjustRightInd w:val="0"/>
              <w:snapToGrid w:val="0"/>
              <w:rPr>
                <w:color w:val="000000" w:themeColor="text1"/>
              </w:rPr>
            </w:pPr>
          </w:p>
        </w:tc>
        <w:tc>
          <w:tcPr>
            <w:tcW w:w="760" w:type="dxa"/>
          </w:tcPr>
          <w:p w14:paraId="0E5DEEBE" w14:textId="77777777" w:rsidR="00D801DD" w:rsidRPr="009054AD" w:rsidRDefault="00D801DD" w:rsidP="00943629">
            <w:pPr>
              <w:adjustRightInd w:val="0"/>
              <w:snapToGrid w:val="0"/>
              <w:rPr>
                <w:color w:val="000000" w:themeColor="text1"/>
              </w:rPr>
            </w:pPr>
          </w:p>
        </w:tc>
        <w:tc>
          <w:tcPr>
            <w:tcW w:w="760" w:type="dxa"/>
          </w:tcPr>
          <w:p w14:paraId="449C9683" w14:textId="77777777" w:rsidR="00D801DD" w:rsidRPr="009054AD" w:rsidRDefault="00D801DD" w:rsidP="00943629">
            <w:pPr>
              <w:adjustRightInd w:val="0"/>
              <w:snapToGrid w:val="0"/>
              <w:rPr>
                <w:color w:val="000000" w:themeColor="text1"/>
              </w:rPr>
            </w:pPr>
          </w:p>
        </w:tc>
        <w:tc>
          <w:tcPr>
            <w:tcW w:w="761" w:type="dxa"/>
          </w:tcPr>
          <w:p w14:paraId="4646EEDD" w14:textId="77777777" w:rsidR="00D801DD" w:rsidRPr="009054AD" w:rsidRDefault="00D801DD" w:rsidP="00943629">
            <w:pPr>
              <w:adjustRightInd w:val="0"/>
              <w:snapToGrid w:val="0"/>
              <w:rPr>
                <w:color w:val="000000" w:themeColor="text1"/>
              </w:rPr>
            </w:pPr>
          </w:p>
        </w:tc>
        <w:tc>
          <w:tcPr>
            <w:tcW w:w="760" w:type="dxa"/>
          </w:tcPr>
          <w:p w14:paraId="2A4674DF" w14:textId="33E2E77B" w:rsidR="00D801DD" w:rsidRPr="009054AD" w:rsidRDefault="00D801DD" w:rsidP="00943629">
            <w:pPr>
              <w:adjustRightInd w:val="0"/>
              <w:snapToGrid w:val="0"/>
              <w:rPr>
                <w:color w:val="000000" w:themeColor="text1"/>
              </w:rPr>
            </w:pPr>
            <w:r w:rsidRPr="009054AD">
              <w:rPr>
                <w:color w:val="000000" w:themeColor="text1"/>
              </w:rPr>
              <w:t>.58*</w:t>
            </w:r>
          </w:p>
        </w:tc>
        <w:tc>
          <w:tcPr>
            <w:tcW w:w="760" w:type="dxa"/>
          </w:tcPr>
          <w:p w14:paraId="6BFE47A8" w14:textId="22D725F6" w:rsidR="00D801DD" w:rsidRPr="009054AD" w:rsidRDefault="00D801DD" w:rsidP="00943629">
            <w:pPr>
              <w:adjustRightInd w:val="0"/>
              <w:snapToGrid w:val="0"/>
              <w:rPr>
                <w:color w:val="000000" w:themeColor="text1"/>
              </w:rPr>
            </w:pPr>
            <w:r w:rsidRPr="009054AD">
              <w:rPr>
                <w:color w:val="000000" w:themeColor="text1"/>
              </w:rPr>
              <w:t>.42*</w:t>
            </w:r>
          </w:p>
        </w:tc>
        <w:tc>
          <w:tcPr>
            <w:tcW w:w="760" w:type="dxa"/>
          </w:tcPr>
          <w:p w14:paraId="150FDE29" w14:textId="32D824C3" w:rsidR="00D801DD" w:rsidRPr="009054AD" w:rsidRDefault="00D801DD" w:rsidP="00943629">
            <w:pPr>
              <w:adjustRightInd w:val="0"/>
              <w:snapToGrid w:val="0"/>
              <w:rPr>
                <w:color w:val="000000" w:themeColor="text1"/>
              </w:rPr>
            </w:pPr>
            <w:r w:rsidRPr="009054AD">
              <w:rPr>
                <w:color w:val="000000" w:themeColor="text1"/>
              </w:rPr>
              <w:t>.58*</w:t>
            </w:r>
          </w:p>
        </w:tc>
        <w:tc>
          <w:tcPr>
            <w:tcW w:w="761" w:type="dxa"/>
          </w:tcPr>
          <w:p w14:paraId="1CCA948D" w14:textId="290710E0" w:rsidR="00D801DD" w:rsidRPr="009054AD" w:rsidRDefault="00D801DD" w:rsidP="00943629">
            <w:pPr>
              <w:adjustRightInd w:val="0"/>
              <w:snapToGrid w:val="0"/>
              <w:rPr>
                <w:color w:val="000000" w:themeColor="text1"/>
              </w:rPr>
            </w:pPr>
            <w:r w:rsidRPr="009054AD">
              <w:rPr>
                <w:color w:val="000000" w:themeColor="text1"/>
              </w:rPr>
              <w:t>.49*</w:t>
            </w:r>
          </w:p>
        </w:tc>
        <w:tc>
          <w:tcPr>
            <w:tcW w:w="760" w:type="dxa"/>
          </w:tcPr>
          <w:p w14:paraId="22B1ADE8" w14:textId="0F1F3885" w:rsidR="00D801DD" w:rsidRPr="009054AD" w:rsidRDefault="00D801DD" w:rsidP="00943629">
            <w:pPr>
              <w:adjustRightInd w:val="0"/>
              <w:snapToGrid w:val="0"/>
              <w:rPr>
                <w:color w:val="000000" w:themeColor="text1"/>
              </w:rPr>
            </w:pPr>
            <w:r w:rsidRPr="009054AD">
              <w:rPr>
                <w:color w:val="000000" w:themeColor="text1"/>
              </w:rPr>
              <w:t>.58*</w:t>
            </w:r>
          </w:p>
        </w:tc>
      </w:tr>
      <w:tr w:rsidR="009054AD" w:rsidRPr="009054AD" w14:paraId="69FC2C30" w14:textId="77777777" w:rsidTr="00D801DD">
        <w:tc>
          <w:tcPr>
            <w:tcW w:w="1598" w:type="dxa"/>
          </w:tcPr>
          <w:p w14:paraId="0565A77A" w14:textId="77777777" w:rsidR="00D801DD" w:rsidRPr="009054AD" w:rsidRDefault="00D801DD" w:rsidP="00943629">
            <w:pPr>
              <w:adjustRightInd w:val="0"/>
              <w:snapToGrid w:val="0"/>
              <w:rPr>
                <w:color w:val="000000" w:themeColor="text1"/>
              </w:rPr>
            </w:pPr>
            <w:r w:rsidRPr="009054AD">
              <w:rPr>
                <w:color w:val="000000" w:themeColor="text1"/>
              </w:rPr>
              <w:t>(8) SPQ-</w:t>
            </w:r>
            <w:proofErr w:type="spellStart"/>
            <w:r w:rsidRPr="009054AD">
              <w:rPr>
                <w:color w:val="000000" w:themeColor="text1"/>
              </w:rPr>
              <w:t>OoEB</w:t>
            </w:r>
            <w:proofErr w:type="spellEnd"/>
          </w:p>
        </w:tc>
        <w:tc>
          <w:tcPr>
            <w:tcW w:w="726" w:type="dxa"/>
          </w:tcPr>
          <w:p w14:paraId="27D6B87B" w14:textId="77777777" w:rsidR="00D801DD" w:rsidRPr="009054AD" w:rsidRDefault="00D801DD" w:rsidP="00943629">
            <w:pPr>
              <w:adjustRightInd w:val="0"/>
              <w:snapToGrid w:val="0"/>
              <w:rPr>
                <w:color w:val="000000" w:themeColor="text1"/>
              </w:rPr>
            </w:pPr>
          </w:p>
        </w:tc>
        <w:tc>
          <w:tcPr>
            <w:tcW w:w="760" w:type="dxa"/>
          </w:tcPr>
          <w:p w14:paraId="73701342" w14:textId="77777777" w:rsidR="00D801DD" w:rsidRPr="009054AD" w:rsidRDefault="00D801DD" w:rsidP="00943629">
            <w:pPr>
              <w:adjustRightInd w:val="0"/>
              <w:snapToGrid w:val="0"/>
              <w:rPr>
                <w:color w:val="000000" w:themeColor="text1"/>
              </w:rPr>
            </w:pPr>
          </w:p>
        </w:tc>
        <w:tc>
          <w:tcPr>
            <w:tcW w:w="761" w:type="dxa"/>
          </w:tcPr>
          <w:p w14:paraId="2D9FBD3E" w14:textId="77777777" w:rsidR="00D801DD" w:rsidRPr="009054AD" w:rsidRDefault="00D801DD" w:rsidP="00943629">
            <w:pPr>
              <w:adjustRightInd w:val="0"/>
              <w:snapToGrid w:val="0"/>
              <w:rPr>
                <w:color w:val="000000" w:themeColor="text1"/>
              </w:rPr>
            </w:pPr>
          </w:p>
        </w:tc>
        <w:tc>
          <w:tcPr>
            <w:tcW w:w="760" w:type="dxa"/>
          </w:tcPr>
          <w:p w14:paraId="642BCD83" w14:textId="77777777" w:rsidR="00D801DD" w:rsidRPr="009054AD" w:rsidRDefault="00D801DD" w:rsidP="00943629">
            <w:pPr>
              <w:adjustRightInd w:val="0"/>
              <w:snapToGrid w:val="0"/>
              <w:rPr>
                <w:color w:val="000000" w:themeColor="text1"/>
              </w:rPr>
            </w:pPr>
          </w:p>
        </w:tc>
        <w:tc>
          <w:tcPr>
            <w:tcW w:w="760" w:type="dxa"/>
          </w:tcPr>
          <w:p w14:paraId="7F77FA32" w14:textId="77777777" w:rsidR="00D801DD" w:rsidRPr="009054AD" w:rsidRDefault="00D801DD" w:rsidP="00943629">
            <w:pPr>
              <w:adjustRightInd w:val="0"/>
              <w:snapToGrid w:val="0"/>
              <w:rPr>
                <w:color w:val="000000" w:themeColor="text1"/>
              </w:rPr>
            </w:pPr>
          </w:p>
        </w:tc>
        <w:tc>
          <w:tcPr>
            <w:tcW w:w="760" w:type="dxa"/>
          </w:tcPr>
          <w:p w14:paraId="38C647AD" w14:textId="77777777" w:rsidR="00D801DD" w:rsidRPr="009054AD" w:rsidRDefault="00D801DD" w:rsidP="00943629">
            <w:pPr>
              <w:adjustRightInd w:val="0"/>
              <w:snapToGrid w:val="0"/>
              <w:rPr>
                <w:color w:val="000000" w:themeColor="text1"/>
              </w:rPr>
            </w:pPr>
          </w:p>
        </w:tc>
        <w:tc>
          <w:tcPr>
            <w:tcW w:w="761" w:type="dxa"/>
          </w:tcPr>
          <w:p w14:paraId="29B886E6" w14:textId="77777777" w:rsidR="00D801DD" w:rsidRPr="009054AD" w:rsidRDefault="00D801DD" w:rsidP="00943629">
            <w:pPr>
              <w:adjustRightInd w:val="0"/>
              <w:snapToGrid w:val="0"/>
              <w:rPr>
                <w:color w:val="000000" w:themeColor="text1"/>
              </w:rPr>
            </w:pPr>
          </w:p>
        </w:tc>
        <w:tc>
          <w:tcPr>
            <w:tcW w:w="760" w:type="dxa"/>
          </w:tcPr>
          <w:p w14:paraId="271BF13C" w14:textId="77777777" w:rsidR="00D801DD" w:rsidRPr="009054AD" w:rsidRDefault="00D801DD" w:rsidP="00943629">
            <w:pPr>
              <w:adjustRightInd w:val="0"/>
              <w:snapToGrid w:val="0"/>
              <w:rPr>
                <w:color w:val="000000" w:themeColor="text1"/>
              </w:rPr>
            </w:pPr>
          </w:p>
        </w:tc>
        <w:tc>
          <w:tcPr>
            <w:tcW w:w="760" w:type="dxa"/>
          </w:tcPr>
          <w:p w14:paraId="76024FCE" w14:textId="3BC8034F" w:rsidR="00D801DD" w:rsidRPr="009054AD" w:rsidRDefault="00D801DD" w:rsidP="00943629">
            <w:pPr>
              <w:adjustRightInd w:val="0"/>
              <w:snapToGrid w:val="0"/>
              <w:rPr>
                <w:color w:val="000000" w:themeColor="text1"/>
              </w:rPr>
            </w:pPr>
            <w:r w:rsidRPr="009054AD">
              <w:rPr>
                <w:color w:val="000000" w:themeColor="text1"/>
              </w:rPr>
              <w:t>.43*</w:t>
            </w:r>
          </w:p>
        </w:tc>
        <w:tc>
          <w:tcPr>
            <w:tcW w:w="760" w:type="dxa"/>
          </w:tcPr>
          <w:p w14:paraId="51BC76D7" w14:textId="0333C1FF" w:rsidR="00D801DD" w:rsidRPr="009054AD" w:rsidRDefault="00D801DD" w:rsidP="00943629">
            <w:pPr>
              <w:adjustRightInd w:val="0"/>
              <w:snapToGrid w:val="0"/>
              <w:rPr>
                <w:color w:val="000000" w:themeColor="text1"/>
              </w:rPr>
            </w:pPr>
            <w:r w:rsidRPr="009054AD">
              <w:rPr>
                <w:color w:val="000000" w:themeColor="text1"/>
              </w:rPr>
              <w:t>.61*</w:t>
            </w:r>
          </w:p>
        </w:tc>
        <w:tc>
          <w:tcPr>
            <w:tcW w:w="761" w:type="dxa"/>
          </w:tcPr>
          <w:p w14:paraId="4627EA40" w14:textId="73A6145F" w:rsidR="00D801DD" w:rsidRPr="009054AD" w:rsidRDefault="00D801DD" w:rsidP="00943629">
            <w:pPr>
              <w:adjustRightInd w:val="0"/>
              <w:snapToGrid w:val="0"/>
              <w:rPr>
                <w:color w:val="000000" w:themeColor="text1"/>
              </w:rPr>
            </w:pPr>
            <w:r w:rsidRPr="009054AD">
              <w:rPr>
                <w:color w:val="000000" w:themeColor="text1"/>
              </w:rPr>
              <w:t>.50*</w:t>
            </w:r>
          </w:p>
        </w:tc>
        <w:tc>
          <w:tcPr>
            <w:tcW w:w="760" w:type="dxa"/>
          </w:tcPr>
          <w:p w14:paraId="0452726B" w14:textId="45687E52" w:rsidR="00D801DD" w:rsidRPr="009054AD" w:rsidRDefault="00D801DD" w:rsidP="00943629">
            <w:pPr>
              <w:adjustRightInd w:val="0"/>
              <w:snapToGrid w:val="0"/>
              <w:rPr>
                <w:color w:val="000000" w:themeColor="text1"/>
              </w:rPr>
            </w:pPr>
            <w:r w:rsidRPr="009054AD">
              <w:rPr>
                <w:color w:val="000000" w:themeColor="text1"/>
              </w:rPr>
              <w:t>.55*</w:t>
            </w:r>
          </w:p>
        </w:tc>
      </w:tr>
      <w:tr w:rsidR="009054AD" w:rsidRPr="009054AD" w14:paraId="1D00EE71" w14:textId="77777777" w:rsidTr="00D801DD">
        <w:tc>
          <w:tcPr>
            <w:tcW w:w="1598" w:type="dxa"/>
          </w:tcPr>
          <w:p w14:paraId="0A382BEC" w14:textId="77777777" w:rsidR="00D801DD" w:rsidRPr="009054AD" w:rsidRDefault="00D801DD" w:rsidP="00943629">
            <w:pPr>
              <w:adjustRightInd w:val="0"/>
              <w:snapToGrid w:val="0"/>
              <w:rPr>
                <w:color w:val="000000" w:themeColor="text1"/>
              </w:rPr>
            </w:pPr>
            <w:r w:rsidRPr="009054AD">
              <w:rPr>
                <w:color w:val="000000" w:themeColor="text1"/>
              </w:rPr>
              <w:t>(9) SPQ-NCF</w:t>
            </w:r>
          </w:p>
        </w:tc>
        <w:tc>
          <w:tcPr>
            <w:tcW w:w="726" w:type="dxa"/>
          </w:tcPr>
          <w:p w14:paraId="27F9A13A" w14:textId="77777777" w:rsidR="00D801DD" w:rsidRPr="009054AD" w:rsidRDefault="00D801DD" w:rsidP="00943629">
            <w:pPr>
              <w:adjustRightInd w:val="0"/>
              <w:snapToGrid w:val="0"/>
              <w:rPr>
                <w:color w:val="000000" w:themeColor="text1"/>
              </w:rPr>
            </w:pPr>
          </w:p>
        </w:tc>
        <w:tc>
          <w:tcPr>
            <w:tcW w:w="760" w:type="dxa"/>
          </w:tcPr>
          <w:p w14:paraId="2EAAF328" w14:textId="77777777" w:rsidR="00D801DD" w:rsidRPr="009054AD" w:rsidRDefault="00D801DD" w:rsidP="00943629">
            <w:pPr>
              <w:adjustRightInd w:val="0"/>
              <w:snapToGrid w:val="0"/>
              <w:rPr>
                <w:color w:val="000000" w:themeColor="text1"/>
              </w:rPr>
            </w:pPr>
          </w:p>
        </w:tc>
        <w:tc>
          <w:tcPr>
            <w:tcW w:w="761" w:type="dxa"/>
          </w:tcPr>
          <w:p w14:paraId="6F3F0B23" w14:textId="77777777" w:rsidR="00D801DD" w:rsidRPr="009054AD" w:rsidRDefault="00D801DD" w:rsidP="00943629">
            <w:pPr>
              <w:adjustRightInd w:val="0"/>
              <w:snapToGrid w:val="0"/>
              <w:rPr>
                <w:color w:val="000000" w:themeColor="text1"/>
              </w:rPr>
            </w:pPr>
          </w:p>
        </w:tc>
        <w:tc>
          <w:tcPr>
            <w:tcW w:w="760" w:type="dxa"/>
          </w:tcPr>
          <w:p w14:paraId="609B341A" w14:textId="77777777" w:rsidR="00D801DD" w:rsidRPr="009054AD" w:rsidRDefault="00D801DD" w:rsidP="00943629">
            <w:pPr>
              <w:adjustRightInd w:val="0"/>
              <w:snapToGrid w:val="0"/>
              <w:rPr>
                <w:color w:val="000000" w:themeColor="text1"/>
              </w:rPr>
            </w:pPr>
          </w:p>
        </w:tc>
        <w:tc>
          <w:tcPr>
            <w:tcW w:w="760" w:type="dxa"/>
          </w:tcPr>
          <w:p w14:paraId="3D2AA2FC" w14:textId="77777777" w:rsidR="00D801DD" w:rsidRPr="009054AD" w:rsidRDefault="00D801DD" w:rsidP="00943629">
            <w:pPr>
              <w:adjustRightInd w:val="0"/>
              <w:snapToGrid w:val="0"/>
              <w:rPr>
                <w:color w:val="000000" w:themeColor="text1"/>
              </w:rPr>
            </w:pPr>
          </w:p>
        </w:tc>
        <w:tc>
          <w:tcPr>
            <w:tcW w:w="760" w:type="dxa"/>
          </w:tcPr>
          <w:p w14:paraId="27BB79B6" w14:textId="77777777" w:rsidR="00D801DD" w:rsidRPr="009054AD" w:rsidRDefault="00D801DD" w:rsidP="00943629">
            <w:pPr>
              <w:adjustRightInd w:val="0"/>
              <w:snapToGrid w:val="0"/>
              <w:rPr>
                <w:color w:val="000000" w:themeColor="text1"/>
              </w:rPr>
            </w:pPr>
          </w:p>
        </w:tc>
        <w:tc>
          <w:tcPr>
            <w:tcW w:w="761" w:type="dxa"/>
          </w:tcPr>
          <w:p w14:paraId="5E38FEA0" w14:textId="77777777" w:rsidR="00D801DD" w:rsidRPr="009054AD" w:rsidRDefault="00D801DD" w:rsidP="00943629">
            <w:pPr>
              <w:adjustRightInd w:val="0"/>
              <w:snapToGrid w:val="0"/>
              <w:rPr>
                <w:color w:val="000000" w:themeColor="text1"/>
              </w:rPr>
            </w:pPr>
          </w:p>
        </w:tc>
        <w:tc>
          <w:tcPr>
            <w:tcW w:w="760" w:type="dxa"/>
          </w:tcPr>
          <w:p w14:paraId="4B8D3337" w14:textId="77777777" w:rsidR="00D801DD" w:rsidRPr="009054AD" w:rsidRDefault="00D801DD" w:rsidP="00943629">
            <w:pPr>
              <w:adjustRightInd w:val="0"/>
              <w:snapToGrid w:val="0"/>
              <w:rPr>
                <w:color w:val="000000" w:themeColor="text1"/>
              </w:rPr>
            </w:pPr>
          </w:p>
        </w:tc>
        <w:tc>
          <w:tcPr>
            <w:tcW w:w="760" w:type="dxa"/>
          </w:tcPr>
          <w:p w14:paraId="02F29ED3" w14:textId="77777777" w:rsidR="00D801DD" w:rsidRPr="009054AD" w:rsidRDefault="00D801DD" w:rsidP="00943629">
            <w:pPr>
              <w:adjustRightInd w:val="0"/>
              <w:snapToGrid w:val="0"/>
              <w:rPr>
                <w:color w:val="000000" w:themeColor="text1"/>
              </w:rPr>
            </w:pPr>
          </w:p>
        </w:tc>
        <w:tc>
          <w:tcPr>
            <w:tcW w:w="760" w:type="dxa"/>
          </w:tcPr>
          <w:p w14:paraId="30C3AFF6" w14:textId="54C2D94B" w:rsidR="00D801DD" w:rsidRPr="009054AD" w:rsidRDefault="00D801DD" w:rsidP="00943629">
            <w:pPr>
              <w:adjustRightInd w:val="0"/>
              <w:snapToGrid w:val="0"/>
              <w:rPr>
                <w:color w:val="000000" w:themeColor="text1"/>
              </w:rPr>
            </w:pPr>
            <w:r w:rsidRPr="009054AD">
              <w:rPr>
                <w:color w:val="000000" w:themeColor="text1"/>
              </w:rPr>
              <w:t>.47*</w:t>
            </w:r>
          </w:p>
        </w:tc>
        <w:tc>
          <w:tcPr>
            <w:tcW w:w="761" w:type="dxa"/>
          </w:tcPr>
          <w:p w14:paraId="5E4249C2" w14:textId="5216F35A" w:rsidR="00D801DD" w:rsidRPr="009054AD" w:rsidRDefault="00D801DD" w:rsidP="00943629">
            <w:pPr>
              <w:adjustRightInd w:val="0"/>
              <w:snapToGrid w:val="0"/>
              <w:rPr>
                <w:color w:val="000000" w:themeColor="text1"/>
              </w:rPr>
            </w:pPr>
            <w:r w:rsidRPr="009054AD">
              <w:rPr>
                <w:color w:val="000000" w:themeColor="text1"/>
              </w:rPr>
              <w:t>.72*</w:t>
            </w:r>
          </w:p>
        </w:tc>
        <w:tc>
          <w:tcPr>
            <w:tcW w:w="760" w:type="dxa"/>
          </w:tcPr>
          <w:p w14:paraId="30147CB5" w14:textId="5582AD1E" w:rsidR="00D801DD" w:rsidRPr="009054AD" w:rsidRDefault="00D801DD" w:rsidP="00943629">
            <w:pPr>
              <w:adjustRightInd w:val="0"/>
              <w:snapToGrid w:val="0"/>
              <w:rPr>
                <w:color w:val="000000" w:themeColor="text1"/>
              </w:rPr>
            </w:pPr>
            <w:r w:rsidRPr="009054AD">
              <w:rPr>
                <w:color w:val="000000" w:themeColor="text1"/>
              </w:rPr>
              <w:t>.59*</w:t>
            </w:r>
          </w:p>
        </w:tc>
      </w:tr>
      <w:tr w:rsidR="009054AD" w:rsidRPr="009054AD" w14:paraId="400DEAEE" w14:textId="77777777" w:rsidTr="00D801DD">
        <w:tc>
          <w:tcPr>
            <w:tcW w:w="1598" w:type="dxa"/>
          </w:tcPr>
          <w:p w14:paraId="47C831DA" w14:textId="77777777" w:rsidR="00D801DD" w:rsidRPr="009054AD" w:rsidRDefault="00D801DD" w:rsidP="00943629">
            <w:pPr>
              <w:adjustRightInd w:val="0"/>
              <w:snapToGrid w:val="0"/>
              <w:rPr>
                <w:color w:val="000000" w:themeColor="text1"/>
              </w:rPr>
            </w:pPr>
            <w:r w:rsidRPr="009054AD">
              <w:rPr>
                <w:color w:val="000000" w:themeColor="text1"/>
              </w:rPr>
              <w:t>(10) SPQ-OS</w:t>
            </w:r>
          </w:p>
        </w:tc>
        <w:tc>
          <w:tcPr>
            <w:tcW w:w="726" w:type="dxa"/>
          </w:tcPr>
          <w:p w14:paraId="662D5900" w14:textId="77777777" w:rsidR="00D801DD" w:rsidRPr="009054AD" w:rsidRDefault="00D801DD" w:rsidP="00943629">
            <w:pPr>
              <w:adjustRightInd w:val="0"/>
              <w:snapToGrid w:val="0"/>
              <w:rPr>
                <w:color w:val="000000" w:themeColor="text1"/>
              </w:rPr>
            </w:pPr>
          </w:p>
        </w:tc>
        <w:tc>
          <w:tcPr>
            <w:tcW w:w="760" w:type="dxa"/>
          </w:tcPr>
          <w:p w14:paraId="74BC48E9" w14:textId="77777777" w:rsidR="00D801DD" w:rsidRPr="009054AD" w:rsidRDefault="00D801DD" w:rsidP="00943629">
            <w:pPr>
              <w:adjustRightInd w:val="0"/>
              <w:snapToGrid w:val="0"/>
              <w:rPr>
                <w:color w:val="000000" w:themeColor="text1"/>
              </w:rPr>
            </w:pPr>
          </w:p>
        </w:tc>
        <w:tc>
          <w:tcPr>
            <w:tcW w:w="761" w:type="dxa"/>
          </w:tcPr>
          <w:p w14:paraId="764612C5" w14:textId="77777777" w:rsidR="00D801DD" w:rsidRPr="009054AD" w:rsidRDefault="00D801DD" w:rsidP="00943629">
            <w:pPr>
              <w:adjustRightInd w:val="0"/>
              <w:snapToGrid w:val="0"/>
              <w:rPr>
                <w:color w:val="000000" w:themeColor="text1"/>
              </w:rPr>
            </w:pPr>
          </w:p>
        </w:tc>
        <w:tc>
          <w:tcPr>
            <w:tcW w:w="760" w:type="dxa"/>
          </w:tcPr>
          <w:p w14:paraId="794B00C8" w14:textId="77777777" w:rsidR="00D801DD" w:rsidRPr="009054AD" w:rsidRDefault="00D801DD" w:rsidP="00943629">
            <w:pPr>
              <w:adjustRightInd w:val="0"/>
              <w:snapToGrid w:val="0"/>
              <w:rPr>
                <w:color w:val="000000" w:themeColor="text1"/>
              </w:rPr>
            </w:pPr>
          </w:p>
        </w:tc>
        <w:tc>
          <w:tcPr>
            <w:tcW w:w="760" w:type="dxa"/>
          </w:tcPr>
          <w:p w14:paraId="4D69E42E" w14:textId="77777777" w:rsidR="00D801DD" w:rsidRPr="009054AD" w:rsidRDefault="00D801DD" w:rsidP="00943629">
            <w:pPr>
              <w:adjustRightInd w:val="0"/>
              <w:snapToGrid w:val="0"/>
              <w:rPr>
                <w:color w:val="000000" w:themeColor="text1"/>
              </w:rPr>
            </w:pPr>
          </w:p>
        </w:tc>
        <w:tc>
          <w:tcPr>
            <w:tcW w:w="760" w:type="dxa"/>
          </w:tcPr>
          <w:p w14:paraId="7263855C" w14:textId="77777777" w:rsidR="00D801DD" w:rsidRPr="009054AD" w:rsidRDefault="00D801DD" w:rsidP="00943629">
            <w:pPr>
              <w:adjustRightInd w:val="0"/>
              <w:snapToGrid w:val="0"/>
              <w:rPr>
                <w:color w:val="000000" w:themeColor="text1"/>
              </w:rPr>
            </w:pPr>
          </w:p>
        </w:tc>
        <w:tc>
          <w:tcPr>
            <w:tcW w:w="761" w:type="dxa"/>
          </w:tcPr>
          <w:p w14:paraId="6F0013A7" w14:textId="77777777" w:rsidR="00D801DD" w:rsidRPr="009054AD" w:rsidRDefault="00D801DD" w:rsidP="00943629">
            <w:pPr>
              <w:adjustRightInd w:val="0"/>
              <w:snapToGrid w:val="0"/>
              <w:rPr>
                <w:color w:val="000000" w:themeColor="text1"/>
              </w:rPr>
            </w:pPr>
          </w:p>
        </w:tc>
        <w:tc>
          <w:tcPr>
            <w:tcW w:w="760" w:type="dxa"/>
          </w:tcPr>
          <w:p w14:paraId="70FEE9F9" w14:textId="77777777" w:rsidR="00D801DD" w:rsidRPr="009054AD" w:rsidRDefault="00D801DD" w:rsidP="00943629">
            <w:pPr>
              <w:adjustRightInd w:val="0"/>
              <w:snapToGrid w:val="0"/>
              <w:rPr>
                <w:color w:val="000000" w:themeColor="text1"/>
              </w:rPr>
            </w:pPr>
          </w:p>
        </w:tc>
        <w:tc>
          <w:tcPr>
            <w:tcW w:w="760" w:type="dxa"/>
          </w:tcPr>
          <w:p w14:paraId="7E62DC7B" w14:textId="77777777" w:rsidR="00D801DD" w:rsidRPr="009054AD" w:rsidRDefault="00D801DD" w:rsidP="00943629">
            <w:pPr>
              <w:adjustRightInd w:val="0"/>
              <w:snapToGrid w:val="0"/>
              <w:rPr>
                <w:color w:val="000000" w:themeColor="text1"/>
              </w:rPr>
            </w:pPr>
          </w:p>
        </w:tc>
        <w:tc>
          <w:tcPr>
            <w:tcW w:w="760" w:type="dxa"/>
          </w:tcPr>
          <w:p w14:paraId="31B15199" w14:textId="77777777" w:rsidR="00D801DD" w:rsidRPr="009054AD" w:rsidRDefault="00D801DD" w:rsidP="00943629">
            <w:pPr>
              <w:adjustRightInd w:val="0"/>
              <w:snapToGrid w:val="0"/>
              <w:rPr>
                <w:color w:val="000000" w:themeColor="text1"/>
              </w:rPr>
            </w:pPr>
          </w:p>
        </w:tc>
        <w:tc>
          <w:tcPr>
            <w:tcW w:w="761" w:type="dxa"/>
          </w:tcPr>
          <w:p w14:paraId="7A94183F" w14:textId="1138478B" w:rsidR="00D801DD" w:rsidRPr="009054AD" w:rsidRDefault="00D801DD" w:rsidP="00943629">
            <w:pPr>
              <w:adjustRightInd w:val="0"/>
              <w:snapToGrid w:val="0"/>
              <w:rPr>
                <w:color w:val="000000" w:themeColor="text1"/>
              </w:rPr>
            </w:pPr>
            <w:r w:rsidRPr="009054AD">
              <w:rPr>
                <w:color w:val="000000" w:themeColor="text1"/>
              </w:rPr>
              <w:t>.60*</w:t>
            </w:r>
          </w:p>
        </w:tc>
        <w:tc>
          <w:tcPr>
            <w:tcW w:w="760" w:type="dxa"/>
          </w:tcPr>
          <w:p w14:paraId="1E731589" w14:textId="371D6BB3" w:rsidR="00D801DD" w:rsidRPr="009054AD" w:rsidRDefault="00D801DD" w:rsidP="00943629">
            <w:pPr>
              <w:adjustRightInd w:val="0"/>
              <w:snapToGrid w:val="0"/>
              <w:rPr>
                <w:color w:val="000000" w:themeColor="text1"/>
              </w:rPr>
            </w:pPr>
            <w:r w:rsidRPr="009054AD">
              <w:rPr>
                <w:color w:val="000000" w:themeColor="text1"/>
              </w:rPr>
              <w:t>.55*</w:t>
            </w:r>
          </w:p>
        </w:tc>
      </w:tr>
      <w:tr w:rsidR="009054AD" w:rsidRPr="009054AD" w14:paraId="7F18E773" w14:textId="77777777" w:rsidTr="00D801DD">
        <w:tc>
          <w:tcPr>
            <w:tcW w:w="1598" w:type="dxa"/>
          </w:tcPr>
          <w:p w14:paraId="70FA9535" w14:textId="77777777" w:rsidR="00D801DD" w:rsidRPr="009054AD" w:rsidRDefault="00D801DD" w:rsidP="00943629">
            <w:pPr>
              <w:adjustRightInd w:val="0"/>
              <w:snapToGrid w:val="0"/>
              <w:rPr>
                <w:color w:val="000000" w:themeColor="text1"/>
              </w:rPr>
            </w:pPr>
            <w:r w:rsidRPr="009054AD">
              <w:rPr>
                <w:color w:val="000000" w:themeColor="text1"/>
              </w:rPr>
              <w:t>(11) SPQ-CA</w:t>
            </w:r>
          </w:p>
        </w:tc>
        <w:tc>
          <w:tcPr>
            <w:tcW w:w="726" w:type="dxa"/>
          </w:tcPr>
          <w:p w14:paraId="583B0FE8" w14:textId="77777777" w:rsidR="00D801DD" w:rsidRPr="009054AD" w:rsidRDefault="00D801DD" w:rsidP="00943629">
            <w:pPr>
              <w:adjustRightInd w:val="0"/>
              <w:snapToGrid w:val="0"/>
              <w:rPr>
                <w:color w:val="000000" w:themeColor="text1"/>
              </w:rPr>
            </w:pPr>
          </w:p>
        </w:tc>
        <w:tc>
          <w:tcPr>
            <w:tcW w:w="760" w:type="dxa"/>
          </w:tcPr>
          <w:p w14:paraId="6CDE28A5" w14:textId="77777777" w:rsidR="00D801DD" w:rsidRPr="009054AD" w:rsidRDefault="00D801DD" w:rsidP="00943629">
            <w:pPr>
              <w:adjustRightInd w:val="0"/>
              <w:snapToGrid w:val="0"/>
              <w:rPr>
                <w:color w:val="000000" w:themeColor="text1"/>
              </w:rPr>
            </w:pPr>
          </w:p>
        </w:tc>
        <w:tc>
          <w:tcPr>
            <w:tcW w:w="761" w:type="dxa"/>
          </w:tcPr>
          <w:p w14:paraId="21CA3B54" w14:textId="77777777" w:rsidR="00D801DD" w:rsidRPr="009054AD" w:rsidRDefault="00D801DD" w:rsidP="00943629">
            <w:pPr>
              <w:adjustRightInd w:val="0"/>
              <w:snapToGrid w:val="0"/>
              <w:rPr>
                <w:color w:val="000000" w:themeColor="text1"/>
              </w:rPr>
            </w:pPr>
          </w:p>
        </w:tc>
        <w:tc>
          <w:tcPr>
            <w:tcW w:w="760" w:type="dxa"/>
          </w:tcPr>
          <w:p w14:paraId="6652C2E1" w14:textId="77777777" w:rsidR="00D801DD" w:rsidRPr="009054AD" w:rsidRDefault="00D801DD" w:rsidP="00943629">
            <w:pPr>
              <w:adjustRightInd w:val="0"/>
              <w:snapToGrid w:val="0"/>
              <w:rPr>
                <w:color w:val="000000" w:themeColor="text1"/>
              </w:rPr>
            </w:pPr>
          </w:p>
        </w:tc>
        <w:tc>
          <w:tcPr>
            <w:tcW w:w="760" w:type="dxa"/>
          </w:tcPr>
          <w:p w14:paraId="100B28E1" w14:textId="77777777" w:rsidR="00D801DD" w:rsidRPr="009054AD" w:rsidRDefault="00D801DD" w:rsidP="00943629">
            <w:pPr>
              <w:adjustRightInd w:val="0"/>
              <w:snapToGrid w:val="0"/>
              <w:rPr>
                <w:color w:val="000000" w:themeColor="text1"/>
              </w:rPr>
            </w:pPr>
          </w:p>
        </w:tc>
        <w:tc>
          <w:tcPr>
            <w:tcW w:w="760" w:type="dxa"/>
          </w:tcPr>
          <w:p w14:paraId="172BEBE0" w14:textId="77777777" w:rsidR="00D801DD" w:rsidRPr="009054AD" w:rsidRDefault="00D801DD" w:rsidP="00943629">
            <w:pPr>
              <w:adjustRightInd w:val="0"/>
              <w:snapToGrid w:val="0"/>
              <w:rPr>
                <w:color w:val="000000" w:themeColor="text1"/>
              </w:rPr>
            </w:pPr>
          </w:p>
        </w:tc>
        <w:tc>
          <w:tcPr>
            <w:tcW w:w="761" w:type="dxa"/>
          </w:tcPr>
          <w:p w14:paraId="0B04A354" w14:textId="77777777" w:rsidR="00D801DD" w:rsidRPr="009054AD" w:rsidRDefault="00D801DD" w:rsidP="00943629">
            <w:pPr>
              <w:adjustRightInd w:val="0"/>
              <w:snapToGrid w:val="0"/>
              <w:rPr>
                <w:color w:val="000000" w:themeColor="text1"/>
              </w:rPr>
            </w:pPr>
          </w:p>
        </w:tc>
        <w:tc>
          <w:tcPr>
            <w:tcW w:w="760" w:type="dxa"/>
          </w:tcPr>
          <w:p w14:paraId="4BFA94C6" w14:textId="77777777" w:rsidR="00D801DD" w:rsidRPr="009054AD" w:rsidRDefault="00D801DD" w:rsidP="00943629">
            <w:pPr>
              <w:adjustRightInd w:val="0"/>
              <w:snapToGrid w:val="0"/>
              <w:rPr>
                <w:color w:val="000000" w:themeColor="text1"/>
              </w:rPr>
            </w:pPr>
          </w:p>
        </w:tc>
        <w:tc>
          <w:tcPr>
            <w:tcW w:w="760" w:type="dxa"/>
          </w:tcPr>
          <w:p w14:paraId="672A3FCD" w14:textId="77777777" w:rsidR="00D801DD" w:rsidRPr="009054AD" w:rsidRDefault="00D801DD" w:rsidP="00943629">
            <w:pPr>
              <w:adjustRightInd w:val="0"/>
              <w:snapToGrid w:val="0"/>
              <w:rPr>
                <w:color w:val="000000" w:themeColor="text1"/>
              </w:rPr>
            </w:pPr>
          </w:p>
        </w:tc>
        <w:tc>
          <w:tcPr>
            <w:tcW w:w="760" w:type="dxa"/>
          </w:tcPr>
          <w:p w14:paraId="5ADE8D70" w14:textId="77777777" w:rsidR="00D801DD" w:rsidRPr="009054AD" w:rsidRDefault="00D801DD" w:rsidP="00943629">
            <w:pPr>
              <w:adjustRightInd w:val="0"/>
              <w:snapToGrid w:val="0"/>
              <w:rPr>
                <w:color w:val="000000" w:themeColor="text1"/>
              </w:rPr>
            </w:pPr>
          </w:p>
        </w:tc>
        <w:tc>
          <w:tcPr>
            <w:tcW w:w="761" w:type="dxa"/>
          </w:tcPr>
          <w:p w14:paraId="26E4E618" w14:textId="77777777" w:rsidR="00D801DD" w:rsidRPr="009054AD" w:rsidRDefault="00D801DD" w:rsidP="00943629">
            <w:pPr>
              <w:adjustRightInd w:val="0"/>
              <w:snapToGrid w:val="0"/>
              <w:rPr>
                <w:color w:val="000000" w:themeColor="text1"/>
              </w:rPr>
            </w:pPr>
          </w:p>
        </w:tc>
        <w:tc>
          <w:tcPr>
            <w:tcW w:w="760" w:type="dxa"/>
          </w:tcPr>
          <w:p w14:paraId="365BE97B" w14:textId="7EB98173" w:rsidR="00D801DD" w:rsidRPr="009054AD" w:rsidRDefault="00D801DD" w:rsidP="00943629">
            <w:pPr>
              <w:adjustRightInd w:val="0"/>
              <w:snapToGrid w:val="0"/>
              <w:rPr>
                <w:color w:val="000000" w:themeColor="text1"/>
              </w:rPr>
            </w:pPr>
            <w:r w:rsidRPr="009054AD">
              <w:rPr>
                <w:color w:val="000000" w:themeColor="text1"/>
              </w:rPr>
              <w:t>.58*</w:t>
            </w:r>
          </w:p>
        </w:tc>
      </w:tr>
      <w:tr w:rsidR="009054AD" w:rsidRPr="009054AD" w14:paraId="574C85E2" w14:textId="77777777" w:rsidTr="00D801DD">
        <w:tc>
          <w:tcPr>
            <w:tcW w:w="1598" w:type="dxa"/>
            <w:tcBorders>
              <w:bottom w:val="single" w:sz="4" w:space="0" w:color="auto"/>
            </w:tcBorders>
          </w:tcPr>
          <w:p w14:paraId="797429D3" w14:textId="77777777" w:rsidR="00D801DD" w:rsidRPr="009054AD" w:rsidRDefault="00D801DD" w:rsidP="00943629">
            <w:pPr>
              <w:adjustRightInd w:val="0"/>
              <w:snapToGrid w:val="0"/>
              <w:rPr>
                <w:color w:val="000000" w:themeColor="text1"/>
              </w:rPr>
            </w:pPr>
            <w:r w:rsidRPr="009054AD">
              <w:rPr>
                <w:color w:val="000000" w:themeColor="text1"/>
              </w:rPr>
              <w:t>(12) SPQ-Sus</w:t>
            </w:r>
          </w:p>
        </w:tc>
        <w:tc>
          <w:tcPr>
            <w:tcW w:w="726" w:type="dxa"/>
            <w:tcBorders>
              <w:bottom w:val="single" w:sz="4" w:space="0" w:color="auto"/>
            </w:tcBorders>
          </w:tcPr>
          <w:p w14:paraId="78757803"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4D8A0EBD" w14:textId="77777777" w:rsidR="00D801DD" w:rsidRPr="009054AD" w:rsidRDefault="00D801DD" w:rsidP="00943629">
            <w:pPr>
              <w:adjustRightInd w:val="0"/>
              <w:snapToGrid w:val="0"/>
              <w:rPr>
                <w:color w:val="000000" w:themeColor="text1"/>
              </w:rPr>
            </w:pPr>
          </w:p>
        </w:tc>
        <w:tc>
          <w:tcPr>
            <w:tcW w:w="761" w:type="dxa"/>
            <w:tcBorders>
              <w:bottom w:val="single" w:sz="4" w:space="0" w:color="auto"/>
            </w:tcBorders>
          </w:tcPr>
          <w:p w14:paraId="4464480B"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562CB09A"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0B7FDF49"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43A5B71B" w14:textId="77777777" w:rsidR="00D801DD" w:rsidRPr="009054AD" w:rsidRDefault="00D801DD" w:rsidP="00943629">
            <w:pPr>
              <w:adjustRightInd w:val="0"/>
              <w:snapToGrid w:val="0"/>
              <w:rPr>
                <w:color w:val="000000" w:themeColor="text1"/>
              </w:rPr>
            </w:pPr>
          </w:p>
        </w:tc>
        <w:tc>
          <w:tcPr>
            <w:tcW w:w="761" w:type="dxa"/>
            <w:tcBorders>
              <w:bottom w:val="single" w:sz="4" w:space="0" w:color="auto"/>
            </w:tcBorders>
          </w:tcPr>
          <w:p w14:paraId="476E5A81"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6F92DC94"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7025122C"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59371E4A" w14:textId="77777777" w:rsidR="00D801DD" w:rsidRPr="009054AD" w:rsidRDefault="00D801DD" w:rsidP="00943629">
            <w:pPr>
              <w:adjustRightInd w:val="0"/>
              <w:snapToGrid w:val="0"/>
              <w:rPr>
                <w:color w:val="000000" w:themeColor="text1"/>
              </w:rPr>
            </w:pPr>
          </w:p>
        </w:tc>
        <w:tc>
          <w:tcPr>
            <w:tcW w:w="761" w:type="dxa"/>
            <w:tcBorders>
              <w:bottom w:val="single" w:sz="4" w:space="0" w:color="auto"/>
            </w:tcBorders>
          </w:tcPr>
          <w:p w14:paraId="3291E3E9" w14:textId="77777777" w:rsidR="00D801DD" w:rsidRPr="009054AD" w:rsidRDefault="00D801DD" w:rsidP="00943629">
            <w:pPr>
              <w:adjustRightInd w:val="0"/>
              <w:snapToGrid w:val="0"/>
              <w:rPr>
                <w:color w:val="000000" w:themeColor="text1"/>
              </w:rPr>
            </w:pPr>
          </w:p>
        </w:tc>
        <w:tc>
          <w:tcPr>
            <w:tcW w:w="760" w:type="dxa"/>
            <w:tcBorders>
              <w:bottom w:val="single" w:sz="4" w:space="0" w:color="auto"/>
            </w:tcBorders>
          </w:tcPr>
          <w:p w14:paraId="21E1321F" w14:textId="77777777" w:rsidR="00D801DD" w:rsidRPr="009054AD" w:rsidRDefault="00D801DD" w:rsidP="00943629">
            <w:pPr>
              <w:adjustRightInd w:val="0"/>
              <w:snapToGrid w:val="0"/>
              <w:rPr>
                <w:color w:val="000000" w:themeColor="text1"/>
              </w:rPr>
            </w:pPr>
          </w:p>
        </w:tc>
      </w:tr>
      <w:tr w:rsidR="009054AD" w:rsidRPr="009054AD" w14:paraId="11F3B0DE" w14:textId="77777777" w:rsidTr="00D801DD">
        <w:tc>
          <w:tcPr>
            <w:tcW w:w="1598" w:type="dxa"/>
            <w:tcBorders>
              <w:top w:val="single" w:sz="4" w:space="0" w:color="auto"/>
            </w:tcBorders>
          </w:tcPr>
          <w:p w14:paraId="2DB918E7" w14:textId="77777777" w:rsidR="00D801DD" w:rsidRPr="009054AD" w:rsidRDefault="00D801DD" w:rsidP="00943629">
            <w:pPr>
              <w:adjustRightInd w:val="0"/>
              <w:snapToGrid w:val="0"/>
              <w:rPr>
                <w:i/>
                <w:color w:val="000000" w:themeColor="text1"/>
              </w:rPr>
            </w:pPr>
            <w:r w:rsidRPr="009054AD">
              <w:rPr>
                <w:i/>
                <w:color w:val="000000" w:themeColor="text1"/>
              </w:rPr>
              <w:t>M</w:t>
            </w:r>
          </w:p>
        </w:tc>
        <w:tc>
          <w:tcPr>
            <w:tcW w:w="726" w:type="dxa"/>
            <w:tcBorders>
              <w:top w:val="single" w:sz="4" w:space="0" w:color="auto"/>
            </w:tcBorders>
          </w:tcPr>
          <w:p w14:paraId="30FD1BAD" w14:textId="77777777" w:rsidR="00D801DD" w:rsidRPr="009054AD" w:rsidRDefault="00D801DD" w:rsidP="00943629">
            <w:pPr>
              <w:adjustRightInd w:val="0"/>
              <w:snapToGrid w:val="0"/>
              <w:rPr>
                <w:color w:val="000000" w:themeColor="text1"/>
              </w:rPr>
            </w:pPr>
            <w:r w:rsidRPr="009054AD">
              <w:rPr>
                <w:color w:val="000000" w:themeColor="text1"/>
              </w:rPr>
              <w:t>3.22</w:t>
            </w:r>
          </w:p>
        </w:tc>
        <w:tc>
          <w:tcPr>
            <w:tcW w:w="760" w:type="dxa"/>
            <w:tcBorders>
              <w:top w:val="single" w:sz="4" w:space="0" w:color="auto"/>
            </w:tcBorders>
          </w:tcPr>
          <w:p w14:paraId="791B99CE" w14:textId="77777777" w:rsidR="00D801DD" w:rsidRPr="009054AD" w:rsidRDefault="00D801DD" w:rsidP="00943629">
            <w:pPr>
              <w:adjustRightInd w:val="0"/>
              <w:snapToGrid w:val="0"/>
              <w:rPr>
                <w:color w:val="000000" w:themeColor="text1"/>
              </w:rPr>
            </w:pPr>
            <w:r w:rsidRPr="009054AD">
              <w:rPr>
                <w:color w:val="000000" w:themeColor="text1"/>
              </w:rPr>
              <w:t>3.00</w:t>
            </w:r>
          </w:p>
        </w:tc>
        <w:tc>
          <w:tcPr>
            <w:tcW w:w="761" w:type="dxa"/>
            <w:tcBorders>
              <w:top w:val="single" w:sz="4" w:space="0" w:color="auto"/>
            </w:tcBorders>
          </w:tcPr>
          <w:p w14:paraId="32E86B7F" w14:textId="77777777" w:rsidR="00D801DD" w:rsidRPr="009054AD" w:rsidRDefault="00D801DD" w:rsidP="00943629">
            <w:pPr>
              <w:adjustRightInd w:val="0"/>
              <w:snapToGrid w:val="0"/>
              <w:rPr>
                <w:color w:val="000000" w:themeColor="text1"/>
              </w:rPr>
            </w:pPr>
            <w:r w:rsidRPr="009054AD">
              <w:rPr>
                <w:color w:val="000000" w:themeColor="text1"/>
              </w:rPr>
              <w:t>2.10</w:t>
            </w:r>
          </w:p>
        </w:tc>
        <w:tc>
          <w:tcPr>
            <w:tcW w:w="760" w:type="dxa"/>
            <w:tcBorders>
              <w:top w:val="single" w:sz="4" w:space="0" w:color="auto"/>
            </w:tcBorders>
          </w:tcPr>
          <w:p w14:paraId="1970C420" w14:textId="77777777" w:rsidR="00D801DD" w:rsidRPr="009054AD" w:rsidRDefault="00D801DD" w:rsidP="00943629">
            <w:pPr>
              <w:adjustRightInd w:val="0"/>
              <w:snapToGrid w:val="0"/>
              <w:rPr>
                <w:color w:val="000000" w:themeColor="text1"/>
              </w:rPr>
            </w:pPr>
            <w:r w:rsidRPr="009054AD">
              <w:rPr>
                <w:color w:val="000000" w:themeColor="text1"/>
              </w:rPr>
              <w:t>2.52</w:t>
            </w:r>
          </w:p>
        </w:tc>
        <w:tc>
          <w:tcPr>
            <w:tcW w:w="760" w:type="dxa"/>
            <w:tcBorders>
              <w:top w:val="single" w:sz="4" w:space="0" w:color="auto"/>
            </w:tcBorders>
          </w:tcPr>
          <w:p w14:paraId="1620C310" w14:textId="77777777" w:rsidR="00D801DD" w:rsidRPr="009054AD" w:rsidRDefault="00D801DD" w:rsidP="00943629">
            <w:pPr>
              <w:adjustRightInd w:val="0"/>
              <w:snapToGrid w:val="0"/>
              <w:rPr>
                <w:color w:val="000000" w:themeColor="text1"/>
              </w:rPr>
            </w:pPr>
            <w:r w:rsidRPr="009054AD">
              <w:rPr>
                <w:color w:val="000000" w:themeColor="text1"/>
              </w:rPr>
              <w:t>4.63</w:t>
            </w:r>
          </w:p>
        </w:tc>
        <w:tc>
          <w:tcPr>
            <w:tcW w:w="760" w:type="dxa"/>
            <w:tcBorders>
              <w:top w:val="single" w:sz="4" w:space="0" w:color="auto"/>
            </w:tcBorders>
          </w:tcPr>
          <w:p w14:paraId="01E80293" w14:textId="77777777" w:rsidR="00D801DD" w:rsidRPr="009054AD" w:rsidRDefault="00D801DD" w:rsidP="00943629">
            <w:pPr>
              <w:adjustRightInd w:val="0"/>
              <w:snapToGrid w:val="0"/>
              <w:rPr>
                <w:color w:val="000000" w:themeColor="text1"/>
              </w:rPr>
            </w:pPr>
            <w:r w:rsidRPr="009054AD">
              <w:rPr>
                <w:color w:val="000000" w:themeColor="text1"/>
              </w:rPr>
              <w:t>1.26</w:t>
            </w:r>
          </w:p>
        </w:tc>
        <w:tc>
          <w:tcPr>
            <w:tcW w:w="761" w:type="dxa"/>
            <w:tcBorders>
              <w:top w:val="single" w:sz="4" w:space="0" w:color="auto"/>
            </w:tcBorders>
          </w:tcPr>
          <w:p w14:paraId="3CB77900" w14:textId="77777777" w:rsidR="00D801DD" w:rsidRPr="009054AD" w:rsidRDefault="00D801DD" w:rsidP="00943629">
            <w:pPr>
              <w:adjustRightInd w:val="0"/>
              <w:snapToGrid w:val="0"/>
              <w:rPr>
                <w:color w:val="000000" w:themeColor="text1"/>
              </w:rPr>
            </w:pPr>
            <w:r w:rsidRPr="009054AD">
              <w:rPr>
                <w:color w:val="000000" w:themeColor="text1"/>
              </w:rPr>
              <w:t>1.77</w:t>
            </w:r>
          </w:p>
        </w:tc>
        <w:tc>
          <w:tcPr>
            <w:tcW w:w="760" w:type="dxa"/>
            <w:tcBorders>
              <w:top w:val="single" w:sz="4" w:space="0" w:color="auto"/>
            </w:tcBorders>
          </w:tcPr>
          <w:p w14:paraId="65A9C64C" w14:textId="77777777" w:rsidR="00D801DD" w:rsidRPr="009054AD" w:rsidRDefault="00D801DD" w:rsidP="00943629">
            <w:pPr>
              <w:adjustRightInd w:val="0"/>
              <w:snapToGrid w:val="0"/>
              <w:rPr>
                <w:color w:val="000000" w:themeColor="text1"/>
              </w:rPr>
            </w:pPr>
            <w:r w:rsidRPr="009054AD">
              <w:rPr>
                <w:color w:val="000000" w:themeColor="text1"/>
              </w:rPr>
              <w:t>2.00</w:t>
            </w:r>
          </w:p>
        </w:tc>
        <w:tc>
          <w:tcPr>
            <w:tcW w:w="760" w:type="dxa"/>
            <w:tcBorders>
              <w:top w:val="single" w:sz="4" w:space="0" w:color="auto"/>
            </w:tcBorders>
          </w:tcPr>
          <w:p w14:paraId="3D294586" w14:textId="77777777" w:rsidR="00D801DD" w:rsidRPr="009054AD" w:rsidRDefault="00D801DD" w:rsidP="00943629">
            <w:pPr>
              <w:adjustRightInd w:val="0"/>
              <w:snapToGrid w:val="0"/>
              <w:rPr>
                <w:color w:val="000000" w:themeColor="text1"/>
              </w:rPr>
            </w:pPr>
            <w:r w:rsidRPr="009054AD">
              <w:rPr>
                <w:color w:val="000000" w:themeColor="text1"/>
              </w:rPr>
              <w:t>3.89</w:t>
            </w:r>
          </w:p>
        </w:tc>
        <w:tc>
          <w:tcPr>
            <w:tcW w:w="760" w:type="dxa"/>
            <w:tcBorders>
              <w:top w:val="single" w:sz="4" w:space="0" w:color="auto"/>
            </w:tcBorders>
          </w:tcPr>
          <w:p w14:paraId="735CFF71" w14:textId="77777777" w:rsidR="00D801DD" w:rsidRPr="009054AD" w:rsidRDefault="00D801DD" w:rsidP="00943629">
            <w:pPr>
              <w:adjustRightInd w:val="0"/>
              <w:snapToGrid w:val="0"/>
              <w:rPr>
                <w:color w:val="000000" w:themeColor="text1"/>
              </w:rPr>
            </w:pPr>
            <w:r w:rsidRPr="009054AD">
              <w:rPr>
                <w:color w:val="000000" w:themeColor="text1"/>
              </w:rPr>
              <w:t>2.67</w:t>
            </w:r>
          </w:p>
        </w:tc>
        <w:tc>
          <w:tcPr>
            <w:tcW w:w="761" w:type="dxa"/>
            <w:tcBorders>
              <w:top w:val="single" w:sz="4" w:space="0" w:color="auto"/>
            </w:tcBorders>
          </w:tcPr>
          <w:p w14:paraId="51C0831E" w14:textId="77777777" w:rsidR="00D801DD" w:rsidRPr="009054AD" w:rsidRDefault="00D801DD" w:rsidP="00943629">
            <w:pPr>
              <w:adjustRightInd w:val="0"/>
              <w:snapToGrid w:val="0"/>
              <w:rPr>
                <w:color w:val="000000" w:themeColor="text1"/>
              </w:rPr>
            </w:pPr>
            <w:r w:rsidRPr="009054AD">
              <w:rPr>
                <w:color w:val="000000" w:themeColor="text1"/>
              </w:rPr>
              <w:t>2.30</w:t>
            </w:r>
          </w:p>
        </w:tc>
        <w:tc>
          <w:tcPr>
            <w:tcW w:w="760" w:type="dxa"/>
            <w:tcBorders>
              <w:top w:val="single" w:sz="4" w:space="0" w:color="auto"/>
            </w:tcBorders>
          </w:tcPr>
          <w:p w14:paraId="6172F37B" w14:textId="77777777" w:rsidR="00D801DD" w:rsidRPr="009054AD" w:rsidRDefault="00D801DD" w:rsidP="00943629">
            <w:pPr>
              <w:adjustRightInd w:val="0"/>
              <w:snapToGrid w:val="0"/>
              <w:rPr>
                <w:color w:val="000000" w:themeColor="text1"/>
              </w:rPr>
            </w:pPr>
            <w:r w:rsidRPr="009054AD">
              <w:rPr>
                <w:color w:val="000000" w:themeColor="text1"/>
              </w:rPr>
              <w:t>2.43</w:t>
            </w:r>
          </w:p>
        </w:tc>
      </w:tr>
      <w:tr w:rsidR="009054AD" w:rsidRPr="009054AD" w14:paraId="6D6699F5" w14:textId="77777777" w:rsidTr="00D801DD">
        <w:tc>
          <w:tcPr>
            <w:tcW w:w="1598" w:type="dxa"/>
            <w:tcBorders>
              <w:bottom w:val="single" w:sz="4" w:space="0" w:color="auto"/>
            </w:tcBorders>
          </w:tcPr>
          <w:p w14:paraId="4CD4FFCD" w14:textId="77777777" w:rsidR="00D801DD" w:rsidRPr="009054AD" w:rsidRDefault="00D801DD" w:rsidP="00943629">
            <w:pPr>
              <w:adjustRightInd w:val="0"/>
              <w:snapToGrid w:val="0"/>
              <w:rPr>
                <w:i/>
                <w:color w:val="000000" w:themeColor="text1"/>
              </w:rPr>
            </w:pPr>
            <w:r w:rsidRPr="009054AD">
              <w:rPr>
                <w:i/>
                <w:color w:val="000000" w:themeColor="text1"/>
              </w:rPr>
              <w:t>SD</w:t>
            </w:r>
          </w:p>
        </w:tc>
        <w:tc>
          <w:tcPr>
            <w:tcW w:w="726" w:type="dxa"/>
            <w:tcBorders>
              <w:bottom w:val="single" w:sz="4" w:space="0" w:color="auto"/>
            </w:tcBorders>
          </w:tcPr>
          <w:p w14:paraId="22663C6F" w14:textId="77777777" w:rsidR="00D801DD" w:rsidRPr="009054AD" w:rsidRDefault="00D801DD" w:rsidP="00943629">
            <w:pPr>
              <w:adjustRightInd w:val="0"/>
              <w:snapToGrid w:val="0"/>
              <w:rPr>
                <w:color w:val="000000" w:themeColor="text1"/>
              </w:rPr>
            </w:pPr>
            <w:r w:rsidRPr="009054AD">
              <w:rPr>
                <w:color w:val="000000" w:themeColor="text1"/>
              </w:rPr>
              <w:t>1.37</w:t>
            </w:r>
          </w:p>
        </w:tc>
        <w:tc>
          <w:tcPr>
            <w:tcW w:w="760" w:type="dxa"/>
            <w:tcBorders>
              <w:bottom w:val="single" w:sz="4" w:space="0" w:color="auto"/>
            </w:tcBorders>
          </w:tcPr>
          <w:p w14:paraId="47292373" w14:textId="77777777" w:rsidR="00D801DD" w:rsidRPr="009054AD" w:rsidRDefault="00D801DD" w:rsidP="00943629">
            <w:pPr>
              <w:adjustRightInd w:val="0"/>
              <w:snapToGrid w:val="0"/>
              <w:rPr>
                <w:color w:val="000000" w:themeColor="text1"/>
              </w:rPr>
            </w:pPr>
            <w:r w:rsidRPr="009054AD">
              <w:rPr>
                <w:color w:val="000000" w:themeColor="text1"/>
              </w:rPr>
              <w:t>0.57</w:t>
            </w:r>
          </w:p>
        </w:tc>
        <w:tc>
          <w:tcPr>
            <w:tcW w:w="761" w:type="dxa"/>
            <w:tcBorders>
              <w:bottom w:val="single" w:sz="4" w:space="0" w:color="auto"/>
            </w:tcBorders>
          </w:tcPr>
          <w:p w14:paraId="1041C44D" w14:textId="77777777" w:rsidR="00D801DD" w:rsidRPr="009054AD" w:rsidRDefault="00D801DD" w:rsidP="00943629">
            <w:pPr>
              <w:adjustRightInd w:val="0"/>
              <w:snapToGrid w:val="0"/>
              <w:rPr>
                <w:color w:val="000000" w:themeColor="text1"/>
              </w:rPr>
            </w:pPr>
            <w:r w:rsidRPr="009054AD">
              <w:rPr>
                <w:color w:val="000000" w:themeColor="text1"/>
              </w:rPr>
              <w:t>1.02</w:t>
            </w:r>
          </w:p>
        </w:tc>
        <w:tc>
          <w:tcPr>
            <w:tcW w:w="760" w:type="dxa"/>
            <w:tcBorders>
              <w:bottom w:val="single" w:sz="4" w:space="0" w:color="auto"/>
            </w:tcBorders>
          </w:tcPr>
          <w:p w14:paraId="4614896D" w14:textId="77777777" w:rsidR="00D801DD" w:rsidRPr="009054AD" w:rsidRDefault="00D801DD" w:rsidP="00943629">
            <w:pPr>
              <w:adjustRightInd w:val="0"/>
              <w:snapToGrid w:val="0"/>
              <w:rPr>
                <w:color w:val="000000" w:themeColor="text1"/>
              </w:rPr>
            </w:pPr>
            <w:r w:rsidRPr="009054AD">
              <w:rPr>
                <w:color w:val="000000" w:themeColor="text1"/>
              </w:rPr>
              <w:t>2.56</w:t>
            </w:r>
          </w:p>
        </w:tc>
        <w:tc>
          <w:tcPr>
            <w:tcW w:w="760" w:type="dxa"/>
            <w:tcBorders>
              <w:bottom w:val="single" w:sz="4" w:space="0" w:color="auto"/>
            </w:tcBorders>
          </w:tcPr>
          <w:p w14:paraId="1CE8F111" w14:textId="77777777" w:rsidR="00D801DD" w:rsidRPr="009054AD" w:rsidRDefault="00D801DD" w:rsidP="00943629">
            <w:pPr>
              <w:adjustRightInd w:val="0"/>
              <w:snapToGrid w:val="0"/>
              <w:rPr>
                <w:color w:val="000000" w:themeColor="text1"/>
              </w:rPr>
            </w:pPr>
            <w:r w:rsidRPr="009054AD">
              <w:rPr>
                <w:color w:val="000000" w:themeColor="text1"/>
              </w:rPr>
              <w:t>2.92</w:t>
            </w:r>
          </w:p>
        </w:tc>
        <w:tc>
          <w:tcPr>
            <w:tcW w:w="760" w:type="dxa"/>
            <w:tcBorders>
              <w:bottom w:val="single" w:sz="4" w:space="0" w:color="auto"/>
            </w:tcBorders>
          </w:tcPr>
          <w:p w14:paraId="2F74E42E" w14:textId="77777777" w:rsidR="00D801DD" w:rsidRPr="009054AD" w:rsidRDefault="00D801DD" w:rsidP="00943629">
            <w:pPr>
              <w:adjustRightInd w:val="0"/>
              <w:snapToGrid w:val="0"/>
              <w:rPr>
                <w:color w:val="000000" w:themeColor="text1"/>
              </w:rPr>
            </w:pPr>
            <w:r w:rsidRPr="009054AD">
              <w:rPr>
                <w:color w:val="000000" w:themeColor="text1"/>
              </w:rPr>
              <w:t>1.73</w:t>
            </w:r>
          </w:p>
        </w:tc>
        <w:tc>
          <w:tcPr>
            <w:tcW w:w="761" w:type="dxa"/>
            <w:tcBorders>
              <w:bottom w:val="single" w:sz="4" w:space="0" w:color="auto"/>
            </w:tcBorders>
          </w:tcPr>
          <w:p w14:paraId="32628BBC" w14:textId="77777777" w:rsidR="00D801DD" w:rsidRPr="009054AD" w:rsidRDefault="00D801DD" w:rsidP="00943629">
            <w:pPr>
              <w:adjustRightInd w:val="0"/>
              <w:snapToGrid w:val="0"/>
              <w:rPr>
                <w:color w:val="000000" w:themeColor="text1"/>
              </w:rPr>
            </w:pPr>
            <w:r w:rsidRPr="009054AD">
              <w:rPr>
                <w:color w:val="000000" w:themeColor="text1"/>
              </w:rPr>
              <w:t>2.00</w:t>
            </w:r>
          </w:p>
        </w:tc>
        <w:tc>
          <w:tcPr>
            <w:tcW w:w="760" w:type="dxa"/>
            <w:tcBorders>
              <w:bottom w:val="single" w:sz="4" w:space="0" w:color="auto"/>
            </w:tcBorders>
          </w:tcPr>
          <w:p w14:paraId="099768AB" w14:textId="77777777" w:rsidR="00D801DD" w:rsidRPr="009054AD" w:rsidRDefault="00D801DD" w:rsidP="00943629">
            <w:pPr>
              <w:adjustRightInd w:val="0"/>
              <w:snapToGrid w:val="0"/>
              <w:rPr>
                <w:color w:val="000000" w:themeColor="text1"/>
              </w:rPr>
            </w:pPr>
            <w:r w:rsidRPr="009054AD">
              <w:rPr>
                <w:color w:val="000000" w:themeColor="text1"/>
              </w:rPr>
              <w:t>2.28</w:t>
            </w:r>
          </w:p>
        </w:tc>
        <w:tc>
          <w:tcPr>
            <w:tcW w:w="760" w:type="dxa"/>
            <w:tcBorders>
              <w:bottom w:val="single" w:sz="4" w:space="0" w:color="auto"/>
            </w:tcBorders>
          </w:tcPr>
          <w:p w14:paraId="10971289" w14:textId="77777777" w:rsidR="00D801DD" w:rsidRPr="009054AD" w:rsidRDefault="00D801DD" w:rsidP="00943629">
            <w:pPr>
              <w:adjustRightInd w:val="0"/>
              <w:snapToGrid w:val="0"/>
              <w:rPr>
                <w:color w:val="000000" w:themeColor="text1"/>
              </w:rPr>
            </w:pPr>
            <w:r w:rsidRPr="009054AD">
              <w:rPr>
                <w:color w:val="000000" w:themeColor="text1"/>
              </w:rPr>
              <w:t>2.71</w:t>
            </w:r>
          </w:p>
        </w:tc>
        <w:tc>
          <w:tcPr>
            <w:tcW w:w="760" w:type="dxa"/>
            <w:tcBorders>
              <w:bottom w:val="single" w:sz="4" w:space="0" w:color="auto"/>
            </w:tcBorders>
          </w:tcPr>
          <w:p w14:paraId="0EAEBDE8" w14:textId="77777777" w:rsidR="00D801DD" w:rsidRPr="009054AD" w:rsidRDefault="00D801DD" w:rsidP="00943629">
            <w:pPr>
              <w:adjustRightInd w:val="0"/>
              <w:snapToGrid w:val="0"/>
              <w:rPr>
                <w:color w:val="000000" w:themeColor="text1"/>
              </w:rPr>
            </w:pPr>
            <w:r w:rsidRPr="009054AD">
              <w:rPr>
                <w:color w:val="000000" w:themeColor="text1"/>
              </w:rPr>
              <w:t>2.47</w:t>
            </w:r>
          </w:p>
        </w:tc>
        <w:tc>
          <w:tcPr>
            <w:tcW w:w="761" w:type="dxa"/>
            <w:tcBorders>
              <w:bottom w:val="single" w:sz="4" w:space="0" w:color="auto"/>
            </w:tcBorders>
          </w:tcPr>
          <w:p w14:paraId="60B8203B" w14:textId="77777777" w:rsidR="00D801DD" w:rsidRPr="009054AD" w:rsidRDefault="00D801DD" w:rsidP="00943629">
            <w:pPr>
              <w:adjustRightInd w:val="0"/>
              <w:snapToGrid w:val="0"/>
              <w:rPr>
                <w:color w:val="000000" w:themeColor="text1"/>
              </w:rPr>
            </w:pPr>
            <w:r w:rsidRPr="009054AD">
              <w:rPr>
                <w:color w:val="000000" w:themeColor="text1"/>
              </w:rPr>
              <w:t>2.22</w:t>
            </w:r>
          </w:p>
        </w:tc>
        <w:tc>
          <w:tcPr>
            <w:tcW w:w="760" w:type="dxa"/>
            <w:tcBorders>
              <w:bottom w:val="single" w:sz="4" w:space="0" w:color="auto"/>
            </w:tcBorders>
          </w:tcPr>
          <w:p w14:paraId="12B9650F" w14:textId="77777777" w:rsidR="00D801DD" w:rsidRPr="009054AD" w:rsidRDefault="00D801DD" w:rsidP="00943629">
            <w:pPr>
              <w:adjustRightInd w:val="0"/>
              <w:snapToGrid w:val="0"/>
              <w:rPr>
                <w:color w:val="000000" w:themeColor="text1"/>
              </w:rPr>
            </w:pPr>
            <w:r w:rsidRPr="009054AD">
              <w:rPr>
                <w:color w:val="000000" w:themeColor="text1"/>
              </w:rPr>
              <w:t>2.38</w:t>
            </w:r>
          </w:p>
        </w:tc>
      </w:tr>
    </w:tbl>
    <w:p w14:paraId="1E271353" w14:textId="4CC74A8A" w:rsidR="00D801DD" w:rsidRPr="009054AD" w:rsidRDefault="00D801DD" w:rsidP="00943629">
      <w:pPr>
        <w:pStyle w:val="MDPI43tablefooter"/>
        <w:rPr>
          <w:color w:val="000000" w:themeColor="text1"/>
        </w:rPr>
      </w:pPr>
      <w:r w:rsidRPr="009054AD">
        <w:rPr>
          <w:i/>
          <w:color w:val="000000" w:themeColor="text1"/>
        </w:rPr>
        <w:t>Note</w:t>
      </w:r>
      <w:r w:rsidRPr="009054AD">
        <w:rPr>
          <w:color w:val="000000" w:themeColor="text1"/>
        </w:rPr>
        <w:t xml:space="preserve">. </w:t>
      </w:r>
      <w:r w:rsidRPr="009054AD">
        <w:rPr>
          <w:i/>
          <w:color w:val="000000" w:themeColor="text1"/>
        </w:rPr>
        <w:t xml:space="preserve">N </w:t>
      </w:r>
      <w:r w:rsidRPr="009054AD">
        <w:rPr>
          <w:color w:val="000000" w:themeColor="text1"/>
        </w:rPr>
        <w:t>= 235.</w:t>
      </w:r>
      <w:r w:rsidRPr="009054AD">
        <w:rPr>
          <w:i/>
          <w:color w:val="000000" w:themeColor="text1"/>
        </w:rPr>
        <w:t xml:space="preserve"> </w:t>
      </w:r>
      <w:r w:rsidRPr="009054AD">
        <w:rPr>
          <w:color w:val="000000" w:themeColor="text1"/>
        </w:rPr>
        <w:t>*</w:t>
      </w:r>
      <w:proofErr w:type="gramStart"/>
      <w:r w:rsidR="00D64792">
        <w:rPr>
          <w:iCs/>
          <w:color w:val="000000" w:themeColor="text1"/>
        </w:rPr>
        <w:t>significant</w:t>
      </w:r>
      <w:proofErr w:type="gramEnd"/>
      <w:r w:rsidR="00D64792">
        <w:rPr>
          <w:iCs/>
          <w:color w:val="000000" w:themeColor="text1"/>
        </w:rPr>
        <w:t xml:space="preserve"> at Bonferroni-corrected </w:t>
      </w:r>
      <w:r w:rsidR="00D64792">
        <w:rPr>
          <w:i/>
          <w:color w:val="000000" w:themeColor="text1"/>
        </w:rPr>
        <w:t>p</w:t>
      </w:r>
      <w:r w:rsidR="00D64792">
        <w:rPr>
          <w:iCs/>
          <w:color w:val="000000" w:themeColor="text1"/>
        </w:rPr>
        <w:t xml:space="preserve"> = .005</w:t>
      </w:r>
      <w:r w:rsidRPr="009054AD">
        <w:rPr>
          <w:color w:val="000000" w:themeColor="text1"/>
        </w:rPr>
        <w:t xml:space="preserve">. EDI = Eating </w:t>
      </w:r>
      <w:proofErr w:type="spellStart"/>
      <w:r w:rsidRPr="009054AD">
        <w:rPr>
          <w:color w:val="000000" w:themeColor="text1"/>
        </w:rPr>
        <w:t>Disoders</w:t>
      </w:r>
      <w:proofErr w:type="spellEnd"/>
      <w:r w:rsidRPr="009054AD">
        <w:rPr>
          <w:color w:val="000000" w:themeColor="text1"/>
        </w:rPr>
        <w:t xml:space="preserve"> Inventory-3; DT = Drive for Thinness; BD = Body Dissatisfaction; BS = Bulimic Symptoms; </w:t>
      </w:r>
      <w:proofErr w:type="spellStart"/>
      <w:r w:rsidRPr="009054AD">
        <w:rPr>
          <w:color w:val="000000" w:themeColor="text1"/>
        </w:rPr>
        <w:t>IoR</w:t>
      </w:r>
      <w:proofErr w:type="spellEnd"/>
      <w:r w:rsidRPr="009054AD">
        <w:rPr>
          <w:color w:val="000000" w:themeColor="text1"/>
        </w:rPr>
        <w:t xml:space="preserve"> = Ideas </w:t>
      </w:r>
      <w:proofErr w:type="spellStart"/>
      <w:r w:rsidRPr="009054AD">
        <w:rPr>
          <w:color w:val="000000" w:themeColor="text1"/>
        </w:rPr>
        <w:t>od</w:t>
      </w:r>
      <w:proofErr w:type="spellEnd"/>
      <w:r w:rsidRPr="009054AD">
        <w:rPr>
          <w:color w:val="000000" w:themeColor="text1"/>
        </w:rPr>
        <w:t xml:space="preserve"> Reference; ESA = Excessive Social Anxiety; </w:t>
      </w:r>
      <w:proofErr w:type="spellStart"/>
      <w:r w:rsidRPr="009054AD">
        <w:rPr>
          <w:color w:val="000000" w:themeColor="text1"/>
        </w:rPr>
        <w:t>OBoMT</w:t>
      </w:r>
      <w:proofErr w:type="spellEnd"/>
      <w:r w:rsidRPr="009054AD">
        <w:rPr>
          <w:color w:val="000000" w:themeColor="text1"/>
        </w:rPr>
        <w:t xml:space="preserve"> = Odd Beliefs or Magical Thinking; UPE = Unusual Perceptual Experiences; </w:t>
      </w:r>
      <w:proofErr w:type="spellStart"/>
      <w:r w:rsidRPr="009054AD">
        <w:rPr>
          <w:color w:val="000000" w:themeColor="text1"/>
        </w:rPr>
        <w:t>OoEB</w:t>
      </w:r>
      <w:proofErr w:type="spellEnd"/>
      <w:r w:rsidRPr="009054AD">
        <w:rPr>
          <w:color w:val="000000" w:themeColor="text1"/>
        </w:rPr>
        <w:t xml:space="preserve"> = Odd or Eccentric </w:t>
      </w:r>
      <w:proofErr w:type="spellStart"/>
      <w:r w:rsidRPr="009054AD">
        <w:rPr>
          <w:color w:val="000000" w:themeColor="text1"/>
        </w:rPr>
        <w:t>Behaviour</w:t>
      </w:r>
      <w:proofErr w:type="spellEnd"/>
      <w:r w:rsidRPr="009054AD">
        <w:rPr>
          <w:color w:val="000000" w:themeColor="text1"/>
        </w:rPr>
        <w:t>; NCF = No Close Friends; OS = Odd Speech; CA = Constricted Affect; Sus = Suspiciousness.</w:t>
      </w:r>
    </w:p>
    <w:p w14:paraId="7FAE89B7" w14:textId="7B16909D" w:rsidR="0082611C" w:rsidRPr="009054AD" w:rsidRDefault="0082611C" w:rsidP="00943629">
      <w:pPr>
        <w:pStyle w:val="MDPI31text"/>
        <w:spacing w:before="240"/>
        <w:rPr>
          <w:color w:val="000000" w:themeColor="text1"/>
        </w:rPr>
      </w:pPr>
      <w:r w:rsidRPr="009054AD">
        <w:rPr>
          <w:color w:val="000000" w:themeColor="text1"/>
        </w:rPr>
        <w:t xml:space="preserve">The first regression with drive for thinness was significant, </w:t>
      </w:r>
      <w:proofErr w:type="gramStart"/>
      <w:r w:rsidRPr="009054AD">
        <w:rPr>
          <w:i/>
          <w:color w:val="000000" w:themeColor="text1"/>
        </w:rPr>
        <w:t>F</w:t>
      </w:r>
      <w:r w:rsidRPr="009054AD">
        <w:rPr>
          <w:color w:val="000000" w:themeColor="text1"/>
        </w:rPr>
        <w:t>(</w:t>
      </w:r>
      <w:proofErr w:type="gramEnd"/>
      <w:r w:rsidRPr="009054AD">
        <w:rPr>
          <w:color w:val="000000" w:themeColor="text1"/>
        </w:rPr>
        <w:t xml:space="preserve">9, 234) = 5.16, </w:t>
      </w:r>
      <w:r w:rsidRPr="009054AD">
        <w:rPr>
          <w:i/>
          <w:color w:val="000000" w:themeColor="text1"/>
        </w:rPr>
        <w:t>p</w:t>
      </w:r>
      <w:r w:rsidRPr="009054AD">
        <w:rPr>
          <w:color w:val="000000" w:themeColor="text1"/>
        </w:rPr>
        <w:t xml:space="preserve"> &lt; .001, Adj. </w:t>
      </w:r>
      <w:r w:rsidRPr="009054AD">
        <w:rPr>
          <w:i/>
          <w:color w:val="000000" w:themeColor="text1"/>
        </w:rPr>
        <w:t>R</w:t>
      </w:r>
      <w:r w:rsidRPr="009054AD">
        <w:rPr>
          <w:color w:val="000000" w:themeColor="text1"/>
          <w:vertAlign w:val="superscript"/>
        </w:rPr>
        <w:t>2</w:t>
      </w:r>
      <w:r w:rsidRPr="009054AD">
        <w:rPr>
          <w:color w:val="000000" w:themeColor="text1"/>
        </w:rPr>
        <w:t xml:space="preserve"> = .14, but the only significant predictor was excessive social anxiety (B = .17, SE = .04, β = .35, </w:t>
      </w:r>
      <w:r w:rsidRPr="009054AD">
        <w:rPr>
          <w:i/>
          <w:color w:val="000000" w:themeColor="text1"/>
        </w:rPr>
        <w:t>t</w:t>
      </w:r>
      <w:r w:rsidRPr="009054AD">
        <w:rPr>
          <w:color w:val="000000" w:themeColor="text1"/>
        </w:rPr>
        <w:t xml:space="preserve"> = 4.27, </w:t>
      </w:r>
      <w:r w:rsidRPr="009054AD">
        <w:rPr>
          <w:i/>
          <w:color w:val="000000" w:themeColor="text1"/>
        </w:rPr>
        <w:t>p</w:t>
      </w:r>
      <w:r w:rsidRPr="009054AD">
        <w:rPr>
          <w:color w:val="000000" w:themeColor="text1"/>
        </w:rPr>
        <w:t xml:space="preserve"> &lt; .001). The second regression with bulimic symptoms was also significant, </w:t>
      </w:r>
      <w:proofErr w:type="gramStart"/>
      <w:r w:rsidRPr="009054AD">
        <w:rPr>
          <w:i/>
          <w:color w:val="000000" w:themeColor="text1"/>
        </w:rPr>
        <w:t>F</w:t>
      </w:r>
      <w:r w:rsidRPr="009054AD">
        <w:rPr>
          <w:color w:val="000000" w:themeColor="text1"/>
        </w:rPr>
        <w:t>(</w:t>
      </w:r>
      <w:proofErr w:type="gramEnd"/>
      <w:r w:rsidRPr="009054AD">
        <w:rPr>
          <w:color w:val="000000" w:themeColor="text1"/>
        </w:rPr>
        <w:t xml:space="preserve">9, 234) = 5.02, </w:t>
      </w:r>
      <w:r w:rsidRPr="009054AD">
        <w:rPr>
          <w:i/>
          <w:color w:val="000000" w:themeColor="text1"/>
        </w:rPr>
        <w:t>p</w:t>
      </w:r>
      <w:r w:rsidRPr="009054AD">
        <w:rPr>
          <w:color w:val="000000" w:themeColor="text1"/>
        </w:rPr>
        <w:t xml:space="preserve"> &lt; .001, Adj. </w:t>
      </w:r>
      <w:r w:rsidRPr="009054AD">
        <w:rPr>
          <w:i/>
          <w:color w:val="000000" w:themeColor="text1"/>
        </w:rPr>
        <w:t>R</w:t>
      </w:r>
      <w:r w:rsidRPr="009054AD">
        <w:rPr>
          <w:color w:val="000000" w:themeColor="text1"/>
          <w:vertAlign w:val="superscript"/>
        </w:rPr>
        <w:t>2</w:t>
      </w:r>
      <w:r w:rsidRPr="009054AD">
        <w:rPr>
          <w:color w:val="000000" w:themeColor="text1"/>
        </w:rPr>
        <w:t xml:space="preserve"> = .13, with excessive social anxiety again emerging as the only significant predictor (B = .10, SE = .03, β = .28, </w:t>
      </w:r>
      <w:r w:rsidRPr="009054AD">
        <w:rPr>
          <w:i/>
          <w:color w:val="000000" w:themeColor="text1"/>
        </w:rPr>
        <w:t>t</w:t>
      </w:r>
      <w:r w:rsidRPr="009054AD">
        <w:rPr>
          <w:color w:val="000000" w:themeColor="text1"/>
        </w:rPr>
        <w:t xml:space="preserve"> = 3.41, </w:t>
      </w:r>
      <w:r w:rsidRPr="009054AD">
        <w:rPr>
          <w:i/>
          <w:color w:val="000000" w:themeColor="text1"/>
        </w:rPr>
        <w:t>p</w:t>
      </w:r>
      <w:r w:rsidRPr="009054AD">
        <w:rPr>
          <w:color w:val="000000" w:themeColor="text1"/>
        </w:rPr>
        <w:t xml:space="preserve"> = .001). The final regression with body dissatisfaction was likewise significant, </w:t>
      </w:r>
      <w:proofErr w:type="gramStart"/>
      <w:r w:rsidRPr="009054AD">
        <w:rPr>
          <w:i/>
          <w:color w:val="000000" w:themeColor="text1"/>
        </w:rPr>
        <w:t>F</w:t>
      </w:r>
      <w:r w:rsidRPr="009054AD">
        <w:rPr>
          <w:color w:val="000000" w:themeColor="text1"/>
        </w:rPr>
        <w:t>(</w:t>
      </w:r>
      <w:proofErr w:type="gramEnd"/>
      <w:r w:rsidRPr="009054AD">
        <w:rPr>
          <w:color w:val="000000" w:themeColor="text1"/>
        </w:rPr>
        <w:t xml:space="preserve">9, 234) = 2.28, </w:t>
      </w:r>
      <w:r w:rsidRPr="009054AD">
        <w:rPr>
          <w:i/>
          <w:color w:val="000000" w:themeColor="text1"/>
        </w:rPr>
        <w:t>p</w:t>
      </w:r>
      <w:r w:rsidRPr="009054AD">
        <w:rPr>
          <w:color w:val="000000" w:themeColor="text1"/>
        </w:rPr>
        <w:t xml:space="preserve"> = .018, Adj. </w:t>
      </w:r>
      <w:r w:rsidRPr="009054AD">
        <w:rPr>
          <w:i/>
          <w:color w:val="000000" w:themeColor="text1"/>
        </w:rPr>
        <w:t>R</w:t>
      </w:r>
      <w:r w:rsidRPr="009054AD">
        <w:rPr>
          <w:color w:val="000000" w:themeColor="text1"/>
          <w:vertAlign w:val="superscript"/>
        </w:rPr>
        <w:t>2</w:t>
      </w:r>
      <w:r w:rsidRPr="009054AD">
        <w:rPr>
          <w:color w:val="000000" w:themeColor="text1"/>
        </w:rPr>
        <w:t xml:space="preserve"> = .05, with excessive social anxiety being the only significant predictor (B = .06, SE = .03, β = .17, </w:t>
      </w:r>
      <w:r w:rsidRPr="009054AD">
        <w:rPr>
          <w:i/>
          <w:color w:val="000000" w:themeColor="text1"/>
        </w:rPr>
        <w:t>t</w:t>
      </w:r>
      <w:r w:rsidRPr="009054AD">
        <w:rPr>
          <w:color w:val="000000" w:themeColor="text1"/>
        </w:rPr>
        <w:t xml:space="preserve"> = 2.04, </w:t>
      </w:r>
      <w:r w:rsidRPr="009054AD">
        <w:rPr>
          <w:i/>
          <w:color w:val="000000" w:themeColor="text1"/>
        </w:rPr>
        <w:t>p</w:t>
      </w:r>
      <w:r w:rsidRPr="009054AD">
        <w:rPr>
          <w:color w:val="000000" w:themeColor="text1"/>
        </w:rPr>
        <w:t xml:space="preserve"> = .042).</w:t>
      </w:r>
    </w:p>
    <w:p w14:paraId="65E6211F" w14:textId="63027E5A" w:rsidR="0082611C" w:rsidRPr="009054AD" w:rsidRDefault="00943629" w:rsidP="00943629">
      <w:pPr>
        <w:pStyle w:val="MDPI21heading1"/>
        <w:rPr>
          <w:color w:val="000000" w:themeColor="text1"/>
        </w:rPr>
      </w:pPr>
      <w:r w:rsidRPr="009054AD">
        <w:rPr>
          <w:color w:val="000000" w:themeColor="text1"/>
        </w:rPr>
        <w:t xml:space="preserve">4. </w:t>
      </w:r>
      <w:r w:rsidR="0082611C" w:rsidRPr="009054AD">
        <w:rPr>
          <w:color w:val="000000" w:themeColor="text1"/>
        </w:rPr>
        <w:t>Discussion</w:t>
      </w:r>
    </w:p>
    <w:p w14:paraId="489194FA" w14:textId="373C0FE9" w:rsidR="0082611C" w:rsidRPr="009054AD" w:rsidRDefault="0082611C" w:rsidP="00943629">
      <w:pPr>
        <w:pStyle w:val="MDPI31text"/>
        <w:rPr>
          <w:color w:val="000000" w:themeColor="text1"/>
        </w:rPr>
      </w:pPr>
      <w:r w:rsidRPr="009054AD">
        <w:rPr>
          <w:color w:val="000000" w:themeColor="text1"/>
        </w:rPr>
        <w:t xml:space="preserve">The results of this study showed that only the schizotypal facet of excessive social anxiety emerged as a significant predictor of symptoms of disordered eating in a sample of women from the United States. Additional schizotypal facets were significantly correlated with symptoms of disordered eating – particularly drive for thinness and bulimic symptoms – which is broadly consistent with the earlier findings of </w:t>
      </w:r>
      <w:proofErr w:type="spellStart"/>
      <w:r w:rsidRPr="009054AD">
        <w:rPr>
          <w:color w:val="000000" w:themeColor="text1"/>
        </w:rPr>
        <w:t>Bremser</w:t>
      </w:r>
      <w:proofErr w:type="spellEnd"/>
      <w:r w:rsidRPr="009054AD">
        <w:rPr>
          <w:color w:val="000000" w:themeColor="text1"/>
        </w:rPr>
        <w:t xml:space="preserve"> and Gallup (2012). Importantly, however, these facets did not emerge as significant predictors once the variance accounted for by excessive social anxiety had been considered. Put differently, of the nine schizotypal facets, excessive social anxiety appears to be the dominant correlate of symptoms of disordered eating, a finding that may have obscured in previous work. More generally, the present results corroborate previous work showing that women with disordered eating symptoms have higher schizotypal scores compared to women in a control group (</w:t>
      </w:r>
      <w:proofErr w:type="spellStart"/>
      <w:r w:rsidRPr="009054AD">
        <w:rPr>
          <w:color w:val="000000" w:themeColor="text1"/>
        </w:rPr>
        <w:t>Raynal</w:t>
      </w:r>
      <w:proofErr w:type="spellEnd"/>
      <w:r w:rsidRPr="009054AD">
        <w:rPr>
          <w:color w:val="000000" w:themeColor="text1"/>
        </w:rPr>
        <w:t xml:space="preserve"> et al., 2016).</w:t>
      </w:r>
    </w:p>
    <w:p w14:paraId="140D182F" w14:textId="57D5843C" w:rsidR="0082611C" w:rsidRPr="009054AD" w:rsidRDefault="0082611C" w:rsidP="00943629">
      <w:pPr>
        <w:pStyle w:val="MDPI31text"/>
        <w:rPr>
          <w:color w:val="000000" w:themeColor="text1"/>
        </w:rPr>
      </w:pPr>
      <w:r w:rsidRPr="009054AD">
        <w:rPr>
          <w:color w:val="000000" w:themeColor="text1"/>
        </w:rPr>
        <w:t xml:space="preserve">Our results are consistent with </w:t>
      </w:r>
      <w:proofErr w:type="spellStart"/>
      <w:r w:rsidRPr="009054AD">
        <w:rPr>
          <w:color w:val="000000" w:themeColor="text1"/>
        </w:rPr>
        <w:t>aetiological</w:t>
      </w:r>
      <w:proofErr w:type="spellEnd"/>
      <w:r w:rsidRPr="009054AD">
        <w:rPr>
          <w:color w:val="000000" w:themeColor="text1"/>
        </w:rPr>
        <w:t xml:space="preserve"> models of disordered eating, which highlight social anxiety as a key risk factor for the development of eating pathology in adults (Levinson &amp; </w:t>
      </w:r>
      <w:proofErr w:type="spellStart"/>
      <w:r w:rsidRPr="009054AD">
        <w:rPr>
          <w:color w:val="000000" w:themeColor="text1"/>
        </w:rPr>
        <w:t>Rodebaugh</w:t>
      </w:r>
      <w:proofErr w:type="spellEnd"/>
      <w:r w:rsidRPr="009054AD">
        <w:rPr>
          <w:color w:val="000000" w:themeColor="text1"/>
        </w:rPr>
        <w:t xml:space="preserve">, 2015). While the role of social anxiety in the </w:t>
      </w:r>
      <w:proofErr w:type="spellStart"/>
      <w:r w:rsidRPr="009054AD">
        <w:rPr>
          <w:color w:val="000000" w:themeColor="text1"/>
        </w:rPr>
        <w:t>aetiology</w:t>
      </w:r>
      <w:proofErr w:type="spellEnd"/>
      <w:r w:rsidRPr="009054AD">
        <w:rPr>
          <w:color w:val="000000" w:themeColor="text1"/>
        </w:rPr>
        <w:t xml:space="preserve"> of disordered eating is well-documented, our results are important in their own right in highlighting that excessive social anxiety – a core facet of schizotypy – places women at heightened risk for symptoms of disordered eating. This may occur through a number of possible </w:t>
      </w:r>
      <w:r w:rsidRPr="009054AD">
        <w:rPr>
          <w:color w:val="000000" w:themeColor="text1"/>
        </w:rPr>
        <w:lastRenderedPageBreak/>
        <w:t xml:space="preserve">routes. For example, it is possible that higher excessive social anxiety leads women to develop unhealthy anxiety over their appearance, experience shame in social situations, or develop pathological fear of negative appearance-based evaluations (Levinson &amp; </w:t>
      </w:r>
      <w:proofErr w:type="spellStart"/>
      <w:r w:rsidRPr="009054AD">
        <w:rPr>
          <w:color w:val="000000" w:themeColor="text1"/>
        </w:rPr>
        <w:t>Rodebaugh</w:t>
      </w:r>
      <w:proofErr w:type="spellEnd"/>
      <w:r w:rsidRPr="009054AD">
        <w:rPr>
          <w:color w:val="000000" w:themeColor="text1"/>
        </w:rPr>
        <w:t xml:space="preserve">, 2012). In this view, excessive social anxiety can be </w:t>
      </w:r>
      <w:proofErr w:type="spellStart"/>
      <w:r w:rsidRPr="009054AD">
        <w:rPr>
          <w:color w:val="000000" w:themeColor="text1"/>
        </w:rPr>
        <w:t>conceptualised</w:t>
      </w:r>
      <w:proofErr w:type="spellEnd"/>
      <w:r w:rsidRPr="009054AD">
        <w:rPr>
          <w:color w:val="000000" w:themeColor="text1"/>
        </w:rPr>
        <w:t xml:space="preserve"> as a risk factor for the development of disordered eating symptoms, such that anxiety around how one appears to others may lead to excessive preoccupation with appearance and body image that, in turn, heightens the risk for developing symptoms of disordered eating. </w:t>
      </w:r>
    </w:p>
    <w:p w14:paraId="556582FD" w14:textId="42D17C4A" w:rsidR="0082611C" w:rsidRPr="009054AD" w:rsidRDefault="0082611C" w:rsidP="00943629">
      <w:pPr>
        <w:pStyle w:val="MDPI31text"/>
        <w:rPr>
          <w:color w:val="000000" w:themeColor="text1"/>
        </w:rPr>
      </w:pPr>
      <w:r w:rsidRPr="009054AD">
        <w:rPr>
          <w:color w:val="000000" w:themeColor="text1"/>
        </w:rPr>
        <w:t xml:space="preserve">Another possibility is that excessive social anxiety may be secondary to symptoms of disordered eating (i.e., a consequence of disordered eating psychopathology). For instance, it may be that individuals who are high in symptoms of disordered eating are more likely to interpret social situations or relationships as threatening or unmanageable, leading to excessive social anxiety (Ansell et al., 2012). While our data are cross-sectional and cannot distinguish between these theoretical accounts, other work examining the temporal relations between social anxiety and disordered eating symptoms have generally lent support to the notion that social anxiety precedes the development of symptoms of disordered eating (e.g., </w:t>
      </w:r>
      <w:proofErr w:type="spellStart"/>
      <w:r w:rsidRPr="009054AD">
        <w:rPr>
          <w:color w:val="000000" w:themeColor="text1"/>
        </w:rPr>
        <w:t>Godart</w:t>
      </w:r>
      <w:proofErr w:type="spellEnd"/>
      <w:r w:rsidRPr="009054AD">
        <w:rPr>
          <w:color w:val="000000" w:themeColor="text1"/>
        </w:rPr>
        <w:t xml:space="preserve"> et al., 2000; </w:t>
      </w:r>
      <w:proofErr w:type="spellStart"/>
      <w:r w:rsidRPr="009054AD">
        <w:rPr>
          <w:color w:val="000000" w:themeColor="text1"/>
        </w:rPr>
        <w:t>Swinbourne</w:t>
      </w:r>
      <w:proofErr w:type="spellEnd"/>
      <w:r w:rsidRPr="009054AD">
        <w:rPr>
          <w:color w:val="000000" w:themeColor="text1"/>
        </w:rPr>
        <w:t xml:space="preserve"> et al., 2012).</w:t>
      </w:r>
    </w:p>
    <w:p w14:paraId="325EFB6D" w14:textId="32CEBE2F" w:rsidR="0082611C" w:rsidRPr="009054AD" w:rsidRDefault="0082611C" w:rsidP="00943629">
      <w:pPr>
        <w:pStyle w:val="MDPI31text"/>
        <w:rPr>
          <w:color w:val="000000" w:themeColor="text1"/>
        </w:rPr>
      </w:pPr>
      <w:r w:rsidRPr="009054AD">
        <w:rPr>
          <w:color w:val="000000" w:themeColor="text1"/>
        </w:rPr>
        <w:t xml:space="preserve">A not unrelated possibility is that excessive social anxiety – and schizotypal facets more generally – may share common vulnerability factors with symptoms of disordered eating. For instance, it may be that there are factors that increase vulnerability to both excessive social anxiety and symptoms of disordered eating. One such factor is perfectionism, which has been found to significantly elevated in both individuals with eating disorders and social anxiety disorder (Lloyd et al., 2014). Indeed, perfectionism has been found to be significantly associated with both social anxiety and disordered eating symptoms in non-clinical women (Levinson &amp; </w:t>
      </w:r>
      <w:proofErr w:type="spellStart"/>
      <w:r w:rsidRPr="009054AD">
        <w:rPr>
          <w:color w:val="000000" w:themeColor="text1"/>
        </w:rPr>
        <w:t>Rodebaugh</w:t>
      </w:r>
      <w:proofErr w:type="spellEnd"/>
      <w:r w:rsidRPr="009054AD">
        <w:rPr>
          <w:color w:val="000000" w:themeColor="text1"/>
        </w:rPr>
        <w:t xml:space="preserve">, 2016). The cross-sectional nature of the present study means that we cannot rule out any of these possibilities, although it seems possible that all routes will shape the incidence of disordered eating in women to a lesser or greater degree. Furthermore, it should be noted that the variance explained by all schizotypal facets in the regressions was generally low (Adj. </w:t>
      </w:r>
      <w:r w:rsidRPr="009054AD">
        <w:rPr>
          <w:i/>
          <w:color w:val="000000" w:themeColor="text1"/>
        </w:rPr>
        <w:t>R</w:t>
      </w:r>
      <w:r w:rsidRPr="009054AD">
        <w:rPr>
          <w:color w:val="000000" w:themeColor="text1"/>
          <w:vertAlign w:val="superscript"/>
        </w:rPr>
        <w:t>2</w:t>
      </w:r>
      <w:r w:rsidRPr="009054AD">
        <w:rPr>
          <w:color w:val="000000" w:themeColor="text1"/>
        </w:rPr>
        <w:t xml:space="preserve"> = .05-.14), suggestive of weak predictive associations.</w:t>
      </w:r>
    </w:p>
    <w:p w14:paraId="00E0646F" w14:textId="124892D4" w:rsidR="0082611C" w:rsidRPr="009054AD" w:rsidRDefault="0082611C" w:rsidP="00407571">
      <w:pPr>
        <w:pStyle w:val="MDPI31text"/>
        <w:rPr>
          <w:color w:val="000000" w:themeColor="text1"/>
        </w:rPr>
      </w:pPr>
      <w:r w:rsidRPr="009054AD">
        <w:rPr>
          <w:color w:val="000000" w:themeColor="text1"/>
        </w:rPr>
        <w:t xml:space="preserve">One limitation of the present work was the reliance on an online sample of women across a wide age range, which may mean that our findings lack </w:t>
      </w:r>
      <w:proofErr w:type="spellStart"/>
      <w:r w:rsidRPr="009054AD">
        <w:rPr>
          <w:color w:val="000000" w:themeColor="text1"/>
        </w:rPr>
        <w:t>generalisability</w:t>
      </w:r>
      <w:proofErr w:type="spellEnd"/>
      <w:r w:rsidRPr="009054AD">
        <w:rPr>
          <w:color w:val="000000" w:themeColor="text1"/>
        </w:rPr>
        <w:t xml:space="preserve">. Indeed, our findings should be considered limited to women from the United States, and replications of our findings in other cultural contexts may be useful. In a similar vein, it would be useful to examine the extent to which the present findings are robust when samples of men are included. In addition, the present study </w:t>
      </w:r>
      <w:proofErr w:type="spellStart"/>
      <w:r w:rsidRPr="009054AD">
        <w:rPr>
          <w:color w:val="000000" w:themeColor="text1"/>
        </w:rPr>
        <w:t>operationalised</w:t>
      </w:r>
      <w:proofErr w:type="spellEnd"/>
      <w:r w:rsidRPr="009054AD">
        <w:rPr>
          <w:color w:val="000000" w:themeColor="text1"/>
        </w:rPr>
        <w:t xml:space="preserve"> </w:t>
      </w:r>
      <w:proofErr w:type="spellStart"/>
      <w:r w:rsidRPr="009054AD">
        <w:rPr>
          <w:color w:val="000000" w:themeColor="text1"/>
        </w:rPr>
        <w:t>schizotypy</w:t>
      </w:r>
      <w:proofErr w:type="spellEnd"/>
      <w:r w:rsidRPr="009054AD">
        <w:rPr>
          <w:color w:val="000000" w:themeColor="text1"/>
        </w:rPr>
        <w:t xml:space="preserve"> using the SPQ and, although this is a widely-used measure, there may be some utility in using more recent measures of multidimensional schizotypy in future research (e.g., </w:t>
      </w:r>
      <w:proofErr w:type="spellStart"/>
      <w:r w:rsidRPr="009054AD">
        <w:rPr>
          <w:color w:val="000000" w:themeColor="text1"/>
        </w:rPr>
        <w:t>Kwapil</w:t>
      </w:r>
      <w:proofErr w:type="spellEnd"/>
      <w:r w:rsidRPr="009054AD">
        <w:rPr>
          <w:color w:val="000000" w:themeColor="text1"/>
        </w:rPr>
        <w:t xml:space="preserve"> et al., 2018).</w:t>
      </w:r>
      <w:r w:rsidR="006D5FFD">
        <w:rPr>
          <w:color w:val="000000" w:themeColor="text1"/>
        </w:rPr>
        <w:t xml:space="preserve"> Additionally, because we did not assess other comorbidities </w:t>
      </w:r>
      <w:r w:rsidR="00407571">
        <w:rPr>
          <w:color w:val="000000" w:themeColor="text1"/>
        </w:rPr>
        <w:t xml:space="preserve">that are known to co-co-occur with eating disorders </w:t>
      </w:r>
      <w:r w:rsidR="006D5FFD">
        <w:rPr>
          <w:color w:val="000000" w:themeColor="text1"/>
        </w:rPr>
        <w:t>(e.g., obsessive-compulsive disorder)</w:t>
      </w:r>
      <w:r w:rsidR="00407571">
        <w:rPr>
          <w:color w:val="000000" w:themeColor="text1"/>
        </w:rPr>
        <w:t xml:space="preserve"> or early onset psychosis, these may have acted as natural confounds in our analyses. </w:t>
      </w:r>
      <w:r w:rsidR="006D5FFD">
        <w:rPr>
          <w:color w:val="000000" w:themeColor="text1"/>
        </w:rPr>
        <w:t>In a similar vein</w:t>
      </w:r>
      <w:r w:rsidRPr="009054AD">
        <w:rPr>
          <w:color w:val="000000" w:themeColor="text1"/>
        </w:rPr>
        <w:t>, given the focus of the present study on direct associations between schizotypal facets and symptoms of disordered eating, we did not include additional variables that may mediate relationships reported here. In future work, there may be value in including such mediating variables, as this would help scholars better understand possible mechanistic pathways that lead from excessive social anxiety and schizotypy more generally to symptoms of disordered eating.</w:t>
      </w:r>
    </w:p>
    <w:p w14:paraId="3B79B604" w14:textId="66FF4083" w:rsidR="0082611C" w:rsidRPr="009054AD" w:rsidRDefault="00943629" w:rsidP="00943629">
      <w:pPr>
        <w:pStyle w:val="MDPI21heading1"/>
        <w:rPr>
          <w:color w:val="000000" w:themeColor="text1"/>
        </w:rPr>
      </w:pPr>
      <w:r w:rsidRPr="009054AD">
        <w:rPr>
          <w:color w:val="000000" w:themeColor="text1"/>
        </w:rPr>
        <w:t xml:space="preserve">5. </w:t>
      </w:r>
      <w:r w:rsidR="0082611C" w:rsidRPr="009054AD">
        <w:rPr>
          <w:color w:val="000000" w:themeColor="text1"/>
        </w:rPr>
        <w:t>Conclusions</w:t>
      </w:r>
    </w:p>
    <w:p w14:paraId="1A97D47B" w14:textId="06BE2730" w:rsidR="0082611C" w:rsidRPr="0082611C" w:rsidRDefault="0082611C" w:rsidP="00802FED">
      <w:pPr>
        <w:pStyle w:val="MDPI31text"/>
      </w:pPr>
      <w:r w:rsidRPr="009054AD">
        <w:rPr>
          <w:color w:val="000000" w:themeColor="text1"/>
        </w:rPr>
        <w:t>Despite these limitations, our results help clarify earlier reports that schizotypy is elevated in women with disordered eating symptomatology (</w:t>
      </w:r>
      <w:proofErr w:type="spellStart"/>
      <w:r w:rsidRPr="009054AD">
        <w:rPr>
          <w:color w:val="000000" w:themeColor="text1"/>
        </w:rPr>
        <w:t>Bremser</w:t>
      </w:r>
      <w:proofErr w:type="spellEnd"/>
      <w:r w:rsidRPr="009054AD">
        <w:rPr>
          <w:color w:val="000000" w:themeColor="text1"/>
        </w:rPr>
        <w:t xml:space="preserve"> &amp; Gallup, 2012; </w:t>
      </w:r>
      <w:proofErr w:type="spellStart"/>
      <w:r w:rsidRPr="009054AD">
        <w:rPr>
          <w:color w:val="000000" w:themeColor="text1"/>
        </w:rPr>
        <w:t>Raynal</w:t>
      </w:r>
      <w:proofErr w:type="spellEnd"/>
      <w:r w:rsidRPr="009054AD">
        <w:rPr>
          <w:color w:val="000000" w:themeColor="text1"/>
        </w:rPr>
        <w:t xml:space="preserve"> et al., 2016). Specifically, our results suggest that it is the schizotypal feature of excessive social anxiety that may most prominently place women at heightened risk for symptoms of disordered eating. Future studies could extend our work through the use of longitudinal designs that test the causational effects of multidimensional schizotypy on </w:t>
      </w:r>
      <w:r w:rsidRPr="009054AD">
        <w:rPr>
          <w:color w:val="000000" w:themeColor="text1"/>
        </w:rPr>
        <w:lastRenderedPageBreak/>
        <w:t xml:space="preserve">symptoms of disordered eating. Additionally, future research would do well to better understand the role that schizotypal facets other than excessive social anxiety play in the </w:t>
      </w:r>
      <w:proofErr w:type="spellStart"/>
      <w:r w:rsidRPr="009054AD">
        <w:rPr>
          <w:color w:val="000000" w:themeColor="text1"/>
        </w:rPr>
        <w:t>aetiology</w:t>
      </w:r>
      <w:proofErr w:type="spellEnd"/>
      <w:r w:rsidRPr="009054AD">
        <w:rPr>
          <w:color w:val="000000" w:themeColor="text1"/>
        </w:rPr>
        <w:t xml:space="preserve"> of symptoms of disordered eating. To the extent that these facets play a role in the course and treatment outcomes of disordered eating symptoms, further research in this area would be vital for generating new insights into illness pathways and possible transdiagnostic factors</w:t>
      </w:r>
      <w:r w:rsidR="00D64792">
        <w:rPr>
          <w:color w:val="000000" w:themeColor="text1"/>
        </w:rPr>
        <w:t>.</w:t>
      </w:r>
    </w:p>
    <w:p w14:paraId="4DBF3C90" w14:textId="77777777" w:rsidR="0082611C" w:rsidRPr="009054AD" w:rsidRDefault="0082611C" w:rsidP="00943629">
      <w:pPr>
        <w:pStyle w:val="MDPI21heading1"/>
        <w:ind w:left="0"/>
        <w:rPr>
          <w:color w:val="000000" w:themeColor="text1"/>
        </w:rPr>
      </w:pPr>
      <w:r w:rsidRPr="009054AD">
        <w:rPr>
          <w:color w:val="000000" w:themeColor="text1"/>
        </w:rPr>
        <w:t>References</w:t>
      </w:r>
    </w:p>
    <w:p w14:paraId="3C833DE6" w14:textId="77777777" w:rsidR="0082611C" w:rsidRPr="009054AD" w:rsidRDefault="0082611C" w:rsidP="00943629">
      <w:pPr>
        <w:pStyle w:val="MDPI71References"/>
        <w:numPr>
          <w:ilvl w:val="0"/>
          <w:numId w:val="32"/>
        </w:numPr>
        <w:rPr>
          <w:color w:val="000000" w:themeColor="text1"/>
        </w:rPr>
      </w:pPr>
      <w:bookmarkStart w:id="1" w:name="_Hlk495920062"/>
      <w:r w:rsidRPr="009054AD">
        <w:rPr>
          <w:color w:val="000000" w:themeColor="text1"/>
        </w:rPr>
        <w:t xml:space="preserve">American Psychiatric Association. (2013). </w:t>
      </w:r>
      <w:r w:rsidRPr="009054AD">
        <w:rPr>
          <w:i/>
          <w:iCs/>
          <w:color w:val="000000" w:themeColor="text1"/>
        </w:rPr>
        <w:t>Diagnostic and Statistical Manual of Mental Disorders</w:t>
      </w:r>
      <w:r w:rsidRPr="009054AD">
        <w:rPr>
          <w:color w:val="000000" w:themeColor="text1"/>
        </w:rPr>
        <w:t xml:space="preserve"> (5</w:t>
      </w:r>
      <w:r w:rsidRPr="009054AD">
        <w:rPr>
          <w:color w:val="000000" w:themeColor="text1"/>
          <w:vertAlign w:val="superscript"/>
        </w:rPr>
        <w:t>th</w:t>
      </w:r>
      <w:r w:rsidRPr="009054AD">
        <w:rPr>
          <w:color w:val="000000" w:themeColor="text1"/>
        </w:rPr>
        <w:t xml:space="preserve"> ed.). American Psychiatric Publishing. </w:t>
      </w:r>
    </w:p>
    <w:p w14:paraId="11EA7560"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Ansell, E. B., </w:t>
      </w:r>
      <w:proofErr w:type="spellStart"/>
      <w:r w:rsidRPr="009054AD">
        <w:rPr>
          <w:color w:val="000000" w:themeColor="text1"/>
        </w:rPr>
        <w:t>Grilo</w:t>
      </w:r>
      <w:proofErr w:type="spellEnd"/>
      <w:r w:rsidRPr="009054AD">
        <w:rPr>
          <w:color w:val="000000" w:themeColor="text1"/>
        </w:rPr>
        <w:t xml:space="preserve">, C. M., &amp; White, M. (2012). Examining the interpersonal model of binge eating and loss of control over eating in women. </w:t>
      </w:r>
      <w:r w:rsidRPr="009054AD">
        <w:rPr>
          <w:i/>
          <w:color w:val="000000" w:themeColor="text1"/>
        </w:rPr>
        <w:t>International Journal of Eating Disorders</w:t>
      </w:r>
      <w:r w:rsidRPr="009054AD">
        <w:rPr>
          <w:color w:val="000000" w:themeColor="text1"/>
        </w:rPr>
        <w:t xml:space="preserve">, </w:t>
      </w:r>
      <w:r w:rsidRPr="009054AD">
        <w:rPr>
          <w:i/>
          <w:color w:val="000000" w:themeColor="text1"/>
        </w:rPr>
        <w:t>43</w:t>
      </w:r>
      <w:r w:rsidRPr="009054AD">
        <w:rPr>
          <w:iCs/>
          <w:color w:val="000000" w:themeColor="text1"/>
        </w:rPr>
        <w:t>(4)</w:t>
      </w:r>
      <w:r w:rsidRPr="009054AD">
        <w:rPr>
          <w:color w:val="000000" w:themeColor="text1"/>
        </w:rPr>
        <w:t xml:space="preserve">, 43-50. </w:t>
      </w:r>
      <w:hyperlink r:id="rId8" w:history="1">
        <w:r w:rsidRPr="009054AD">
          <w:rPr>
            <w:rStyle w:val="Hyperlink"/>
            <w:color w:val="000000" w:themeColor="text1"/>
          </w:rPr>
          <w:t>https://doi.org/10.1002/eat.20987</w:t>
        </w:r>
      </w:hyperlink>
    </w:p>
    <w:p w14:paraId="6AA5AF07" w14:textId="77777777" w:rsidR="0082611C" w:rsidRPr="009054AD" w:rsidRDefault="0082611C" w:rsidP="00943629">
      <w:pPr>
        <w:pStyle w:val="MDPI71References"/>
        <w:numPr>
          <w:ilvl w:val="0"/>
          <w:numId w:val="32"/>
        </w:numPr>
        <w:rPr>
          <w:color w:val="000000" w:themeColor="text1"/>
          <w:u w:val="single"/>
        </w:rPr>
      </w:pPr>
      <w:proofErr w:type="spellStart"/>
      <w:r w:rsidRPr="009054AD">
        <w:rPr>
          <w:color w:val="000000" w:themeColor="text1"/>
        </w:rPr>
        <w:t>Arcelus</w:t>
      </w:r>
      <w:proofErr w:type="spellEnd"/>
      <w:r w:rsidRPr="009054AD">
        <w:rPr>
          <w:color w:val="000000" w:themeColor="text1"/>
        </w:rPr>
        <w:t xml:space="preserve">, J., Mitchell, A. J., Wells, J., &amp; Nielsen, S. (2011). Mortality rates in patients with anorexia nervosa and other eating disorders: A meta-analysis of 36 studies. </w:t>
      </w:r>
      <w:r w:rsidRPr="009054AD">
        <w:rPr>
          <w:i/>
          <w:iCs/>
          <w:color w:val="000000" w:themeColor="text1"/>
        </w:rPr>
        <w:t>Archives of General Psychiatry</w:t>
      </w:r>
      <w:r w:rsidRPr="009054AD">
        <w:rPr>
          <w:color w:val="000000" w:themeColor="text1"/>
        </w:rPr>
        <w:t xml:space="preserve">, </w:t>
      </w:r>
      <w:r w:rsidRPr="009054AD">
        <w:rPr>
          <w:i/>
          <w:iCs/>
          <w:color w:val="000000" w:themeColor="text1"/>
        </w:rPr>
        <w:t>68</w:t>
      </w:r>
      <w:r w:rsidRPr="009054AD">
        <w:rPr>
          <w:color w:val="000000" w:themeColor="text1"/>
        </w:rPr>
        <w:t xml:space="preserve">(7), 724-731. </w:t>
      </w:r>
      <w:hyperlink r:id="rId9" w:history="1">
        <w:r w:rsidRPr="009054AD">
          <w:rPr>
            <w:rStyle w:val="Hyperlink"/>
            <w:color w:val="000000" w:themeColor="text1"/>
          </w:rPr>
          <w:t>https://doi.org/10.1001/archgenpsychiatry.2011.74</w:t>
        </w:r>
      </w:hyperlink>
    </w:p>
    <w:p w14:paraId="7138807F"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Asai</w:t>
      </w:r>
      <w:proofErr w:type="spellEnd"/>
      <w:r w:rsidRPr="009054AD">
        <w:rPr>
          <w:color w:val="000000" w:themeColor="text1"/>
        </w:rPr>
        <w:t xml:space="preserve">, T., Mao, Z., </w:t>
      </w:r>
      <w:proofErr w:type="spellStart"/>
      <w:r w:rsidRPr="009054AD">
        <w:rPr>
          <w:color w:val="000000" w:themeColor="text1"/>
        </w:rPr>
        <w:t>Sugimori</w:t>
      </w:r>
      <w:proofErr w:type="spellEnd"/>
      <w:r w:rsidRPr="009054AD">
        <w:rPr>
          <w:color w:val="000000" w:themeColor="text1"/>
        </w:rPr>
        <w:t xml:space="preserve">, E., &amp; </w:t>
      </w:r>
      <w:proofErr w:type="spellStart"/>
      <w:r w:rsidRPr="009054AD">
        <w:rPr>
          <w:color w:val="000000" w:themeColor="text1"/>
        </w:rPr>
        <w:t>Tanno</w:t>
      </w:r>
      <w:proofErr w:type="spellEnd"/>
      <w:r w:rsidRPr="009054AD">
        <w:rPr>
          <w:color w:val="000000" w:themeColor="text1"/>
        </w:rPr>
        <w:t xml:space="preserve">, Y. (2011). Rubber hand illusion, empathy, and schizotypal experiences in terms of self-other representations. </w:t>
      </w:r>
      <w:r w:rsidRPr="009054AD">
        <w:rPr>
          <w:i/>
          <w:iCs/>
          <w:color w:val="000000" w:themeColor="text1"/>
        </w:rPr>
        <w:t>Consciousness and Cognition</w:t>
      </w:r>
      <w:r w:rsidRPr="009054AD">
        <w:rPr>
          <w:color w:val="000000" w:themeColor="text1"/>
        </w:rPr>
        <w:t xml:space="preserve">, </w:t>
      </w:r>
      <w:r w:rsidRPr="009054AD">
        <w:rPr>
          <w:i/>
          <w:iCs/>
          <w:color w:val="000000" w:themeColor="text1"/>
        </w:rPr>
        <w:t>20</w:t>
      </w:r>
      <w:r w:rsidRPr="009054AD">
        <w:rPr>
          <w:color w:val="000000" w:themeColor="text1"/>
        </w:rPr>
        <w:t xml:space="preserve">(4), 1744-1750. </w:t>
      </w:r>
      <w:hyperlink r:id="rId10" w:history="1">
        <w:r w:rsidRPr="009054AD">
          <w:rPr>
            <w:rStyle w:val="Hyperlink"/>
            <w:color w:val="000000" w:themeColor="text1"/>
          </w:rPr>
          <w:t>https://doi.org/10.1016/j.concog.2011.02.005</w:t>
        </w:r>
      </w:hyperlink>
    </w:p>
    <w:p w14:paraId="1FA689FD"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Atiye</w:t>
      </w:r>
      <w:proofErr w:type="spellEnd"/>
      <w:r w:rsidRPr="009054AD">
        <w:rPr>
          <w:color w:val="000000" w:themeColor="text1"/>
        </w:rPr>
        <w:t xml:space="preserve">, M., </w:t>
      </w:r>
      <w:proofErr w:type="spellStart"/>
      <w:r w:rsidRPr="009054AD">
        <w:rPr>
          <w:color w:val="000000" w:themeColor="text1"/>
        </w:rPr>
        <w:t>Miettunen</w:t>
      </w:r>
      <w:proofErr w:type="spellEnd"/>
      <w:r w:rsidRPr="009054AD">
        <w:rPr>
          <w:color w:val="000000" w:themeColor="text1"/>
        </w:rPr>
        <w:t xml:space="preserve">, J., &amp; </w:t>
      </w:r>
      <w:proofErr w:type="spellStart"/>
      <w:r w:rsidRPr="009054AD">
        <w:rPr>
          <w:color w:val="000000" w:themeColor="text1"/>
        </w:rPr>
        <w:t>Raevuori-Helkamaa</w:t>
      </w:r>
      <w:proofErr w:type="spellEnd"/>
      <w:r w:rsidRPr="009054AD">
        <w:rPr>
          <w:color w:val="000000" w:themeColor="text1"/>
        </w:rPr>
        <w:t xml:space="preserve">, A. (2015). A meta-analysis of temperament in eating disorders. </w:t>
      </w:r>
      <w:r w:rsidRPr="009054AD">
        <w:rPr>
          <w:i/>
          <w:iCs/>
          <w:color w:val="000000" w:themeColor="text1"/>
        </w:rPr>
        <w:t>European Eating Disorders Review</w:t>
      </w:r>
      <w:r w:rsidRPr="009054AD">
        <w:rPr>
          <w:color w:val="000000" w:themeColor="text1"/>
        </w:rPr>
        <w:t xml:space="preserve">, </w:t>
      </w:r>
      <w:r w:rsidRPr="009054AD">
        <w:rPr>
          <w:i/>
          <w:iCs/>
          <w:color w:val="000000" w:themeColor="text1"/>
        </w:rPr>
        <w:t>23</w:t>
      </w:r>
      <w:r w:rsidRPr="009054AD">
        <w:rPr>
          <w:color w:val="000000" w:themeColor="text1"/>
        </w:rPr>
        <w:t xml:space="preserve">(2), 89-99. </w:t>
      </w:r>
      <w:hyperlink r:id="rId11" w:history="1">
        <w:r w:rsidRPr="009054AD">
          <w:rPr>
            <w:rStyle w:val="Hyperlink"/>
            <w:color w:val="000000" w:themeColor="text1"/>
          </w:rPr>
          <w:t>https://doi.org/10.1002/erv.2342</w:t>
        </w:r>
      </w:hyperlink>
    </w:p>
    <w:p w14:paraId="53088082" w14:textId="77777777" w:rsidR="0082611C" w:rsidRPr="009054AD" w:rsidRDefault="0082611C" w:rsidP="00943629">
      <w:pPr>
        <w:pStyle w:val="MDPI71References"/>
        <w:numPr>
          <w:ilvl w:val="0"/>
          <w:numId w:val="32"/>
        </w:numPr>
        <w:rPr>
          <w:rFonts w:eastAsia="Calibri"/>
          <w:color w:val="000000" w:themeColor="text1"/>
          <w:u w:val="single"/>
        </w:rPr>
      </w:pPr>
      <w:r w:rsidRPr="009054AD">
        <w:rPr>
          <w:rFonts w:eastAsia="Calibri"/>
          <w:color w:val="000000" w:themeColor="text1"/>
        </w:rPr>
        <w:t xml:space="preserve">Baumeister, D., Sedgwick, O., Howes, O., &amp; Peters, E. (2017). Auditory verbal hallucinations and continuum models of psychosis: A systematic review of the healthy voice-hearer literature. </w:t>
      </w:r>
      <w:r w:rsidRPr="009054AD">
        <w:rPr>
          <w:rFonts w:eastAsia="Calibri"/>
          <w:i/>
          <w:color w:val="000000" w:themeColor="text1"/>
        </w:rPr>
        <w:t>Clinical Psychology Review, 51</w:t>
      </w:r>
      <w:r w:rsidRPr="009054AD">
        <w:rPr>
          <w:rFonts w:eastAsia="Calibri"/>
          <w:color w:val="000000" w:themeColor="text1"/>
        </w:rPr>
        <w:t xml:space="preserve">, 125-141. </w:t>
      </w:r>
      <w:hyperlink r:id="rId12" w:history="1">
        <w:r w:rsidRPr="009054AD">
          <w:rPr>
            <w:rStyle w:val="Hyperlink"/>
            <w:rFonts w:eastAsia="Calibri"/>
            <w:color w:val="000000" w:themeColor="text1"/>
          </w:rPr>
          <w:t>https://doi.org/10.1016/j.cpr.2016.10.010</w:t>
        </w:r>
      </w:hyperlink>
    </w:p>
    <w:p w14:paraId="0836CDA7" w14:textId="77777777" w:rsidR="0082611C" w:rsidRPr="009054AD" w:rsidRDefault="0082611C" w:rsidP="00943629">
      <w:pPr>
        <w:pStyle w:val="MDPI71References"/>
        <w:numPr>
          <w:ilvl w:val="0"/>
          <w:numId w:val="32"/>
        </w:numPr>
        <w:rPr>
          <w:rFonts w:eastAsia="Calibri"/>
          <w:color w:val="000000" w:themeColor="text1"/>
          <w:u w:val="single"/>
        </w:rPr>
      </w:pPr>
      <w:r w:rsidRPr="009054AD">
        <w:rPr>
          <w:rFonts w:eastAsia="Calibri"/>
          <w:color w:val="000000" w:themeColor="text1"/>
        </w:rPr>
        <w:t xml:space="preserve">Bleuler, E. (1924). </w:t>
      </w:r>
      <w:r w:rsidRPr="009054AD">
        <w:rPr>
          <w:rFonts w:eastAsia="Calibri"/>
          <w:i/>
          <w:iCs/>
          <w:color w:val="000000" w:themeColor="text1"/>
        </w:rPr>
        <w:t>Textbook of psychiatry</w:t>
      </w:r>
      <w:r w:rsidRPr="009054AD">
        <w:rPr>
          <w:rFonts w:eastAsia="Calibri"/>
          <w:color w:val="000000" w:themeColor="text1"/>
        </w:rPr>
        <w:t xml:space="preserve">. Macmillan Co. </w:t>
      </w:r>
    </w:p>
    <w:p w14:paraId="397C2BA7" w14:textId="77777777" w:rsidR="0082611C" w:rsidRPr="009054AD" w:rsidRDefault="0082611C" w:rsidP="00943629">
      <w:pPr>
        <w:pStyle w:val="MDPI71References"/>
        <w:numPr>
          <w:ilvl w:val="0"/>
          <w:numId w:val="32"/>
        </w:numPr>
        <w:rPr>
          <w:rFonts w:eastAsia="Calibri"/>
          <w:color w:val="000000" w:themeColor="text1"/>
        </w:rPr>
      </w:pPr>
      <w:proofErr w:type="spellStart"/>
      <w:r w:rsidRPr="009054AD">
        <w:rPr>
          <w:rFonts w:eastAsia="Calibri"/>
          <w:color w:val="000000" w:themeColor="text1"/>
        </w:rPr>
        <w:t>Bremser</w:t>
      </w:r>
      <w:proofErr w:type="spellEnd"/>
      <w:r w:rsidRPr="009054AD">
        <w:rPr>
          <w:rFonts w:eastAsia="Calibri"/>
          <w:color w:val="000000" w:themeColor="text1"/>
        </w:rPr>
        <w:t xml:space="preserve">, J. A., &amp; Gallup, G. G., Jr. (2012). From one extreme to the other: Negative evaluation anxiety and disordered eating as candidates for the extreme female brain. </w:t>
      </w:r>
      <w:r w:rsidRPr="009054AD">
        <w:rPr>
          <w:rFonts w:eastAsia="Calibri"/>
          <w:i/>
          <w:iCs/>
          <w:color w:val="000000" w:themeColor="text1"/>
        </w:rPr>
        <w:t>Evolutionary Psychology</w:t>
      </w:r>
      <w:r w:rsidRPr="009054AD">
        <w:rPr>
          <w:rFonts w:eastAsia="Calibri"/>
          <w:color w:val="000000" w:themeColor="text1"/>
        </w:rPr>
        <w:t xml:space="preserve">, </w:t>
      </w:r>
      <w:r w:rsidRPr="009054AD">
        <w:rPr>
          <w:rFonts w:eastAsia="Calibri"/>
          <w:i/>
          <w:iCs/>
          <w:color w:val="000000" w:themeColor="text1"/>
        </w:rPr>
        <w:t>10</w:t>
      </w:r>
      <w:r w:rsidRPr="009054AD">
        <w:rPr>
          <w:rFonts w:eastAsia="Calibri"/>
          <w:color w:val="000000" w:themeColor="text1"/>
        </w:rPr>
        <w:t xml:space="preserve">(3), 457-486. </w:t>
      </w:r>
      <w:hyperlink r:id="rId13" w:history="1">
        <w:r w:rsidRPr="009054AD">
          <w:rPr>
            <w:rStyle w:val="Hyperlink"/>
            <w:rFonts w:eastAsia="Calibri"/>
            <w:color w:val="000000" w:themeColor="text1"/>
          </w:rPr>
          <w:t>https://doi.org/10.1177/147470491201000306</w:t>
        </w:r>
      </w:hyperlink>
    </w:p>
    <w:p w14:paraId="6BA3710B" w14:textId="77777777" w:rsidR="0082611C" w:rsidRPr="009054AD" w:rsidRDefault="0082611C" w:rsidP="00943629">
      <w:pPr>
        <w:pStyle w:val="MDPI71References"/>
        <w:numPr>
          <w:ilvl w:val="0"/>
          <w:numId w:val="32"/>
        </w:numPr>
        <w:rPr>
          <w:rFonts w:eastAsia="Calibri"/>
          <w:color w:val="000000" w:themeColor="text1"/>
        </w:rPr>
      </w:pPr>
      <w:r w:rsidRPr="009054AD">
        <w:rPr>
          <w:color w:val="000000" w:themeColor="text1"/>
        </w:rPr>
        <w:t xml:space="preserve">Cassin, S. E., &amp; von </w:t>
      </w:r>
      <w:proofErr w:type="spellStart"/>
      <w:r w:rsidRPr="009054AD">
        <w:rPr>
          <w:color w:val="000000" w:themeColor="text1"/>
        </w:rPr>
        <w:t>Ranson</w:t>
      </w:r>
      <w:proofErr w:type="spellEnd"/>
      <w:r w:rsidRPr="009054AD">
        <w:rPr>
          <w:color w:val="000000" w:themeColor="text1"/>
        </w:rPr>
        <w:t xml:space="preserve">, K. M. (2005). Personality and eating disorders: A decade in review. </w:t>
      </w:r>
      <w:r w:rsidRPr="009054AD">
        <w:rPr>
          <w:i/>
          <w:color w:val="000000" w:themeColor="text1"/>
        </w:rPr>
        <w:t>Clinical Psychology Review</w:t>
      </w:r>
      <w:r w:rsidRPr="009054AD">
        <w:rPr>
          <w:color w:val="000000" w:themeColor="text1"/>
        </w:rPr>
        <w:t xml:space="preserve">, </w:t>
      </w:r>
      <w:r w:rsidRPr="009054AD">
        <w:rPr>
          <w:i/>
          <w:color w:val="000000" w:themeColor="text1"/>
        </w:rPr>
        <w:t>25</w:t>
      </w:r>
      <w:r w:rsidRPr="009054AD">
        <w:rPr>
          <w:iCs/>
          <w:color w:val="000000" w:themeColor="text1"/>
        </w:rPr>
        <w:t>(7)</w:t>
      </w:r>
      <w:r w:rsidRPr="009054AD">
        <w:rPr>
          <w:color w:val="000000" w:themeColor="text1"/>
        </w:rPr>
        <w:t xml:space="preserve">, 895-916. </w:t>
      </w:r>
      <w:hyperlink r:id="rId14" w:history="1">
        <w:r w:rsidRPr="009054AD">
          <w:rPr>
            <w:rStyle w:val="Hyperlink"/>
            <w:color w:val="000000" w:themeColor="text1"/>
          </w:rPr>
          <w:t>https://doi.org/10.1016/j.cpr.2005.04.012</w:t>
        </w:r>
      </w:hyperlink>
    </w:p>
    <w:p w14:paraId="7834A8DB"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Claes, L., </w:t>
      </w:r>
      <w:proofErr w:type="spellStart"/>
      <w:r w:rsidRPr="009054AD">
        <w:rPr>
          <w:color w:val="000000" w:themeColor="text1"/>
        </w:rPr>
        <w:t>Nederkoorn</w:t>
      </w:r>
      <w:proofErr w:type="spellEnd"/>
      <w:r w:rsidRPr="009054AD">
        <w:rPr>
          <w:color w:val="000000" w:themeColor="text1"/>
        </w:rPr>
        <w:t xml:space="preserve">, C., </w:t>
      </w:r>
      <w:proofErr w:type="spellStart"/>
      <w:r w:rsidRPr="009054AD">
        <w:rPr>
          <w:color w:val="000000" w:themeColor="text1"/>
        </w:rPr>
        <w:t>Vandereycken</w:t>
      </w:r>
      <w:proofErr w:type="spellEnd"/>
      <w:r w:rsidRPr="009054AD">
        <w:rPr>
          <w:color w:val="000000" w:themeColor="text1"/>
        </w:rPr>
        <w:t xml:space="preserve">, W., </w:t>
      </w:r>
      <w:proofErr w:type="spellStart"/>
      <w:r w:rsidRPr="009054AD">
        <w:rPr>
          <w:color w:val="000000" w:themeColor="text1"/>
        </w:rPr>
        <w:t>Guerrieri</w:t>
      </w:r>
      <w:proofErr w:type="spellEnd"/>
      <w:r w:rsidRPr="009054AD">
        <w:rPr>
          <w:color w:val="000000" w:themeColor="text1"/>
        </w:rPr>
        <w:t xml:space="preserve">, R., &amp; </w:t>
      </w:r>
      <w:proofErr w:type="spellStart"/>
      <w:r w:rsidRPr="009054AD">
        <w:rPr>
          <w:color w:val="000000" w:themeColor="text1"/>
        </w:rPr>
        <w:t>Vertommen</w:t>
      </w:r>
      <w:proofErr w:type="spellEnd"/>
      <w:r w:rsidRPr="009054AD">
        <w:rPr>
          <w:color w:val="000000" w:themeColor="text1"/>
        </w:rPr>
        <w:t xml:space="preserve">, H. (2006). Impulsiveness and lack of inhibitory control in eating disorders. </w:t>
      </w:r>
      <w:r w:rsidRPr="009054AD">
        <w:rPr>
          <w:i/>
          <w:color w:val="000000" w:themeColor="text1"/>
        </w:rPr>
        <w:t>Eating Behavior</w:t>
      </w:r>
      <w:r w:rsidRPr="009054AD">
        <w:rPr>
          <w:color w:val="000000" w:themeColor="text1"/>
        </w:rPr>
        <w:t xml:space="preserve">, </w:t>
      </w:r>
      <w:r w:rsidRPr="009054AD">
        <w:rPr>
          <w:i/>
          <w:color w:val="000000" w:themeColor="text1"/>
        </w:rPr>
        <w:t>7</w:t>
      </w:r>
      <w:r w:rsidRPr="009054AD">
        <w:rPr>
          <w:iCs/>
          <w:color w:val="000000" w:themeColor="text1"/>
        </w:rPr>
        <w:t>(3)</w:t>
      </w:r>
      <w:r w:rsidRPr="009054AD">
        <w:rPr>
          <w:color w:val="000000" w:themeColor="text1"/>
        </w:rPr>
        <w:t xml:space="preserve">, 196-203. </w:t>
      </w:r>
      <w:hyperlink r:id="rId15" w:history="1">
        <w:r w:rsidRPr="009054AD">
          <w:rPr>
            <w:rStyle w:val="Hyperlink"/>
            <w:color w:val="000000" w:themeColor="text1"/>
          </w:rPr>
          <w:t>https://doi.org/10.1016/j.eatbeh.2006.05.001</w:t>
        </w:r>
      </w:hyperlink>
    </w:p>
    <w:p w14:paraId="173ECF20"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Clausen, L., </w:t>
      </w:r>
      <w:proofErr w:type="spellStart"/>
      <w:r w:rsidRPr="009054AD">
        <w:rPr>
          <w:color w:val="000000" w:themeColor="text1"/>
        </w:rPr>
        <w:t>Rosenvinge</w:t>
      </w:r>
      <w:proofErr w:type="spellEnd"/>
      <w:r w:rsidRPr="009054AD">
        <w:rPr>
          <w:color w:val="000000" w:themeColor="text1"/>
        </w:rPr>
        <w:t xml:space="preserve">, J. H., &amp; </w:t>
      </w:r>
      <w:proofErr w:type="spellStart"/>
      <w:r w:rsidRPr="009054AD">
        <w:rPr>
          <w:color w:val="000000" w:themeColor="text1"/>
        </w:rPr>
        <w:t>Friborg</w:t>
      </w:r>
      <w:proofErr w:type="spellEnd"/>
      <w:r w:rsidRPr="009054AD">
        <w:rPr>
          <w:color w:val="000000" w:themeColor="text1"/>
        </w:rPr>
        <w:t xml:space="preserve">, O. (2011). Validating the Eating Disorder Inventory-3 (EDI-3): A comparison between 561 female eating disorders patients and 878 females from the general population. </w:t>
      </w:r>
      <w:r w:rsidRPr="009054AD">
        <w:rPr>
          <w:i/>
          <w:color w:val="000000" w:themeColor="text1"/>
        </w:rPr>
        <w:t>Journal of Psychopathology and Behavioral Assessment</w:t>
      </w:r>
      <w:r w:rsidRPr="009054AD">
        <w:rPr>
          <w:color w:val="000000" w:themeColor="text1"/>
        </w:rPr>
        <w:t xml:space="preserve">, </w:t>
      </w:r>
      <w:r w:rsidRPr="009054AD">
        <w:rPr>
          <w:i/>
          <w:color w:val="000000" w:themeColor="text1"/>
        </w:rPr>
        <w:t>33</w:t>
      </w:r>
      <w:r w:rsidRPr="009054AD">
        <w:rPr>
          <w:color w:val="000000" w:themeColor="text1"/>
        </w:rPr>
        <w:t xml:space="preserve">, 101-110. </w:t>
      </w:r>
      <w:hyperlink r:id="rId16" w:history="1">
        <w:r w:rsidRPr="009054AD">
          <w:rPr>
            <w:rStyle w:val="Hyperlink"/>
            <w:color w:val="000000" w:themeColor="text1"/>
          </w:rPr>
          <w:t>https://doi.org/10.1007/s10862-010-9207-4</w:t>
        </w:r>
      </w:hyperlink>
    </w:p>
    <w:p w14:paraId="5F9CB1F3" w14:textId="77777777" w:rsidR="0082611C" w:rsidRPr="009054AD" w:rsidRDefault="0082611C" w:rsidP="00943629">
      <w:pPr>
        <w:pStyle w:val="MDPI71References"/>
        <w:numPr>
          <w:ilvl w:val="0"/>
          <w:numId w:val="32"/>
        </w:numPr>
        <w:rPr>
          <w:color w:val="000000" w:themeColor="text1"/>
        </w:rPr>
      </w:pPr>
      <w:proofErr w:type="spellStart"/>
      <w:r w:rsidRPr="009054AD">
        <w:rPr>
          <w:rFonts w:eastAsia="Calibri"/>
          <w:color w:val="000000" w:themeColor="text1"/>
        </w:rPr>
        <w:t>Debanné</w:t>
      </w:r>
      <w:proofErr w:type="spellEnd"/>
      <w:r w:rsidRPr="009054AD">
        <w:rPr>
          <w:rFonts w:eastAsia="Calibri"/>
          <w:color w:val="000000" w:themeColor="text1"/>
        </w:rPr>
        <w:t xml:space="preserve">, M., </w:t>
      </w:r>
      <w:proofErr w:type="spellStart"/>
      <w:r w:rsidRPr="009054AD">
        <w:rPr>
          <w:rFonts w:eastAsia="Calibri"/>
          <w:color w:val="000000" w:themeColor="text1"/>
        </w:rPr>
        <w:t>Eliez</w:t>
      </w:r>
      <w:proofErr w:type="spellEnd"/>
      <w:r w:rsidRPr="009054AD">
        <w:rPr>
          <w:rFonts w:eastAsia="Calibri"/>
          <w:color w:val="000000" w:themeColor="text1"/>
        </w:rPr>
        <w:t xml:space="preserve">, S., </w:t>
      </w:r>
      <w:proofErr w:type="spellStart"/>
      <w:r w:rsidRPr="009054AD">
        <w:rPr>
          <w:rFonts w:eastAsia="Calibri"/>
          <w:color w:val="000000" w:themeColor="text1"/>
        </w:rPr>
        <w:t>Badoud</w:t>
      </w:r>
      <w:proofErr w:type="spellEnd"/>
      <w:r w:rsidRPr="009054AD">
        <w:rPr>
          <w:rFonts w:eastAsia="Calibri"/>
          <w:color w:val="000000" w:themeColor="text1"/>
        </w:rPr>
        <w:t xml:space="preserve">, D., Conus, P., </w:t>
      </w:r>
      <w:proofErr w:type="spellStart"/>
      <w:r w:rsidRPr="009054AD">
        <w:rPr>
          <w:rFonts w:eastAsia="Calibri"/>
          <w:color w:val="000000" w:themeColor="text1"/>
        </w:rPr>
        <w:t>Flückiger</w:t>
      </w:r>
      <w:proofErr w:type="spellEnd"/>
      <w:r w:rsidRPr="009054AD">
        <w:rPr>
          <w:rFonts w:eastAsia="Calibri"/>
          <w:color w:val="000000" w:themeColor="text1"/>
        </w:rPr>
        <w:t>, R., &amp; Schultze-</w:t>
      </w:r>
      <w:proofErr w:type="spellStart"/>
      <w:r w:rsidRPr="009054AD">
        <w:rPr>
          <w:rFonts w:eastAsia="Calibri"/>
          <w:color w:val="000000" w:themeColor="text1"/>
        </w:rPr>
        <w:t>Lutter</w:t>
      </w:r>
      <w:proofErr w:type="spellEnd"/>
      <w:r w:rsidRPr="009054AD">
        <w:rPr>
          <w:rFonts w:eastAsia="Calibri"/>
          <w:color w:val="000000" w:themeColor="text1"/>
        </w:rPr>
        <w:t xml:space="preserve">, F. (2015). Developing psychosis and its risk states through the lens of schizotypy. </w:t>
      </w:r>
      <w:r w:rsidRPr="009054AD">
        <w:rPr>
          <w:rFonts w:eastAsia="Calibri"/>
          <w:i/>
          <w:color w:val="000000" w:themeColor="text1"/>
        </w:rPr>
        <w:t>Schizophrenia Bulletin</w:t>
      </w:r>
      <w:r w:rsidRPr="009054AD">
        <w:rPr>
          <w:rFonts w:eastAsia="Calibri"/>
          <w:color w:val="000000" w:themeColor="text1"/>
        </w:rPr>
        <w:t xml:space="preserve">, </w:t>
      </w:r>
      <w:r w:rsidRPr="009054AD">
        <w:rPr>
          <w:rFonts w:eastAsia="Calibri"/>
          <w:i/>
          <w:color w:val="000000" w:themeColor="text1"/>
        </w:rPr>
        <w:t>41</w:t>
      </w:r>
      <w:r w:rsidRPr="009054AD">
        <w:rPr>
          <w:rFonts w:eastAsia="Calibri"/>
          <w:iCs/>
          <w:color w:val="000000" w:themeColor="text1"/>
        </w:rPr>
        <w:t>(S2)</w:t>
      </w:r>
      <w:r w:rsidRPr="009054AD">
        <w:rPr>
          <w:rFonts w:eastAsia="Calibri"/>
          <w:color w:val="000000" w:themeColor="text1"/>
        </w:rPr>
        <w:t xml:space="preserve">, 396-407. </w:t>
      </w:r>
      <w:hyperlink r:id="rId17" w:history="1">
        <w:r w:rsidRPr="009054AD">
          <w:rPr>
            <w:rStyle w:val="Hyperlink"/>
            <w:rFonts w:eastAsia="Calibri"/>
            <w:color w:val="000000" w:themeColor="text1"/>
          </w:rPr>
          <w:t>https://doi.org/10.1093/schbul/sbu176</w:t>
        </w:r>
      </w:hyperlink>
    </w:p>
    <w:p w14:paraId="1963A161" w14:textId="77777777" w:rsidR="0082611C" w:rsidRPr="009054AD" w:rsidRDefault="0082611C" w:rsidP="00943629">
      <w:pPr>
        <w:pStyle w:val="MDPI71References"/>
        <w:numPr>
          <w:ilvl w:val="0"/>
          <w:numId w:val="32"/>
        </w:numPr>
        <w:rPr>
          <w:color w:val="000000" w:themeColor="text1"/>
        </w:rPr>
      </w:pPr>
      <w:r w:rsidRPr="009054AD">
        <w:rPr>
          <w:color w:val="000000" w:themeColor="text1"/>
        </w:rPr>
        <w:t>Fonseca-</w:t>
      </w:r>
      <w:proofErr w:type="spellStart"/>
      <w:r w:rsidRPr="009054AD">
        <w:rPr>
          <w:color w:val="000000" w:themeColor="text1"/>
        </w:rPr>
        <w:t>Pedrero</w:t>
      </w:r>
      <w:proofErr w:type="spellEnd"/>
      <w:r w:rsidRPr="009054AD">
        <w:rPr>
          <w:color w:val="000000" w:themeColor="text1"/>
        </w:rPr>
        <w:t xml:space="preserve">, E., &amp; </w:t>
      </w:r>
      <w:proofErr w:type="spellStart"/>
      <w:r w:rsidRPr="009054AD">
        <w:rPr>
          <w:color w:val="000000" w:themeColor="text1"/>
        </w:rPr>
        <w:t>Debanné</w:t>
      </w:r>
      <w:proofErr w:type="spellEnd"/>
      <w:r w:rsidRPr="009054AD">
        <w:rPr>
          <w:color w:val="000000" w:themeColor="text1"/>
        </w:rPr>
        <w:t xml:space="preserve">, M. (2017). Schizotypal traits and psychotic-like experiences during adolescence: An update. </w:t>
      </w:r>
      <w:proofErr w:type="spellStart"/>
      <w:r w:rsidRPr="009054AD">
        <w:rPr>
          <w:i/>
          <w:color w:val="000000" w:themeColor="text1"/>
        </w:rPr>
        <w:t>Psicothema</w:t>
      </w:r>
      <w:proofErr w:type="spellEnd"/>
      <w:r w:rsidRPr="009054AD">
        <w:rPr>
          <w:color w:val="000000" w:themeColor="text1"/>
        </w:rPr>
        <w:t xml:space="preserve">, </w:t>
      </w:r>
      <w:r w:rsidRPr="009054AD">
        <w:rPr>
          <w:i/>
          <w:color w:val="000000" w:themeColor="text1"/>
        </w:rPr>
        <w:t>29</w:t>
      </w:r>
      <w:r w:rsidRPr="009054AD">
        <w:rPr>
          <w:color w:val="000000" w:themeColor="text1"/>
        </w:rPr>
        <w:t>, 5-17.</w:t>
      </w:r>
    </w:p>
    <w:p w14:paraId="1E32C182" w14:textId="77777777" w:rsidR="0082611C" w:rsidRPr="009054AD" w:rsidRDefault="0082611C" w:rsidP="00943629">
      <w:pPr>
        <w:pStyle w:val="MDPI71References"/>
        <w:numPr>
          <w:ilvl w:val="0"/>
          <w:numId w:val="32"/>
        </w:numPr>
        <w:rPr>
          <w:color w:val="000000" w:themeColor="text1"/>
          <w:u w:val="single"/>
        </w:rPr>
      </w:pPr>
      <w:r w:rsidRPr="009054AD">
        <w:rPr>
          <w:color w:val="000000" w:themeColor="text1"/>
        </w:rPr>
        <w:t>Fonseca-</w:t>
      </w:r>
      <w:proofErr w:type="spellStart"/>
      <w:r w:rsidRPr="009054AD">
        <w:rPr>
          <w:color w:val="000000" w:themeColor="text1"/>
        </w:rPr>
        <w:t>Pedrero</w:t>
      </w:r>
      <w:proofErr w:type="spellEnd"/>
      <w:r w:rsidRPr="009054AD">
        <w:rPr>
          <w:color w:val="000000" w:themeColor="text1"/>
        </w:rPr>
        <w:t xml:space="preserve">, E., </w:t>
      </w:r>
      <w:proofErr w:type="spellStart"/>
      <w:r w:rsidRPr="009054AD">
        <w:rPr>
          <w:color w:val="000000" w:themeColor="text1"/>
        </w:rPr>
        <w:t>Debanné</w:t>
      </w:r>
      <w:proofErr w:type="spellEnd"/>
      <w:r w:rsidRPr="009054AD">
        <w:rPr>
          <w:color w:val="000000" w:themeColor="text1"/>
        </w:rPr>
        <w:t xml:space="preserve">, M., </w:t>
      </w:r>
      <w:proofErr w:type="spellStart"/>
      <w:r w:rsidRPr="009054AD">
        <w:rPr>
          <w:color w:val="000000" w:themeColor="text1"/>
        </w:rPr>
        <w:t>Ortuño</w:t>
      </w:r>
      <w:proofErr w:type="spellEnd"/>
      <w:r w:rsidRPr="009054AD">
        <w:rPr>
          <w:color w:val="000000" w:themeColor="text1"/>
        </w:rPr>
        <w:t xml:space="preserve">-Sierra, J., Chan, R. C. K., Cicero, D. C., ... &amp; </w:t>
      </w:r>
      <w:proofErr w:type="spellStart"/>
      <w:r w:rsidRPr="009054AD">
        <w:rPr>
          <w:color w:val="000000" w:themeColor="text1"/>
        </w:rPr>
        <w:t>Jablensky</w:t>
      </w:r>
      <w:proofErr w:type="spellEnd"/>
      <w:r w:rsidRPr="009054AD">
        <w:rPr>
          <w:color w:val="000000" w:themeColor="text1"/>
        </w:rPr>
        <w:t xml:space="preserve">, A. (2018). The structure of schizotypal personality traits: A cross-national study. </w:t>
      </w:r>
      <w:r w:rsidRPr="009054AD">
        <w:rPr>
          <w:i/>
          <w:color w:val="000000" w:themeColor="text1"/>
        </w:rPr>
        <w:t>Psychological Medicine</w:t>
      </w:r>
      <w:r w:rsidRPr="009054AD">
        <w:rPr>
          <w:color w:val="000000" w:themeColor="text1"/>
        </w:rPr>
        <w:t xml:space="preserve">, </w:t>
      </w:r>
      <w:r w:rsidRPr="009054AD">
        <w:rPr>
          <w:i/>
          <w:iCs/>
          <w:color w:val="000000" w:themeColor="text1"/>
        </w:rPr>
        <w:t>48</w:t>
      </w:r>
      <w:r w:rsidRPr="009054AD">
        <w:rPr>
          <w:color w:val="000000" w:themeColor="text1"/>
        </w:rPr>
        <w:t xml:space="preserve">(3), 451-462. </w:t>
      </w:r>
      <w:hyperlink r:id="rId18" w:history="1">
        <w:r w:rsidRPr="009054AD">
          <w:rPr>
            <w:rStyle w:val="Hyperlink"/>
            <w:color w:val="000000" w:themeColor="text1"/>
          </w:rPr>
          <w:t>https://doi.org/10.1017/S0033291717001829</w:t>
        </w:r>
      </w:hyperlink>
    </w:p>
    <w:p w14:paraId="1C3665B4"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Fotia</w:t>
      </w:r>
      <w:proofErr w:type="spellEnd"/>
      <w:r w:rsidRPr="009054AD">
        <w:rPr>
          <w:color w:val="000000" w:themeColor="text1"/>
        </w:rPr>
        <w:t xml:space="preserve">, F., van Dam, L., Sykes, J. J., </w:t>
      </w:r>
      <w:proofErr w:type="spellStart"/>
      <w:r w:rsidRPr="009054AD">
        <w:rPr>
          <w:color w:val="000000" w:themeColor="text1"/>
        </w:rPr>
        <w:t>Ambrosini</w:t>
      </w:r>
      <w:proofErr w:type="spellEnd"/>
      <w:r w:rsidRPr="009054AD">
        <w:rPr>
          <w:color w:val="000000" w:themeColor="text1"/>
        </w:rPr>
        <w:t xml:space="preserve">, E., </w:t>
      </w:r>
      <w:proofErr w:type="spellStart"/>
      <w:r w:rsidRPr="009054AD">
        <w:rPr>
          <w:color w:val="000000" w:themeColor="text1"/>
        </w:rPr>
        <w:t>Constantini</w:t>
      </w:r>
      <w:proofErr w:type="spellEnd"/>
      <w:r w:rsidRPr="009054AD">
        <w:rPr>
          <w:color w:val="000000" w:themeColor="text1"/>
        </w:rPr>
        <w:t xml:space="preserve">, M., &amp; </w:t>
      </w:r>
      <w:proofErr w:type="spellStart"/>
      <w:r w:rsidRPr="009054AD">
        <w:rPr>
          <w:color w:val="000000" w:themeColor="text1"/>
        </w:rPr>
        <w:t>Ferri</w:t>
      </w:r>
      <w:proofErr w:type="spellEnd"/>
      <w:r w:rsidRPr="009054AD">
        <w:rPr>
          <w:color w:val="000000" w:themeColor="text1"/>
        </w:rPr>
        <w:t xml:space="preserve">, F. (2022). Body structural representation in schizotypy. </w:t>
      </w:r>
      <w:r w:rsidRPr="009054AD">
        <w:rPr>
          <w:i/>
          <w:iCs/>
          <w:color w:val="000000" w:themeColor="text1"/>
        </w:rPr>
        <w:t>Schizophrenia Research</w:t>
      </w:r>
      <w:r w:rsidRPr="009054AD">
        <w:rPr>
          <w:color w:val="000000" w:themeColor="text1"/>
        </w:rPr>
        <w:t xml:space="preserve">, </w:t>
      </w:r>
      <w:r w:rsidRPr="009054AD">
        <w:rPr>
          <w:i/>
          <w:iCs/>
          <w:color w:val="000000" w:themeColor="text1"/>
        </w:rPr>
        <w:t>239</w:t>
      </w:r>
      <w:r w:rsidRPr="009054AD">
        <w:rPr>
          <w:color w:val="000000" w:themeColor="text1"/>
        </w:rPr>
        <w:t xml:space="preserve">, 1-10. </w:t>
      </w:r>
      <w:hyperlink r:id="rId19" w:history="1">
        <w:r w:rsidRPr="009054AD">
          <w:rPr>
            <w:rStyle w:val="Hyperlink"/>
            <w:color w:val="000000" w:themeColor="text1"/>
          </w:rPr>
          <w:t>https://doi.org/10.1016/j.schres.2021.11.002</w:t>
        </w:r>
      </w:hyperlink>
    </w:p>
    <w:p w14:paraId="6DE87D2F"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Garner, D. M. (2004). </w:t>
      </w:r>
      <w:r w:rsidRPr="009054AD">
        <w:rPr>
          <w:i/>
          <w:color w:val="000000" w:themeColor="text1"/>
        </w:rPr>
        <w:t>Eating Disorder Inventory-3: Professional manual</w:t>
      </w:r>
      <w:r w:rsidRPr="009054AD">
        <w:rPr>
          <w:color w:val="000000" w:themeColor="text1"/>
        </w:rPr>
        <w:t xml:space="preserve">. Psychological Assessment Resources, Inc. </w:t>
      </w:r>
    </w:p>
    <w:p w14:paraId="0B176944" w14:textId="77777777" w:rsidR="0082611C" w:rsidRPr="009054AD" w:rsidRDefault="0082611C" w:rsidP="00943629">
      <w:pPr>
        <w:pStyle w:val="MDPI71References"/>
        <w:numPr>
          <w:ilvl w:val="0"/>
          <w:numId w:val="32"/>
        </w:numPr>
        <w:rPr>
          <w:color w:val="000000" w:themeColor="text1"/>
          <w:u w:val="single"/>
        </w:rPr>
      </w:pPr>
      <w:r w:rsidRPr="009054AD">
        <w:rPr>
          <w:color w:val="000000" w:themeColor="text1"/>
        </w:rPr>
        <w:t xml:space="preserve">Grant, P., Green, M. J., &amp; Mason, O. (2018). Models of schizotypy: The importance of conceptual clarity. </w:t>
      </w:r>
      <w:r w:rsidRPr="009054AD">
        <w:rPr>
          <w:i/>
          <w:color w:val="000000" w:themeColor="text1"/>
        </w:rPr>
        <w:t>Schizophrenia Bulletin</w:t>
      </w:r>
      <w:r w:rsidRPr="009054AD">
        <w:rPr>
          <w:color w:val="000000" w:themeColor="text1"/>
        </w:rPr>
        <w:t xml:space="preserve">, </w:t>
      </w:r>
      <w:r w:rsidRPr="009054AD">
        <w:rPr>
          <w:i/>
          <w:iCs/>
          <w:color w:val="000000" w:themeColor="text1"/>
        </w:rPr>
        <w:t>44</w:t>
      </w:r>
      <w:r w:rsidRPr="009054AD">
        <w:rPr>
          <w:color w:val="000000" w:themeColor="text1"/>
        </w:rPr>
        <w:t xml:space="preserve">(S2), 556-563. </w:t>
      </w:r>
      <w:hyperlink r:id="rId20" w:history="1">
        <w:r w:rsidRPr="009054AD">
          <w:rPr>
            <w:rStyle w:val="Hyperlink"/>
            <w:color w:val="000000" w:themeColor="text1"/>
          </w:rPr>
          <w:t>https://doi.org/10.1093/schbul/sby012</w:t>
        </w:r>
      </w:hyperlink>
    </w:p>
    <w:p w14:paraId="1C2E0C7A"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Godart</w:t>
      </w:r>
      <w:proofErr w:type="spellEnd"/>
      <w:r w:rsidRPr="009054AD">
        <w:rPr>
          <w:color w:val="000000" w:themeColor="text1"/>
        </w:rPr>
        <w:t xml:space="preserve">, N. T., </w:t>
      </w:r>
      <w:proofErr w:type="spellStart"/>
      <w:r w:rsidRPr="009054AD">
        <w:rPr>
          <w:color w:val="000000" w:themeColor="text1"/>
        </w:rPr>
        <w:t>Flament</w:t>
      </w:r>
      <w:proofErr w:type="spellEnd"/>
      <w:r w:rsidRPr="009054AD">
        <w:rPr>
          <w:color w:val="000000" w:themeColor="text1"/>
        </w:rPr>
        <w:t xml:space="preserve">, M. F., </w:t>
      </w:r>
      <w:proofErr w:type="spellStart"/>
      <w:r w:rsidRPr="009054AD">
        <w:rPr>
          <w:color w:val="000000" w:themeColor="text1"/>
        </w:rPr>
        <w:t>Lecrubier</w:t>
      </w:r>
      <w:proofErr w:type="spellEnd"/>
      <w:r w:rsidRPr="009054AD">
        <w:rPr>
          <w:color w:val="000000" w:themeColor="text1"/>
        </w:rPr>
        <w:t xml:space="preserve">, Y., &amp; </w:t>
      </w:r>
      <w:proofErr w:type="spellStart"/>
      <w:r w:rsidRPr="009054AD">
        <w:rPr>
          <w:color w:val="000000" w:themeColor="text1"/>
        </w:rPr>
        <w:t>Jeammet</w:t>
      </w:r>
      <w:proofErr w:type="spellEnd"/>
      <w:r w:rsidRPr="009054AD">
        <w:rPr>
          <w:color w:val="000000" w:themeColor="text1"/>
        </w:rPr>
        <w:t xml:space="preserve">, P. (2000). Anxiety disorders in anorexia nervosa and bulimia nervosa: Co-morbidity and chronology of appearance. </w:t>
      </w:r>
      <w:r w:rsidRPr="009054AD">
        <w:rPr>
          <w:i/>
          <w:iCs/>
          <w:color w:val="000000" w:themeColor="text1"/>
        </w:rPr>
        <w:t>European Psychiatry</w:t>
      </w:r>
      <w:r w:rsidRPr="009054AD">
        <w:rPr>
          <w:color w:val="000000" w:themeColor="text1"/>
        </w:rPr>
        <w:t>,</w:t>
      </w:r>
      <w:r w:rsidRPr="009054AD">
        <w:rPr>
          <w:i/>
          <w:iCs/>
          <w:color w:val="000000" w:themeColor="text1"/>
        </w:rPr>
        <w:t xml:space="preserve"> </w:t>
      </w:r>
      <w:r w:rsidRPr="009054AD">
        <w:rPr>
          <w:color w:val="000000" w:themeColor="text1"/>
        </w:rPr>
        <w:t xml:space="preserve">15, 38-45. </w:t>
      </w:r>
      <w:hyperlink r:id="rId21" w:history="1">
        <w:r w:rsidRPr="009054AD">
          <w:rPr>
            <w:rStyle w:val="Hyperlink"/>
            <w:color w:val="000000" w:themeColor="text1"/>
          </w:rPr>
          <w:t>https://doi.org/10.1016/S0924-9338(00)00212-1</w:t>
        </w:r>
      </w:hyperlink>
    </w:p>
    <w:p w14:paraId="2DA175B2" w14:textId="7DC40623" w:rsidR="0082611C" w:rsidRDefault="0082611C" w:rsidP="00943629">
      <w:pPr>
        <w:pStyle w:val="MDPI71References"/>
        <w:numPr>
          <w:ilvl w:val="0"/>
          <w:numId w:val="32"/>
        </w:numPr>
        <w:rPr>
          <w:rStyle w:val="Hyperlink"/>
          <w:color w:val="000000" w:themeColor="text1"/>
        </w:rPr>
      </w:pPr>
      <w:r w:rsidRPr="009054AD">
        <w:rPr>
          <w:color w:val="000000" w:themeColor="text1"/>
        </w:rPr>
        <w:t xml:space="preserve">Hilbert, A., Pike, K. M., Goldschmidt, A. B., Wilfley, D. E., Fairburn, C. G., </w:t>
      </w:r>
      <w:proofErr w:type="spellStart"/>
      <w:r w:rsidRPr="009054AD">
        <w:rPr>
          <w:color w:val="000000" w:themeColor="text1"/>
        </w:rPr>
        <w:t>Dohm</w:t>
      </w:r>
      <w:proofErr w:type="spellEnd"/>
      <w:r w:rsidRPr="009054AD">
        <w:rPr>
          <w:color w:val="000000" w:themeColor="text1"/>
        </w:rPr>
        <w:t xml:space="preserve">, F. A., Walsh, B. T., &amp; </w:t>
      </w:r>
      <w:proofErr w:type="spellStart"/>
      <w:r w:rsidRPr="009054AD">
        <w:rPr>
          <w:color w:val="000000" w:themeColor="text1"/>
        </w:rPr>
        <w:t>Striegel</w:t>
      </w:r>
      <w:proofErr w:type="spellEnd"/>
      <w:r w:rsidRPr="009054AD">
        <w:rPr>
          <w:color w:val="000000" w:themeColor="text1"/>
        </w:rPr>
        <w:t xml:space="preserve"> Weissman, R. (2014). Risk factors across the eating disorders. </w:t>
      </w:r>
      <w:r w:rsidRPr="009054AD">
        <w:rPr>
          <w:i/>
          <w:iCs/>
          <w:color w:val="000000" w:themeColor="text1"/>
        </w:rPr>
        <w:t>Psychiatry Research</w:t>
      </w:r>
      <w:r w:rsidRPr="009054AD">
        <w:rPr>
          <w:color w:val="000000" w:themeColor="text1"/>
        </w:rPr>
        <w:t xml:space="preserve">, </w:t>
      </w:r>
      <w:r w:rsidRPr="009054AD">
        <w:rPr>
          <w:i/>
          <w:iCs/>
          <w:color w:val="000000" w:themeColor="text1"/>
        </w:rPr>
        <w:t>220</w:t>
      </w:r>
      <w:r w:rsidRPr="009054AD">
        <w:rPr>
          <w:color w:val="000000" w:themeColor="text1"/>
        </w:rPr>
        <w:t xml:space="preserve">, 500-506. </w:t>
      </w:r>
      <w:hyperlink r:id="rId22" w:history="1">
        <w:r w:rsidRPr="009054AD">
          <w:rPr>
            <w:rStyle w:val="Hyperlink"/>
            <w:color w:val="000000" w:themeColor="text1"/>
          </w:rPr>
          <w:t>https://doi.org/10.1016/j.psychres.2014.04.054</w:t>
        </w:r>
      </w:hyperlink>
    </w:p>
    <w:p w14:paraId="09276CC8" w14:textId="619A8B98" w:rsidR="006D5FFD" w:rsidRPr="006D5FFD" w:rsidRDefault="006D5FFD" w:rsidP="006D5FFD">
      <w:pPr>
        <w:pStyle w:val="MDPI71References"/>
        <w:numPr>
          <w:ilvl w:val="0"/>
          <w:numId w:val="32"/>
        </w:numPr>
        <w:rPr>
          <w:color w:val="000000" w:themeColor="text1"/>
          <w:u w:val="single"/>
        </w:rPr>
      </w:pPr>
      <w:proofErr w:type="spellStart"/>
      <w:r>
        <w:t>Hulley</w:t>
      </w:r>
      <w:proofErr w:type="spellEnd"/>
      <w:r>
        <w:t>, S.</w:t>
      </w:r>
      <w:r>
        <w:rPr>
          <w:rStyle w:val="Hyperlink"/>
          <w:color w:val="000000" w:themeColor="text1"/>
        </w:rPr>
        <w:t xml:space="preserve"> B., Cummings, S. R., Browner, W. S., Grady, D., &amp; Newman, T. B. (2013). </w:t>
      </w:r>
      <w:r>
        <w:rPr>
          <w:rStyle w:val="Hyperlink"/>
          <w:i/>
          <w:iCs/>
          <w:color w:val="000000" w:themeColor="text1"/>
        </w:rPr>
        <w:t>Designing clinical research: An epidemiological approach</w:t>
      </w:r>
      <w:r>
        <w:rPr>
          <w:rStyle w:val="Hyperlink"/>
          <w:color w:val="000000" w:themeColor="text1"/>
        </w:rPr>
        <w:t xml:space="preserve"> (4</w:t>
      </w:r>
      <w:r w:rsidRPr="00802FED">
        <w:rPr>
          <w:rStyle w:val="Hyperlink"/>
          <w:color w:val="000000" w:themeColor="text1"/>
          <w:vertAlign w:val="superscript"/>
        </w:rPr>
        <w:t>th</w:t>
      </w:r>
      <w:r>
        <w:rPr>
          <w:rStyle w:val="Hyperlink"/>
          <w:color w:val="000000" w:themeColor="text1"/>
        </w:rPr>
        <w:t xml:space="preserve"> ed.). Lippincott Williams &amp; Wilkins. </w:t>
      </w:r>
    </w:p>
    <w:p w14:paraId="262CEB2F"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Khosravi</w:t>
      </w:r>
      <w:proofErr w:type="spellEnd"/>
      <w:r w:rsidRPr="009054AD">
        <w:rPr>
          <w:color w:val="000000" w:themeColor="text1"/>
        </w:rPr>
        <w:t xml:space="preserve">, M. (2020). Biopsychosocial factors associated with disordered eating behaviors in schizophrenia. </w:t>
      </w:r>
      <w:r w:rsidRPr="009054AD">
        <w:rPr>
          <w:i/>
          <w:iCs/>
          <w:color w:val="000000" w:themeColor="text1"/>
        </w:rPr>
        <w:t>Annals of General Psychiatry</w:t>
      </w:r>
      <w:r w:rsidRPr="009054AD">
        <w:rPr>
          <w:color w:val="000000" w:themeColor="text1"/>
        </w:rPr>
        <w:t xml:space="preserve">, </w:t>
      </w:r>
      <w:r w:rsidRPr="009054AD">
        <w:rPr>
          <w:i/>
          <w:iCs/>
          <w:color w:val="000000" w:themeColor="text1"/>
        </w:rPr>
        <w:t>19</w:t>
      </w:r>
      <w:r w:rsidRPr="009054AD">
        <w:rPr>
          <w:color w:val="000000" w:themeColor="text1"/>
        </w:rPr>
        <w:t xml:space="preserve">, 67. </w:t>
      </w:r>
      <w:hyperlink r:id="rId23" w:history="1">
        <w:r w:rsidRPr="009054AD">
          <w:rPr>
            <w:rStyle w:val="Hyperlink"/>
            <w:color w:val="000000" w:themeColor="text1"/>
          </w:rPr>
          <w:t>https://doi.org/10.1186/s12991-020-00314-2</w:t>
        </w:r>
      </w:hyperlink>
    </w:p>
    <w:p w14:paraId="2447226C" w14:textId="77777777" w:rsidR="0082611C" w:rsidRPr="009054AD" w:rsidRDefault="0082611C" w:rsidP="00943629">
      <w:pPr>
        <w:pStyle w:val="MDPI71References"/>
        <w:numPr>
          <w:ilvl w:val="0"/>
          <w:numId w:val="32"/>
        </w:numPr>
        <w:rPr>
          <w:color w:val="000000" w:themeColor="text1"/>
          <w:u w:val="single"/>
        </w:rPr>
      </w:pPr>
      <w:proofErr w:type="spellStart"/>
      <w:r w:rsidRPr="009054AD">
        <w:rPr>
          <w:color w:val="000000" w:themeColor="text1"/>
        </w:rPr>
        <w:t>Kouidrat</w:t>
      </w:r>
      <w:proofErr w:type="spellEnd"/>
      <w:r w:rsidRPr="009054AD">
        <w:rPr>
          <w:color w:val="000000" w:themeColor="text1"/>
        </w:rPr>
        <w:t xml:space="preserve">, Y., </w:t>
      </w:r>
      <w:proofErr w:type="spellStart"/>
      <w:r w:rsidRPr="009054AD">
        <w:rPr>
          <w:color w:val="000000" w:themeColor="text1"/>
        </w:rPr>
        <w:t>Amad</w:t>
      </w:r>
      <w:proofErr w:type="spellEnd"/>
      <w:r w:rsidRPr="009054AD">
        <w:rPr>
          <w:color w:val="000000" w:themeColor="text1"/>
        </w:rPr>
        <w:t xml:space="preserve">, A., </w:t>
      </w:r>
      <w:proofErr w:type="spellStart"/>
      <w:r w:rsidRPr="009054AD">
        <w:rPr>
          <w:color w:val="000000" w:themeColor="text1"/>
        </w:rPr>
        <w:t>Lalau</w:t>
      </w:r>
      <w:proofErr w:type="spellEnd"/>
      <w:r w:rsidRPr="009054AD">
        <w:rPr>
          <w:color w:val="000000" w:themeColor="text1"/>
        </w:rPr>
        <w:t xml:space="preserve">, J.-D., &amp; Loas, G. (2014). Eating disorders in schizophrenia: Implications for research and management. </w:t>
      </w:r>
      <w:r w:rsidRPr="009054AD">
        <w:rPr>
          <w:i/>
          <w:color w:val="000000" w:themeColor="text1"/>
        </w:rPr>
        <w:t>Schizophrenia Research and Treatment</w:t>
      </w:r>
      <w:r w:rsidRPr="009054AD">
        <w:rPr>
          <w:color w:val="000000" w:themeColor="text1"/>
        </w:rPr>
        <w:t xml:space="preserve">, </w:t>
      </w:r>
      <w:r w:rsidRPr="009054AD">
        <w:rPr>
          <w:i/>
          <w:color w:val="000000" w:themeColor="text1"/>
        </w:rPr>
        <w:t>2014</w:t>
      </w:r>
      <w:r w:rsidRPr="009054AD">
        <w:rPr>
          <w:color w:val="000000" w:themeColor="text1"/>
        </w:rPr>
        <w:t xml:space="preserve">, 791573. </w:t>
      </w:r>
      <w:hyperlink r:id="rId24" w:history="1">
        <w:r w:rsidRPr="009054AD">
          <w:rPr>
            <w:rStyle w:val="Hyperlink"/>
            <w:color w:val="000000" w:themeColor="text1"/>
          </w:rPr>
          <w:t>https://doi.org/10.1155/2014/791573</w:t>
        </w:r>
      </w:hyperlink>
    </w:p>
    <w:p w14:paraId="5800537D" w14:textId="77777777" w:rsidR="0082611C" w:rsidRPr="009054AD" w:rsidRDefault="0082611C" w:rsidP="00943629">
      <w:pPr>
        <w:pStyle w:val="MDPI71References"/>
        <w:numPr>
          <w:ilvl w:val="0"/>
          <w:numId w:val="32"/>
        </w:numPr>
        <w:rPr>
          <w:color w:val="000000" w:themeColor="text1"/>
          <w:u w:val="single"/>
        </w:rPr>
      </w:pPr>
      <w:r w:rsidRPr="009054AD">
        <w:rPr>
          <w:color w:val="000000" w:themeColor="text1"/>
        </w:rPr>
        <w:t xml:space="preserve">Kraepelin, E. (1919). </w:t>
      </w:r>
      <w:r w:rsidRPr="009054AD">
        <w:rPr>
          <w:i/>
          <w:iCs/>
          <w:color w:val="000000" w:themeColor="text1"/>
        </w:rPr>
        <w:t xml:space="preserve">Dementia </w:t>
      </w:r>
      <w:proofErr w:type="spellStart"/>
      <w:r w:rsidRPr="009054AD">
        <w:rPr>
          <w:i/>
          <w:iCs/>
          <w:color w:val="000000" w:themeColor="text1"/>
        </w:rPr>
        <w:t>præcox</w:t>
      </w:r>
      <w:proofErr w:type="spellEnd"/>
      <w:r w:rsidRPr="009054AD">
        <w:rPr>
          <w:i/>
          <w:iCs/>
          <w:color w:val="000000" w:themeColor="text1"/>
        </w:rPr>
        <w:t xml:space="preserve"> and paraphrenia</w:t>
      </w:r>
      <w:r w:rsidRPr="009054AD">
        <w:rPr>
          <w:color w:val="000000" w:themeColor="text1"/>
        </w:rPr>
        <w:t xml:space="preserve"> (trans. R. M. Barclay). Chicago Medical Book Co. </w:t>
      </w:r>
    </w:p>
    <w:p w14:paraId="1F8FBC7A"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lastRenderedPageBreak/>
        <w:t>Kwapil</w:t>
      </w:r>
      <w:proofErr w:type="spellEnd"/>
      <w:r w:rsidRPr="009054AD">
        <w:rPr>
          <w:color w:val="000000" w:themeColor="text1"/>
        </w:rPr>
        <w:t xml:space="preserve">, T. R., &amp; </w:t>
      </w:r>
      <w:proofErr w:type="spellStart"/>
      <w:r w:rsidRPr="009054AD">
        <w:rPr>
          <w:color w:val="000000" w:themeColor="text1"/>
        </w:rPr>
        <w:t>Barrantes</w:t>
      </w:r>
      <w:proofErr w:type="spellEnd"/>
      <w:r w:rsidRPr="009054AD">
        <w:rPr>
          <w:color w:val="000000" w:themeColor="text1"/>
        </w:rPr>
        <w:t xml:space="preserve">-Vidal, N. (2015). Schizotypy: looking back and moving forward. </w:t>
      </w:r>
      <w:r w:rsidRPr="009054AD">
        <w:rPr>
          <w:i/>
          <w:color w:val="000000" w:themeColor="text1"/>
        </w:rPr>
        <w:t>Schizophrenia Bulletin</w:t>
      </w:r>
      <w:r w:rsidRPr="009054AD">
        <w:rPr>
          <w:color w:val="000000" w:themeColor="text1"/>
        </w:rPr>
        <w:t>,</w:t>
      </w:r>
      <w:r w:rsidRPr="009054AD">
        <w:rPr>
          <w:i/>
          <w:color w:val="000000" w:themeColor="text1"/>
        </w:rPr>
        <w:t xml:space="preserve"> 41</w:t>
      </w:r>
      <w:r w:rsidRPr="009054AD">
        <w:rPr>
          <w:iCs/>
          <w:color w:val="000000" w:themeColor="text1"/>
        </w:rPr>
        <w:t>(S2)</w:t>
      </w:r>
      <w:r w:rsidRPr="009054AD">
        <w:rPr>
          <w:color w:val="000000" w:themeColor="text1"/>
        </w:rPr>
        <w:t xml:space="preserve">, S366-373. </w:t>
      </w:r>
      <w:hyperlink r:id="rId25" w:history="1">
        <w:r w:rsidRPr="009054AD">
          <w:rPr>
            <w:rStyle w:val="Hyperlink"/>
            <w:color w:val="000000" w:themeColor="text1"/>
          </w:rPr>
          <w:t>https://doi.org/10.1093/schbul/sbu186</w:t>
        </w:r>
      </w:hyperlink>
    </w:p>
    <w:p w14:paraId="683E5488"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Kwapil</w:t>
      </w:r>
      <w:proofErr w:type="spellEnd"/>
      <w:r w:rsidRPr="009054AD">
        <w:rPr>
          <w:color w:val="000000" w:themeColor="text1"/>
        </w:rPr>
        <w:t xml:space="preserve">, T. R., Gross, G. M., Silvia, P. J., </w:t>
      </w:r>
      <w:proofErr w:type="spellStart"/>
      <w:r w:rsidRPr="009054AD">
        <w:rPr>
          <w:color w:val="000000" w:themeColor="text1"/>
        </w:rPr>
        <w:t>Raulin</w:t>
      </w:r>
      <w:proofErr w:type="spellEnd"/>
      <w:r w:rsidRPr="009054AD">
        <w:rPr>
          <w:color w:val="000000" w:themeColor="text1"/>
        </w:rPr>
        <w:t xml:space="preserve">, M. L., &amp; </w:t>
      </w:r>
      <w:proofErr w:type="spellStart"/>
      <w:r w:rsidRPr="009054AD">
        <w:rPr>
          <w:color w:val="000000" w:themeColor="text1"/>
        </w:rPr>
        <w:t>Barrantes</w:t>
      </w:r>
      <w:proofErr w:type="spellEnd"/>
      <w:r w:rsidRPr="009054AD">
        <w:rPr>
          <w:color w:val="000000" w:themeColor="text1"/>
        </w:rPr>
        <w:t xml:space="preserve">-Vidal, N. (2018). Development and psychometric properties of the Multidimensional Schizotypy Scale: A new measure for assessing positive, negative, and disorganized schizotypy. </w:t>
      </w:r>
      <w:r w:rsidRPr="009054AD">
        <w:rPr>
          <w:i/>
          <w:color w:val="000000" w:themeColor="text1"/>
        </w:rPr>
        <w:t>Schizophrenia Research</w:t>
      </w:r>
      <w:r w:rsidRPr="009054AD">
        <w:rPr>
          <w:color w:val="000000" w:themeColor="text1"/>
        </w:rPr>
        <w:t xml:space="preserve">, </w:t>
      </w:r>
      <w:r w:rsidRPr="009054AD">
        <w:rPr>
          <w:i/>
          <w:color w:val="000000" w:themeColor="text1"/>
        </w:rPr>
        <w:t>193</w:t>
      </w:r>
      <w:r w:rsidRPr="009054AD">
        <w:rPr>
          <w:color w:val="000000" w:themeColor="text1"/>
        </w:rPr>
        <w:t xml:space="preserve">, 209-217. </w:t>
      </w:r>
      <w:hyperlink r:id="rId26" w:history="1">
        <w:r w:rsidRPr="009054AD">
          <w:rPr>
            <w:rStyle w:val="Hyperlink"/>
            <w:color w:val="000000" w:themeColor="text1"/>
          </w:rPr>
          <w:t>https://doi.org/10.1016/j.schres.2017.07.001</w:t>
        </w:r>
      </w:hyperlink>
    </w:p>
    <w:p w14:paraId="3A3DD8CC"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Lenzenweger</w:t>
      </w:r>
      <w:proofErr w:type="spellEnd"/>
      <w:r w:rsidRPr="009054AD">
        <w:rPr>
          <w:color w:val="000000" w:themeColor="text1"/>
        </w:rPr>
        <w:t xml:space="preserve">, M. F. (2011). </w:t>
      </w:r>
      <w:r w:rsidRPr="009054AD">
        <w:rPr>
          <w:i/>
          <w:color w:val="000000" w:themeColor="text1"/>
        </w:rPr>
        <w:t>Schizotypy and schizophrenia: The view from experimental psychopathology</w:t>
      </w:r>
      <w:r w:rsidRPr="009054AD">
        <w:rPr>
          <w:color w:val="000000" w:themeColor="text1"/>
        </w:rPr>
        <w:t>. Guilford.</w:t>
      </w:r>
    </w:p>
    <w:p w14:paraId="71B2D975"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Levinson, C. A., &amp; </w:t>
      </w:r>
      <w:proofErr w:type="spellStart"/>
      <w:r w:rsidRPr="009054AD">
        <w:rPr>
          <w:color w:val="000000" w:themeColor="text1"/>
        </w:rPr>
        <w:t>Rodebaugh</w:t>
      </w:r>
      <w:proofErr w:type="spellEnd"/>
      <w:r w:rsidRPr="009054AD">
        <w:rPr>
          <w:color w:val="000000" w:themeColor="text1"/>
        </w:rPr>
        <w:t xml:space="preserve">, T. L. (2012). Social anxiety and eating disorder comorbidity: The role of negative social evaluation fears. </w:t>
      </w:r>
      <w:r w:rsidRPr="009054AD">
        <w:rPr>
          <w:i/>
          <w:color w:val="000000" w:themeColor="text1"/>
        </w:rPr>
        <w:t>Eating Behavior</w:t>
      </w:r>
      <w:r w:rsidRPr="009054AD">
        <w:rPr>
          <w:color w:val="000000" w:themeColor="text1"/>
        </w:rPr>
        <w:t xml:space="preserve">, </w:t>
      </w:r>
      <w:r w:rsidRPr="009054AD">
        <w:rPr>
          <w:i/>
          <w:color w:val="000000" w:themeColor="text1"/>
        </w:rPr>
        <w:t>13</w:t>
      </w:r>
      <w:r w:rsidRPr="009054AD">
        <w:rPr>
          <w:iCs/>
          <w:color w:val="000000" w:themeColor="text1"/>
        </w:rPr>
        <w:t>(1)</w:t>
      </w:r>
      <w:r w:rsidRPr="009054AD">
        <w:rPr>
          <w:color w:val="000000" w:themeColor="text1"/>
        </w:rPr>
        <w:t xml:space="preserve">, 27-35. </w:t>
      </w:r>
      <w:hyperlink r:id="rId27" w:history="1">
        <w:r w:rsidRPr="009054AD">
          <w:rPr>
            <w:rStyle w:val="Hyperlink"/>
            <w:color w:val="000000" w:themeColor="text1"/>
          </w:rPr>
          <w:t>https://doi.org/10.1016/j.eatbeh.2011.11.006</w:t>
        </w:r>
      </w:hyperlink>
    </w:p>
    <w:p w14:paraId="754D450D" w14:textId="77777777" w:rsidR="0082611C" w:rsidRPr="009054AD" w:rsidRDefault="0082611C" w:rsidP="00943629">
      <w:pPr>
        <w:pStyle w:val="MDPI71References"/>
        <w:numPr>
          <w:ilvl w:val="0"/>
          <w:numId w:val="32"/>
        </w:numPr>
        <w:rPr>
          <w:color w:val="000000" w:themeColor="text1"/>
          <w:u w:val="single"/>
        </w:rPr>
      </w:pPr>
      <w:r w:rsidRPr="009054AD">
        <w:rPr>
          <w:color w:val="000000" w:themeColor="text1"/>
        </w:rPr>
        <w:t xml:space="preserve">Levinson, C. A., &amp; </w:t>
      </w:r>
      <w:proofErr w:type="spellStart"/>
      <w:r w:rsidRPr="009054AD">
        <w:rPr>
          <w:color w:val="000000" w:themeColor="text1"/>
        </w:rPr>
        <w:t>Rodebaugh</w:t>
      </w:r>
      <w:proofErr w:type="spellEnd"/>
      <w:r w:rsidRPr="009054AD">
        <w:rPr>
          <w:color w:val="000000" w:themeColor="text1"/>
        </w:rPr>
        <w:t xml:space="preserve">, T. L. (2015). Negative social evaluative fears produce social anxiety, food intake, and body dissatisfaction: Evidence of similar mechanisms through different pathways. </w:t>
      </w:r>
      <w:r w:rsidRPr="009054AD">
        <w:rPr>
          <w:i/>
          <w:color w:val="000000" w:themeColor="text1"/>
        </w:rPr>
        <w:t>Clinical Psychological Science</w:t>
      </w:r>
      <w:r w:rsidRPr="009054AD">
        <w:rPr>
          <w:color w:val="000000" w:themeColor="text1"/>
        </w:rPr>
        <w:t xml:space="preserve">, </w:t>
      </w:r>
      <w:r w:rsidRPr="009054AD">
        <w:rPr>
          <w:i/>
          <w:color w:val="000000" w:themeColor="text1"/>
        </w:rPr>
        <w:t>3</w:t>
      </w:r>
      <w:r w:rsidRPr="009054AD">
        <w:rPr>
          <w:iCs/>
          <w:color w:val="000000" w:themeColor="text1"/>
        </w:rPr>
        <w:t>(5)</w:t>
      </w:r>
      <w:r w:rsidRPr="009054AD">
        <w:rPr>
          <w:color w:val="000000" w:themeColor="text1"/>
        </w:rPr>
        <w:t xml:space="preserve">, 744-757. </w:t>
      </w:r>
      <w:hyperlink r:id="rId28" w:history="1">
        <w:r w:rsidRPr="009054AD">
          <w:rPr>
            <w:rStyle w:val="Hyperlink"/>
            <w:color w:val="000000" w:themeColor="text1"/>
          </w:rPr>
          <w:t>https://doi.org/10.1177/2167702614548891</w:t>
        </w:r>
      </w:hyperlink>
    </w:p>
    <w:p w14:paraId="305F0520"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Levinson, C. A., &amp; </w:t>
      </w:r>
      <w:proofErr w:type="spellStart"/>
      <w:r w:rsidRPr="009054AD">
        <w:rPr>
          <w:color w:val="000000" w:themeColor="text1"/>
        </w:rPr>
        <w:t>Rodebaugh</w:t>
      </w:r>
      <w:proofErr w:type="spellEnd"/>
      <w:r w:rsidRPr="009054AD">
        <w:rPr>
          <w:color w:val="000000" w:themeColor="text1"/>
        </w:rPr>
        <w:t xml:space="preserve">, T. L. (2016). Clarifying the prospective relationships between social anxiety and eating disorder symptoms and underlying vulnerabilities. </w:t>
      </w:r>
      <w:r w:rsidRPr="009054AD">
        <w:rPr>
          <w:i/>
          <w:iCs/>
          <w:color w:val="000000" w:themeColor="text1"/>
        </w:rPr>
        <w:t xml:space="preserve">Appetite </w:t>
      </w:r>
      <w:r w:rsidRPr="009054AD">
        <w:rPr>
          <w:color w:val="000000" w:themeColor="text1"/>
        </w:rPr>
        <w:t xml:space="preserve">107, 38-46. </w:t>
      </w:r>
      <w:hyperlink r:id="rId29" w:history="1">
        <w:r w:rsidRPr="009054AD">
          <w:rPr>
            <w:rStyle w:val="Hyperlink"/>
            <w:color w:val="000000" w:themeColor="text1"/>
          </w:rPr>
          <w:t>https://doi.org/10.1016/j.appet.2016.07.024</w:t>
        </w:r>
      </w:hyperlink>
    </w:p>
    <w:p w14:paraId="48546AC6"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Lilenfeld</w:t>
      </w:r>
      <w:proofErr w:type="spellEnd"/>
      <w:r w:rsidRPr="009054AD">
        <w:rPr>
          <w:color w:val="000000" w:themeColor="text1"/>
        </w:rPr>
        <w:t xml:space="preserve">, L. R. R., </w:t>
      </w:r>
      <w:proofErr w:type="spellStart"/>
      <w:r w:rsidRPr="009054AD">
        <w:rPr>
          <w:color w:val="000000" w:themeColor="text1"/>
        </w:rPr>
        <w:t>Wonderlich</w:t>
      </w:r>
      <w:proofErr w:type="spellEnd"/>
      <w:r w:rsidRPr="009054AD">
        <w:rPr>
          <w:color w:val="000000" w:themeColor="text1"/>
        </w:rPr>
        <w:t xml:space="preserve">, S., </w:t>
      </w:r>
      <w:proofErr w:type="spellStart"/>
      <w:r w:rsidRPr="009054AD">
        <w:rPr>
          <w:color w:val="000000" w:themeColor="text1"/>
        </w:rPr>
        <w:t>Riso</w:t>
      </w:r>
      <w:proofErr w:type="spellEnd"/>
      <w:r w:rsidRPr="009054AD">
        <w:rPr>
          <w:color w:val="000000" w:themeColor="text1"/>
        </w:rPr>
        <w:t xml:space="preserve">, L. P., Crosby, R., &amp; Mitchell, J. (2006). Eating disorders and personality: A methodological and empirical review. </w:t>
      </w:r>
      <w:r w:rsidRPr="009054AD">
        <w:rPr>
          <w:i/>
          <w:iCs/>
          <w:color w:val="000000" w:themeColor="text1"/>
        </w:rPr>
        <w:t>Clinical Psychology Review</w:t>
      </w:r>
      <w:r w:rsidRPr="009054AD">
        <w:rPr>
          <w:color w:val="000000" w:themeColor="text1"/>
        </w:rPr>
        <w:t xml:space="preserve">, </w:t>
      </w:r>
      <w:r w:rsidRPr="009054AD">
        <w:rPr>
          <w:i/>
          <w:iCs/>
          <w:color w:val="000000" w:themeColor="text1"/>
        </w:rPr>
        <w:t>26</w:t>
      </w:r>
      <w:r w:rsidRPr="009054AD">
        <w:rPr>
          <w:color w:val="000000" w:themeColor="text1"/>
        </w:rPr>
        <w:t xml:space="preserve">(3), 299-320. </w:t>
      </w:r>
      <w:hyperlink r:id="rId30" w:history="1">
        <w:r w:rsidRPr="009054AD">
          <w:rPr>
            <w:rStyle w:val="Hyperlink"/>
            <w:color w:val="000000" w:themeColor="text1"/>
          </w:rPr>
          <w:t>https://doi.org/10.1016/j.cpr.2005.10.003</w:t>
        </w:r>
      </w:hyperlink>
    </w:p>
    <w:p w14:paraId="69911913" w14:textId="77777777" w:rsidR="0082611C" w:rsidRPr="009054AD" w:rsidRDefault="0082611C" w:rsidP="00943629">
      <w:pPr>
        <w:pStyle w:val="MDPI71References"/>
        <w:numPr>
          <w:ilvl w:val="0"/>
          <w:numId w:val="32"/>
        </w:numPr>
        <w:rPr>
          <w:bCs/>
          <w:color w:val="000000" w:themeColor="text1"/>
          <w:u w:val="single"/>
        </w:rPr>
      </w:pPr>
      <w:proofErr w:type="spellStart"/>
      <w:r w:rsidRPr="009054AD">
        <w:rPr>
          <w:color w:val="000000" w:themeColor="text1"/>
        </w:rPr>
        <w:t>Linscott</w:t>
      </w:r>
      <w:proofErr w:type="spellEnd"/>
      <w:r w:rsidRPr="009054AD">
        <w:rPr>
          <w:color w:val="000000" w:themeColor="text1"/>
        </w:rPr>
        <w:t xml:space="preserve">, R. J., &amp; van </w:t>
      </w:r>
      <w:proofErr w:type="spellStart"/>
      <w:r w:rsidRPr="009054AD">
        <w:rPr>
          <w:color w:val="000000" w:themeColor="text1"/>
        </w:rPr>
        <w:t>Os</w:t>
      </w:r>
      <w:proofErr w:type="spellEnd"/>
      <w:r w:rsidRPr="009054AD">
        <w:rPr>
          <w:color w:val="000000" w:themeColor="text1"/>
        </w:rPr>
        <w:t xml:space="preserve">, J. (2013). An </w:t>
      </w:r>
      <w:r w:rsidRPr="009054AD">
        <w:rPr>
          <w:bCs/>
          <w:color w:val="000000" w:themeColor="text1"/>
        </w:rPr>
        <w:t xml:space="preserve">updated and conservative systematic review and meta-analysis of epidemiological evidence on psychotic experiences in children and adults: on the pathway from proneness to persistence to dimensional expression across mental disorders. </w:t>
      </w:r>
      <w:r w:rsidRPr="009054AD">
        <w:rPr>
          <w:bCs/>
          <w:i/>
          <w:color w:val="000000" w:themeColor="text1"/>
        </w:rPr>
        <w:t>Psychological Medicine</w:t>
      </w:r>
      <w:r w:rsidRPr="009054AD">
        <w:rPr>
          <w:bCs/>
          <w:color w:val="000000" w:themeColor="text1"/>
        </w:rPr>
        <w:t xml:space="preserve">, </w:t>
      </w:r>
      <w:r w:rsidRPr="009054AD">
        <w:rPr>
          <w:bCs/>
          <w:i/>
          <w:color w:val="000000" w:themeColor="text1"/>
        </w:rPr>
        <w:t>43</w:t>
      </w:r>
      <w:r w:rsidRPr="009054AD">
        <w:rPr>
          <w:bCs/>
          <w:iCs/>
          <w:color w:val="000000" w:themeColor="text1"/>
        </w:rPr>
        <w:t>(6)</w:t>
      </w:r>
      <w:r w:rsidRPr="009054AD">
        <w:rPr>
          <w:bCs/>
          <w:color w:val="000000" w:themeColor="text1"/>
        </w:rPr>
        <w:t xml:space="preserve">, 1133-1149. </w:t>
      </w:r>
      <w:hyperlink r:id="rId31" w:history="1">
        <w:r w:rsidRPr="009054AD">
          <w:rPr>
            <w:rStyle w:val="Hyperlink"/>
            <w:color w:val="000000" w:themeColor="text1"/>
          </w:rPr>
          <w:t>https://doi.org/10.1017/S0033291712001626</w:t>
        </w:r>
      </w:hyperlink>
    </w:p>
    <w:p w14:paraId="7E7BE45C"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Lloyd, S., </w:t>
      </w:r>
      <w:proofErr w:type="spellStart"/>
      <w:r w:rsidRPr="009054AD">
        <w:rPr>
          <w:color w:val="000000" w:themeColor="text1"/>
        </w:rPr>
        <w:t>Yiend</w:t>
      </w:r>
      <w:proofErr w:type="spellEnd"/>
      <w:r w:rsidRPr="009054AD">
        <w:rPr>
          <w:color w:val="000000" w:themeColor="text1"/>
        </w:rPr>
        <w:t xml:space="preserve">, J., Schmidt, U., &amp; </w:t>
      </w:r>
      <w:proofErr w:type="spellStart"/>
      <w:r w:rsidRPr="009054AD">
        <w:rPr>
          <w:color w:val="000000" w:themeColor="text1"/>
        </w:rPr>
        <w:t>Tchanturia</w:t>
      </w:r>
      <w:proofErr w:type="spellEnd"/>
      <w:r w:rsidRPr="009054AD">
        <w:rPr>
          <w:color w:val="000000" w:themeColor="text1"/>
        </w:rPr>
        <w:t xml:space="preserve">, K. (2014). Perfectionism in anorexia nervosa: Novel </w:t>
      </w:r>
      <w:proofErr w:type="gramStart"/>
      <w:r w:rsidRPr="009054AD">
        <w:rPr>
          <w:color w:val="000000" w:themeColor="text1"/>
        </w:rPr>
        <w:t>performance based</w:t>
      </w:r>
      <w:proofErr w:type="gramEnd"/>
      <w:r w:rsidRPr="009054AD">
        <w:rPr>
          <w:color w:val="000000" w:themeColor="text1"/>
        </w:rPr>
        <w:t xml:space="preserve"> evidence. </w:t>
      </w:r>
      <w:proofErr w:type="spellStart"/>
      <w:r w:rsidRPr="009054AD">
        <w:rPr>
          <w:i/>
          <w:iCs/>
          <w:color w:val="000000" w:themeColor="text1"/>
        </w:rPr>
        <w:t>PLoS</w:t>
      </w:r>
      <w:proofErr w:type="spellEnd"/>
      <w:r w:rsidRPr="009054AD">
        <w:rPr>
          <w:i/>
          <w:iCs/>
          <w:color w:val="000000" w:themeColor="text1"/>
        </w:rPr>
        <w:t xml:space="preserve"> ONE</w:t>
      </w:r>
      <w:r w:rsidRPr="009054AD">
        <w:rPr>
          <w:color w:val="000000" w:themeColor="text1"/>
        </w:rPr>
        <w:t>,</w:t>
      </w:r>
      <w:r w:rsidRPr="009054AD">
        <w:rPr>
          <w:i/>
          <w:iCs/>
          <w:color w:val="000000" w:themeColor="text1"/>
        </w:rPr>
        <w:t xml:space="preserve"> </w:t>
      </w:r>
      <w:r w:rsidRPr="009054AD">
        <w:rPr>
          <w:color w:val="000000" w:themeColor="text1"/>
        </w:rPr>
        <w:t xml:space="preserve">9, e111697. </w:t>
      </w:r>
      <w:hyperlink r:id="rId32" w:history="1">
        <w:r w:rsidRPr="009054AD">
          <w:rPr>
            <w:rStyle w:val="Hyperlink"/>
            <w:color w:val="000000" w:themeColor="text1"/>
          </w:rPr>
          <w:t>https://doi.org/10.1371/journal.pone.0111697</w:t>
        </w:r>
      </w:hyperlink>
    </w:p>
    <w:p w14:paraId="71F4A44A" w14:textId="77777777" w:rsidR="0082611C" w:rsidRPr="009054AD" w:rsidRDefault="0082611C" w:rsidP="00943629">
      <w:pPr>
        <w:pStyle w:val="MDPI71References"/>
        <w:numPr>
          <w:ilvl w:val="0"/>
          <w:numId w:val="32"/>
        </w:numPr>
        <w:rPr>
          <w:color w:val="000000" w:themeColor="text1"/>
          <w:u w:val="single"/>
        </w:rPr>
      </w:pPr>
      <w:r w:rsidRPr="009054AD">
        <w:rPr>
          <w:color w:val="000000" w:themeColor="text1"/>
        </w:rPr>
        <w:t xml:space="preserve">MacGregor, M. W., &amp; Lamborn, P. (2014). Personality Assessment Inventory profiles of university students with eating disorders. </w:t>
      </w:r>
      <w:r w:rsidRPr="009054AD">
        <w:rPr>
          <w:i/>
          <w:color w:val="000000" w:themeColor="text1"/>
        </w:rPr>
        <w:t>Journal of Eating Disorders</w:t>
      </w:r>
      <w:r w:rsidRPr="009054AD">
        <w:rPr>
          <w:color w:val="000000" w:themeColor="text1"/>
        </w:rPr>
        <w:t xml:space="preserve">, </w:t>
      </w:r>
      <w:r w:rsidRPr="009054AD">
        <w:rPr>
          <w:i/>
          <w:color w:val="000000" w:themeColor="text1"/>
        </w:rPr>
        <w:t>2</w:t>
      </w:r>
      <w:r w:rsidRPr="009054AD">
        <w:rPr>
          <w:color w:val="000000" w:themeColor="text1"/>
        </w:rPr>
        <w:t xml:space="preserve">, 20. </w:t>
      </w:r>
      <w:hyperlink r:id="rId33" w:history="1">
        <w:r w:rsidRPr="009054AD">
          <w:rPr>
            <w:rStyle w:val="Hyperlink"/>
            <w:color w:val="000000" w:themeColor="text1"/>
          </w:rPr>
          <w:t>https://doi.org/10.1186/s40337-014-0020-4</w:t>
        </w:r>
      </w:hyperlink>
    </w:p>
    <w:p w14:paraId="514FA949"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Meehl</w:t>
      </w:r>
      <w:proofErr w:type="spellEnd"/>
      <w:r w:rsidRPr="009054AD">
        <w:rPr>
          <w:color w:val="000000" w:themeColor="text1"/>
        </w:rPr>
        <w:t xml:space="preserve">, P. E. (1964). </w:t>
      </w:r>
      <w:r w:rsidRPr="009054AD">
        <w:rPr>
          <w:i/>
          <w:iCs/>
          <w:color w:val="000000" w:themeColor="text1"/>
        </w:rPr>
        <w:t xml:space="preserve">Manual for use with checklist of </w:t>
      </w:r>
      <w:proofErr w:type="spellStart"/>
      <w:r w:rsidRPr="009054AD">
        <w:rPr>
          <w:i/>
          <w:iCs/>
          <w:color w:val="000000" w:themeColor="text1"/>
        </w:rPr>
        <w:t>schizotypic</w:t>
      </w:r>
      <w:proofErr w:type="spellEnd"/>
      <w:r w:rsidRPr="009054AD">
        <w:rPr>
          <w:i/>
          <w:iCs/>
          <w:color w:val="000000" w:themeColor="text1"/>
        </w:rPr>
        <w:t xml:space="preserve"> signs</w:t>
      </w:r>
      <w:r w:rsidRPr="009054AD">
        <w:rPr>
          <w:color w:val="000000" w:themeColor="text1"/>
        </w:rPr>
        <w:t xml:space="preserve">. University of Minnesota. </w:t>
      </w:r>
      <w:hyperlink r:id="rId34" w:history="1">
        <w:r w:rsidRPr="009054AD">
          <w:rPr>
            <w:rStyle w:val="Hyperlink"/>
            <w:color w:val="000000" w:themeColor="text1"/>
          </w:rPr>
          <w:t>http://www.tc.umn.edu/~pemeehl/pubs.htm</w:t>
        </w:r>
      </w:hyperlink>
    </w:p>
    <w:p w14:paraId="781E3FD7"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Papadopoulos, F. C., Ekbom, A., Brandt, L., &amp; </w:t>
      </w:r>
      <w:proofErr w:type="spellStart"/>
      <w:r w:rsidRPr="009054AD">
        <w:rPr>
          <w:color w:val="000000" w:themeColor="text1"/>
        </w:rPr>
        <w:t>Ekselius</w:t>
      </w:r>
      <w:proofErr w:type="spellEnd"/>
      <w:r w:rsidRPr="009054AD">
        <w:rPr>
          <w:color w:val="000000" w:themeColor="text1"/>
        </w:rPr>
        <w:t xml:space="preserve">, L. (2009). Excess mortality, causes of death and prognostic factors in anorexia nervosa. </w:t>
      </w:r>
      <w:r w:rsidRPr="009054AD">
        <w:rPr>
          <w:i/>
          <w:iCs/>
          <w:color w:val="000000" w:themeColor="text1"/>
        </w:rPr>
        <w:t>British Journal of Psychiatry</w:t>
      </w:r>
      <w:r w:rsidRPr="009054AD">
        <w:rPr>
          <w:color w:val="000000" w:themeColor="text1"/>
        </w:rPr>
        <w:t xml:space="preserve">, </w:t>
      </w:r>
      <w:r w:rsidRPr="009054AD">
        <w:rPr>
          <w:i/>
          <w:iCs/>
          <w:color w:val="000000" w:themeColor="text1"/>
        </w:rPr>
        <w:t>194</w:t>
      </w:r>
      <w:r w:rsidRPr="009054AD">
        <w:rPr>
          <w:color w:val="000000" w:themeColor="text1"/>
        </w:rPr>
        <w:t xml:space="preserve">(1), 10-17. </w:t>
      </w:r>
      <w:hyperlink r:id="rId35" w:history="1">
        <w:r w:rsidRPr="009054AD">
          <w:rPr>
            <w:rStyle w:val="Hyperlink"/>
            <w:color w:val="000000" w:themeColor="text1"/>
          </w:rPr>
          <w:t>https://doi.org/10.1192/bjp.bp.108.054742</w:t>
        </w:r>
      </w:hyperlink>
    </w:p>
    <w:p w14:paraId="3B8411A5"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Raine, A. (1991). The SPQ: A scale for the assessment of schizotypal personality based on </w:t>
      </w:r>
      <w:r w:rsidRPr="009054AD">
        <w:rPr>
          <w:i/>
          <w:color w:val="000000" w:themeColor="text1"/>
        </w:rPr>
        <w:t>DSM-III-R</w:t>
      </w:r>
      <w:r w:rsidRPr="009054AD">
        <w:rPr>
          <w:color w:val="000000" w:themeColor="text1"/>
        </w:rPr>
        <w:t xml:space="preserve"> criteria. </w:t>
      </w:r>
      <w:r w:rsidRPr="009054AD">
        <w:rPr>
          <w:i/>
          <w:color w:val="000000" w:themeColor="text1"/>
        </w:rPr>
        <w:t>Schizophrenia Bulletin</w:t>
      </w:r>
      <w:r w:rsidRPr="009054AD">
        <w:rPr>
          <w:color w:val="000000" w:themeColor="text1"/>
        </w:rPr>
        <w:t>,</w:t>
      </w:r>
      <w:r w:rsidRPr="009054AD">
        <w:rPr>
          <w:i/>
          <w:color w:val="000000" w:themeColor="text1"/>
        </w:rPr>
        <w:t xml:space="preserve"> 17</w:t>
      </w:r>
      <w:r w:rsidRPr="009054AD">
        <w:rPr>
          <w:color w:val="000000" w:themeColor="text1"/>
        </w:rPr>
        <w:t xml:space="preserve">, 555-564. </w:t>
      </w:r>
    </w:p>
    <w:p w14:paraId="54A5A834" w14:textId="1A6085E1"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Rado</w:t>
      </w:r>
      <w:proofErr w:type="spellEnd"/>
      <w:r w:rsidRPr="009054AD">
        <w:rPr>
          <w:color w:val="000000" w:themeColor="text1"/>
        </w:rPr>
        <w:t>, S. (1960).</w:t>
      </w:r>
      <w:r w:rsidR="00943629" w:rsidRPr="009054AD">
        <w:rPr>
          <w:color w:val="000000" w:themeColor="text1"/>
        </w:rPr>
        <w:t xml:space="preserve"> </w:t>
      </w:r>
      <w:r w:rsidRPr="009054AD">
        <w:rPr>
          <w:color w:val="000000" w:themeColor="text1"/>
        </w:rPr>
        <w:t xml:space="preserve">Theory and therapy: The theory of schizotypal organization and its application to the treatment of decompensated schizotypal behavior. In S. C. </w:t>
      </w:r>
      <w:proofErr w:type="spellStart"/>
      <w:proofErr w:type="gramStart"/>
      <w:r w:rsidRPr="009054AD">
        <w:rPr>
          <w:color w:val="000000" w:themeColor="text1"/>
        </w:rPr>
        <w:t>Scher</w:t>
      </w:r>
      <w:proofErr w:type="spellEnd"/>
      <w:r w:rsidRPr="009054AD">
        <w:rPr>
          <w:color w:val="000000" w:themeColor="text1"/>
        </w:rPr>
        <w:t>,  &amp;</w:t>
      </w:r>
      <w:proofErr w:type="gramEnd"/>
      <w:r w:rsidRPr="009054AD">
        <w:rPr>
          <w:color w:val="000000" w:themeColor="text1"/>
        </w:rPr>
        <w:t xml:space="preserve"> H. R. Davis (Eds.), </w:t>
      </w:r>
      <w:r w:rsidRPr="009054AD">
        <w:rPr>
          <w:i/>
          <w:iCs/>
          <w:color w:val="000000" w:themeColor="text1"/>
        </w:rPr>
        <w:t>The outpatient treatment of schizophrenia</w:t>
      </w:r>
      <w:r w:rsidRPr="009054AD">
        <w:rPr>
          <w:color w:val="000000" w:themeColor="text1"/>
        </w:rPr>
        <w:t xml:space="preserve"> (pp.</w:t>
      </w:r>
      <w:r w:rsidR="00943629" w:rsidRPr="009054AD">
        <w:rPr>
          <w:color w:val="000000" w:themeColor="text1"/>
        </w:rPr>
        <w:t xml:space="preserve"> </w:t>
      </w:r>
      <w:r w:rsidRPr="009054AD">
        <w:rPr>
          <w:color w:val="000000" w:themeColor="text1"/>
        </w:rPr>
        <w:t>87-101).</w:t>
      </w:r>
      <w:r w:rsidR="00943629" w:rsidRPr="009054AD">
        <w:rPr>
          <w:color w:val="000000" w:themeColor="text1"/>
        </w:rPr>
        <w:t xml:space="preserve"> </w:t>
      </w:r>
      <w:r w:rsidRPr="009054AD">
        <w:rPr>
          <w:color w:val="000000" w:themeColor="text1"/>
        </w:rPr>
        <w:t xml:space="preserve"> </w:t>
      </w:r>
      <w:proofErr w:type="spellStart"/>
      <w:r w:rsidRPr="009054AD">
        <w:rPr>
          <w:color w:val="000000" w:themeColor="text1"/>
        </w:rPr>
        <w:t>Grune</w:t>
      </w:r>
      <w:proofErr w:type="spellEnd"/>
      <w:r w:rsidRPr="009054AD">
        <w:rPr>
          <w:color w:val="000000" w:themeColor="text1"/>
        </w:rPr>
        <w:t xml:space="preserve"> and Stratton.</w:t>
      </w:r>
      <w:r w:rsidR="00943629" w:rsidRPr="009054AD">
        <w:rPr>
          <w:color w:val="000000" w:themeColor="text1"/>
        </w:rPr>
        <w:t xml:space="preserve"> </w:t>
      </w:r>
    </w:p>
    <w:p w14:paraId="7232B4BF"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Raynal</w:t>
      </w:r>
      <w:proofErr w:type="spellEnd"/>
      <w:r w:rsidRPr="009054AD">
        <w:rPr>
          <w:color w:val="000000" w:themeColor="text1"/>
        </w:rPr>
        <w:t xml:space="preserve">, P., </w:t>
      </w:r>
      <w:proofErr w:type="spellStart"/>
      <w:r w:rsidRPr="009054AD">
        <w:rPr>
          <w:color w:val="000000" w:themeColor="text1"/>
        </w:rPr>
        <w:t>Melioli</w:t>
      </w:r>
      <w:proofErr w:type="spellEnd"/>
      <w:r w:rsidRPr="009054AD">
        <w:rPr>
          <w:color w:val="000000" w:themeColor="text1"/>
        </w:rPr>
        <w:t xml:space="preserve">, T., &amp; </w:t>
      </w:r>
      <w:proofErr w:type="spellStart"/>
      <w:r w:rsidRPr="009054AD">
        <w:rPr>
          <w:color w:val="000000" w:themeColor="text1"/>
        </w:rPr>
        <w:t>Cabrol</w:t>
      </w:r>
      <w:proofErr w:type="spellEnd"/>
      <w:r w:rsidRPr="009054AD">
        <w:rPr>
          <w:color w:val="000000" w:themeColor="text1"/>
        </w:rPr>
        <w:t xml:space="preserve">, H. (2016). Personality profiles in young adults with disordered eating behavior. </w:t>
      </w:r>
      <w:r w:rsidRPr="009054AD">
        <w:rPr>
          <w:i/>
          <w:color w:val="000000" w:themeColor="text1"/>
        </w:rPr>
        <w:t>Eating Behavior</w:t>
      </w:r>
      <w:r w:rsidRPr="009054AD">
        <w:rPr>
          <w:color w:val="000000" w:themeColor="text1"/>
        </w:rPr>
        <w:t xml:space="preserve">, </w:t>
      </w:r>
      <w:r w:rsidRPr="009054AD">
        <w:rPr>
          <w:i/>
          <w:color w:val="000000" w:themeColor="text1"/>
        </w:rPr>
        <w:t>22</w:t>
      </w:r>
      <w:r w:rsidRPr="009054AD">
        <w:rPr>
          <w:color w:val="000000" w:themeColor="text1"/>
        </w:rPr>
        <w:t xml:space="preserve">, 119-123. </w:t>
      </w:r>
      <w:hyperlink r:id="rId36" w:history="1">
        <w:r w:rsidRPr="009054AD">
          <w:rPr>
            <w:rStyle w:val="Hyperlink"/>
            <w:color w:val="000000" w:themeColor="text1"/>
          </w:rPr>
          <w:t>https://doi.org/10.1016/j.eatbeh.2016.06.020</w:t>
        </w:r>
      </w:hyperlink>
    </w:p>
    <w:p w14:paraId="1E4CE5C5"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Sankaranarayanan</w:t>
      </w:r>
      <w:proofErr w:type="spellEnd"/>
      <w:r w:rsidRPr="009054AD">
        <w:rPr>
          <w:color w:val="000000" w:themeColor="text1"/>
        </w:rPr>
        <w:t xml:space="preserve">, A., Johnson, K., </w:t>
      </w:r>
      <w:proofErr w:type="spellStart"/>
      <w:r w:rsidRPr="009054AD">
        <w:rPr>
          <w:color w:val="000000" w:themeColor="text1"/>
        </w:rPr>
        <w:t>Mammen</w:t>
      </w:r>
      <w:proofErr w:type="spellEnd"/>
      <w:r w:rsidRPr="009054AD">
        <w:rPr>
          <w:color w:val="000000" w:themeColor="text1"/>
        </w:rPr>
        <w:t xml:space="preserve">, S. J., Wilding, H. E., </w:t>
      </w:r>
      <w:proofErr w:type="spellStart"/>
      <w:r w:rsidRPr="009054AD">
        <w:rPr>
          <w:color w:val="000000" w:themeColor="text1"/>
        </w:rPr>
        <w:t>Vasani</w:t>
      </w:r>
      <w:proofErr w:type="spellEnd"/>
      <w:r w:rsidRPr="009054AD">
        <w:rPr>
          <w:color w:val="000000" w:themeColor="text1"/>
        </w:rPr>
        <w:t xml:space="preserve">, D., Murali, V., </w:t>
      </w:r>
      <w:proofErr w:type="spellStart"/>
      <w:r w:rsidRPr="009054AD">
        <w:rPr>
          <w:color w:val="000000" w:themeColor="text1"/>
        </w:rPr>
        <w:t>Mitchison</w:t>
      </w:r>
      <w:proofErr w:type="spellEnd"/>
      <w:r w:rsidRPr="009054AD">
        <w:rPr>
          <w:color w:val="000000" w:themeColor="text1"/>
        </w:rPr>
        <w:t xml:space="preserve">, D., Castle, F. J., &amp; Hay, P. (2021). Disordered eating </w:t>
      </w:r>
      <w:proofErr w:type="spellStart"/>
      <w:r w:rsidRPr="009054AD">
        <w:rPr>
          <w:color w:val="000000" w:themeColor="text1"/>
        </w:rPr>
        <w:t>amonh</w:t>
      </w:r>
      <w:proofErr w:type="spellEnd"/>
      <w:r w:rsidRPr="009054AD">
        <w:rPr>
          <w:color w:val="000000" w:themeColor="text1"/>
        </w:rPr>
        <w:t xml:space="preserve"> people with schizophrenia spectrum disorders: A systematic review. </w:t>
      </w:r>
      <w:r w:rsidRPr="009054AD">
        <w:rPr>
          <w:i/>
          <w:iCs/>
          <w:color w:val="000000" w:themeColor="text1"/>
        </w:rPr>
        <w:t>Nutrients</w:t>
      </w:r>
      <w:r w:rsidRPr="009054AD">
        <w:rPr>
          <w:color w:val="000000" w:themeColor="text1"/>
        </w:rPr>
        <w:t xml:space="preserve">, </w:t>
      </w:r>
      <w:r w:rsidRPr="009054AD">
        <w:rPr>
          <w:i/>
          <w:iCs/>
          <w:color w:val="000000" w:themeColor="text1"/>
        </w:rPr>
        <w:t>13</w:t>
      </w:r>
      <w:r w:rsidRPr="009054AD">
        <w:rPr>
          <w:color w:val="000000" w:themeColor="text1"/>
        </w:rPr>
        <w:t xml:space="preserve">(11), 3820. </w:t>
      </w:r>
      <w:hyperlink r:id="rId37" w:history="1">
        <w:r w:rsidRPr="009054AD">
          <w:rPr>
            <w:rStyle w:val="Hyperlink"/>
            <w:color w:val="000000" w:themeColor="text1"/>
          </w:rPr>
          <w:t>https://doi.org/10.3390/nu1311820</w:t>
        </w:r>
      </w:hyperlink>
    </w:p>
    <w:p w14:paraId="07177D14"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Sansone, R. A., &amp; Sansone, L. A. (2007). Childhood trauma, borderline personality, and eating disorders: A developmental cascade. </w:t>
      </w:r>
      <w:r w:rsidRPr="009054AD">
        <w:rPr>
          <w:i/>
          <w:iCs/>
          <w:color w:val="000000" w:themeColor="text1"/>
        </w:rPr>
        <w:t>Eating Disorders</w:t>
      </w:r>
      <w:r w:rsidRPr="009054AD">
        <w:rPr>
          <w:color w:val="000000" w:themeColor="text1"/>
        </w:rPr>
        <w:t xml:space="preserve">, </w:t>
      </w:r>
      <w:r w:rsidRPr="009054AD">
        <w:rPr>
          <w:i/>
          <w:iCs/>
          <w:color w:val="000000" w:themeColor="text1"/>
        </w:rPr>
        <w:t>15</w:t>
      </w:r>
      <w:r w:rsidRPr="009054AD">
        <w:rPr>
          <w:color w:val="000000" w:themeColor="text1"/>
        </w:rPr>
        <w:t xml:space="preserve">(4), 333-346. </w:t>
      </w:r>
      <w:hyperlink r:id="rId38" w:history="1">
        <w:r w:rsidRPr="009054AD">
          <w:rPr>
            <w:rStyle w:val="Hyperlink"/>
            <w:color w:val="000000" w:themeColor="text1"/>
          </w:rPr>
          <w:t>https://doi.org/10.1080/10640260701454345</w:t>
        </w:r>
      </w:hyperlink>
    </w:p>
    <w:p w14:paraId="2B2618D2" w14:textId="77777777" w:rsidR="0082611C" w:rsidRPr="009054AD" w:rsidRDefault="0082611C" w:rsidP="00943629">
      <w:pPr>
        <w:pStyle w:val="MDPI71References"/>
        <w:numPr>
          <w:ilvl w:val="0"/>
          <w:numId w:val="32"/>
        </w:numPr>
        <w:rPr>
          <w:color w:val="000000" w:themeColor="text1"/>
          <w:u w:val="single"/>
        </w:rPr>
      </w:pPr>
      <w:proofErr w:type="spellStart"/>
      <w:r w:rsidRPr="009054AD">
        <w:rPr>
          <w:color w:val="000000" w:themeColor="text1"/>
        </w:rPr>
        <w:t>Stice</w:t>
      </w:r>
      <w:proofErr w:type="spellEnd"/>
      <w:r w:rsidRPr="009054AD">
        <w:rPr>
          <w:color w:val="000000" w:themeColor="text1"/>
        </w:rPr>
        <w:t xml:space="preserve">, E., </w:t>
      </w:r>
      <w:proofErr w:type="spellStart"/>
      <w:r w:rsidRPr="009054AD">
        <w:rPr>
          <w:color w:val="000000" w:themeColor="text1"/>
        </w:rPr>
        <w:t>Gau</w:t>
      </w:r>
      <w:proofErr w:type="spellEnd"/>
      <w:r w:rsidRPr="009054AD">
        <w:rPr>
          <w:color w:val="000000" w:themeColor="text1"/>
        </w:rPr>
        <w:t xml:space="preserve">, J. M., Rohde, P., &amp; Shaw, H. (2017). Risk factors that predict future onset of each </w:t>
      </w:r>
      <w:r w:rsidRPr="009054AD">
        <w:rPr>
          <w:i/>
          <w:iCs/>
          <w:color w:val="000000" w:themeColor="text1"/>
        </w:rPr>
        <w:t>DSM-5</w:t>
      </w:r>
      <w:r w:rsidRPr="009054AD">
        <w:rPr>
          <w:color w:val="000000" w:themeColor="text1"/>
        </w:rPr>
        <w:t xml:space="preserve"> eating disorder: Predictive specificity in high-risk adolescent females. </w:t>
      </w:r>
      <w:r w:rsidRPr="009054AD">
        <w:rPr>
          <w:i/>
          <w:iCs/>
          <w:color w:val="000000" w:themeColor="text1"/>
        </w:rPr>
        <w:t>Journal of Abnormal Psychology</w:t>
      </w:r>
      <w:r w:rsidRPr="009054AD">
        <w:rPr>
          <w:color w:val="000000" w:themeColor="text1"/>
        </w:rPr>
        <w:t xml:space="preserve">, </w:t>
      </w:r>
      <w:r w:rsidRPr="009054AD">
        <w:rPr>
          <w:i/>
          <w:iCs/>
          <w:color w:val="000000" w:themeColor="text1"/>
        </w:rPr>
        <w:t>126</w:t>
      </w:r>
      <w:r w:rsidRPr="009054AD">
        <w:rPr>
          <w:color w:val="000000" w:themeColor="text1"/>
        </w:rPr>
        <w:t xml:space="preserve">, 38-51. </w:t>
      </w:r>
      <w:hyperlink r:id="rId39" w:history="1">
        <w:r w:rsidRPr="009054AD">
          <w:rPr>
            <w:rStyle w:val="Hyperlink"/>
            <w:color w:val="000000" w:themeColor="text1"/>
          </w:rPr>
          <w:t>https://doi.org/10.1037/abn0000219</w:t>
        </w:r>
      </w:hyperlink>
    </w:p>
    <w:p w14:paraId="6F92FEBD" w14:textId="77777777" w:rsidR="0082611C" w:rsidRPr="009054AD" w:rsidRDefault="0082611C" w:rsidP="00943629">
      <w:pPr>
        <w:pStyle w:val="MDPI71References"/>
        <w:numPr>
          <w:ilvl w:val="0"/>
          <w:numId w:val="32"/>
        </w:numPr>
        <w:rPr>
          <w:color w:val="000000" w:themeColor="text1"/>
          <w:u w:val="single"/>
        </w:rPr>
      </w:pPr>
      <w:proofErr w:type="spellStart"/>
      <w:r w:rsidRPr="009054AD">
        <w:rPr>
          <w:color w:val="000000" w:themeColor="text1"/>
        </w:rPr>
        <w:t>Swinbourne</w:t>
      </w:r>
      <w:proofErr w:type="spellEnd"/>
      <w:r w:rsidRPr="009054AD">
        <w:rPr>
          <w:color w:val="000000" w:themeColor="text1"/>
        </w:rPr>
        <w:t xml:space="preserve">, J., Hunt, C., Abbott, M., Russell, J., St Clare, T., &amp; </w:t>
      </w:r>
      <w:proofErr w:type="spellStart"/>
      <w:r w:rsidRPr="009054AD">
        <w:rPr>
          <w:color w:val="000000" w:themeColor="text1"/>
        </w:rPr>
        <w:t>Touyz</w:t>
      </w:r>
      <w:proofErr w:type="spellEnd"/>
      <w:r w:rsidRPr="009054AD">
        <w:rPr>
          <w:color w:val="000000" w:themeColor="text1"/>
        </w:rPr>
        <w:t xml:space="preserve">, S. (2012). The comorbidity between eating disorders and anxiety disorders: Prevalence in an eating disorder sample and anxiety disorder sample. </w:t>
      </w:r>
      <w:r w:rsidRPr="009054AD">
        <w:rPr>
          <w:i/>
          <w:iCs/>
          <w:color w:val="000000" w:themeColor="text1"/>
        </w:rPr>
        <w:t>Australian &amp; New Zealand Journal of Psychiatry</w:t>
      </w:r>
      <w:r w:rsidRPr="009054AD">
        <w:rPr>
          <w:color w:val="000000" w:themeColor="text1"/>
        </w:rPr>
        <w:t>,</w:t>
      </w:r>
      <w:r w:rsidRPr="009054AD">
        <w:rPr>
          <w:i/>
          <w:iCs/>
          <w:color w:val="000000" w:themeColor="text1"/>
        </w:rPr>
        <w:t xml:space="preserve"> 46</w:t>
      </w:r>
      <w:r w:rsidRPr="009054AD">
        <w:rPr>
          <w:color w:val="000000" w:themeColor="text1"/>
        </w:rPr>
        <w:t xml:space="preserve">(2), 118–131. </w:t>
      </w:r>
      <w:hyperlink r:id="rId40" w:history="1">
        <w:r w:rsidRPr="009054AD">
          <w:rPr>
            <w:rStyle w:val="Hyperlink"/>
            <w:color w:val="000000" w:themeColor="text1"/>
          </w:rPr>
          <w:t>https://doi.org/10.1177/0004867411432071</w:t>
        </w:r>
      </w:hyperlink>
    </w:p>
    <w:p w14:paraId="75437951"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Torregrossa</w:t>
      </w:r>
      <w:proofErr w:type="spellEnd"/>
      <w:r w:rsidRPr="009054AD">
        <w:rPr>
          <w:color w:val="000000" w:themeColor="text1"/>
        </w:rPr>
        <w:t xml:space="preserve">, L. J., &amp; Park, S. (2022). Body ownership across schizotypy dimensions: A rubber hand illusion experiment. </w:t>
      </w:r>
      <w:r w:rsidRPr="009054AD">
        <w:rPr>
          <w:i/>
          <w:iCs/>
          <w:color w:val="000000" w:themeColor="text1"/>
        </w:rPr>
        <w:t>Psychiatry Research Communications</w:t>
      </w:r>
      <w:r w:rsidRPr="009054AD">
        <w:rPr>
          <w:color w:val="000000" w:themeColor="text1"/>
        </w:rPr>
        <w:t xml:space="preserve">, </w:t>
      </w:r>
      <w:r w:rsidRPr="009054AD">
        <w:rPr>
          <w:i/>
          <w:iCs/>
          <w:color w:val="000000" w:themeColor="text1"/>
        </w:rPr>
        <w:t>2</w:t>
      </w:r>
      <w:r w:rsidRPr="009054AD">
        <w:rPr>
          <w:color w:val="000000" w:themeColor="text1"/>
        </w:rPr>
        <w:t xml:space="preserve">(3), 100058. </w:t>
      </w:r>
      <w:hyperlink r:id="rId41" w:history="1">
        <w:r w:rsidRPr="009054AD">
          <w:rPr>
            <w:rStyle w:val="Hyperlink"/>
            <w:color w:val="000000" w:themeColor="text1"/>
          </w:rPr>
          <w:t>https://doi.org/10.1016/j.psycom.2022.100058</w:t>
        </w:r>
      </w:hyperlink>
    </w:p>
    <w:p w14:paraId="3891FE8E"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Treasure, J. C., </w:t>
      </w:r>
      <w:proofErr w:type="spellStart"/>
      <w:r w:rsidRPr="009054AD">
        <w:rPr>
          <w:color w:val="000000" w:themeColor="text1"/>
        </w:rPr>
        <w:t>Claudino</w:t>
      </w:r>
      <w:proofErr w:type="spellEnd"/>
      <w:r w:rsidRPr="009054AD">
        <w:rPr>
          <w:color w:val="000000" w:themeColor="text1"/>
        </w:rPr>
        <w:t xml:space="preserve">, A. M., &amp; Zucker, N. (2010). Eating disorders. </w:t>
      </w:r>
      <w:r w:rsidRPr="009054AD">
        <w:rPr>
          <w:i/>
          <w:iCs/>
          <w:color w:val="000000" w:themeColor="text1"/>
        </w:rPr>
        <w:t>The Lancet</w:t>
      </w:r>
      <w:r w:rsidRPr="009054AD">
        <w:rPr>
          <w:color w:val="000000" w:themeColor="text1"/>
        </w:rPr>
        <w:t xml:space="preserve">, </w:t>
      </w:r>
      <w:r w:rsidRPr="009054AD">
        <w:rPr>
          <w:i/>
          <w:iCs/>
          <w:color w:val="000000" w:themeColor="text1"/>
        </w:rPr>
        <w:t>375</w:t>
      </w:r>
      <w:r w:rsidRPr="009054AD">
        <w:rPr>
          <w:color w:val="000000" w:themeColor="text1"/>
        </w:rPr>
        <w:t xml:space="preserve">(9174), 583-593. </w:t>
      </w:r>
      <w:hyperlink r:id="rId42" w:history="1">
        <w:r w:rsidRPr="009054AD">
          <w:rPr>
            <w:rStyle w:val="Hyperlink"/>
            <w:color w:val="000000" w:themeColor="text1"/>
          </w:rPr>
          <w:t>https://doi.org/10.1016/S0140-6736(03)12378-1</w:t>
        </w:r>
      </w:hyperlink>
    </w:p>
    <w:p w14:paraId="53DF573D" w14:textId="015F17C2" w:rsidR="0082611C" w:rsidRPr="009054AD" w:rsidRDefault="0082611C" w:rsidP="00943629">
      <w:pPr>
        <w:pStyle w:val="MDPI71References"/>
        <w:numPr>
          <w:ilvl w:val="0"/>
          <w:numId w:val="32"/>
        </w:numPr>
        <w:rPr>
          <w:color w:val="000000" w:themeColor="text1"/>
        </w:rPr>
      </w:pPr>
      <w:r w:rsidRPr="009054AD">
        <w:rPr>
          <w:color w:val="000000" w:themeColor="text1"/>
        </w:rPr>
        <w:t xml:space="preserve">Udo, T., &amp; </w:t>
      </w:r>
      <w:proofErr w:type="spellStart"/>
      <w:r w:rsidRPr="009054AD">
        <w:rPr>
          <w:color w:val="000000" w:themeColor="text1"/>
        </w:rPr>
        <w:t>Grilo</w:t>
      </w:r>
      <w:proofErr w:type="spellEnd"/>
      <w:r w:rsidRPr="009054AD">
        <w:rPr>
          <w:color w:val="000000" w:themeColor="text1"/>
        </w:rPr>
        <w:t>, C. M. (2019). Psychiatric and medical correlates of</w:t>
      </w:r>
      <w:r w:rsidR="00943629" w:rsidRPr="009054AD">
        <w:rPr>
          <w:color w:val="000000" w:themeColor="text1"/>
        </w:rPr>
        <w:t xml:space="preserve"> </w:t>
      </w:r>
      <w:r w:rsidRPr="009054AD">
        <w:rPr>
          <w:i/>
          <w:iCs/>
          <w:color w:val="000000" w:themeColor="text1"/>
        </w:rPr>
        <w:t>DSM-5</w:t>
      </w:r>
      <w:r w:rsidR="00943629" w:rsidRPr="009054AD">
        <w:rPr>
          <w:color w:val="000000" w:themeColor="text1"/>
        </w:rPr>
        <w:t xml:space="preserve"> </w:t>
      </w:r>
      <w:r w:rsidRPr="009054AD">
        <w:rPr>
          <w:color w:val="000000" w:themeColor="text1"/>
        </w:rPr>
        <w:t xml:space="preserve">eating disorders in a nationally representative sample of adults in the United States. </w:t>
      </w:r>
      <w:r w:rsidRPr="009054AD">
        <w:rPr>
          <w:i/>
          <w:iCs/>
          <w:color w:val="000000" w:themeColor="text1"/>
        </w:rPr>
        <w:t>International Journal of Eating Disorders</w:t>
      </w:r>
      <w:r w:rsidRPr="009054AD">
        <w:rPr>
          <w:color w:val="000000" w:themeColor="text1"/>
        </w:rPr>
        <w:t xml:space="preserve">, </w:t>
      </w:r>
      <w:r w:rsidRPr="009054AD">
        <w:rPr>
          <w:i/>
          <w:iCs/>
          <w:color w:val="000000" w:themeColor="text1"/>
        </w:rPr>
        <w:t>52</w:t>
      </w:r>
      <w:r w:rsidRPr="009054AD">
        <w:rPr>
          <w:color w:val="000000" w:themeColor="text1"/>
        </w:rPr>
        <w:t xml:space="preserve">(1), 42-50. </w:t>
      </w:r>
      <w:hyperlink r:id="rId43" w:history="1">
        <w:r w:rsidRPr="009054AD">
          <w:rPr>
            <w:rStyle w:val="Hyperlink"/>
            <w:color w:val="000000" w:themeColor="text1"/>
          </w:rPr>
          <w:t>https://doi.org/10.1002/eat.23004</w:t>
        </w:r>
      </w:hyperlink>
    </w:p>
    <w:p w14:paraId="3A22AE34" w14:textId="77777777" w:rsidR="0082611C" w:rsidRPr="009054AD" w:rsidRDefault="0082611C" w:rsidP="00943629">
      <w:pPr>
        <w:pStyle w:val="MDPI71References"/>
        <w:numPr>
          <w:ilvl w:val="0"/>
          <w:numId w:val="32"/>
        </w:numPr>
        <w:rPr>
          <w:color w:val="000000" w:themeColor="text1"/>
        </w:rPr>
      </w:pPr>
      <w:r w:rsidRPr="009054AD">
        <w:rPr>
          <w:color w:val="000000" w:themeColor="text1"/>
        </w:rPr>
        <w:t xml:space="preserve">Valente, S., Di Girolamo, G., </w:t>
      </w:r>
      <w:proofErr w:type="spellStart"/>
      <w:r w:rsidRPr="009054AD">
        <w:rPr>
          <w:color w:val="000000" w:themeColor="text1"/>
        </w:rPr>
        <w:t>Forlani</w:t>
      </w:r>
      <w:proofErr w:type="spellEnd"/>
      <w:r w:rsidRPr="009054AD">
        <w:rPr>
          <w:color w:val="000000" w:themeColor="text1"/>
        </w:rPr>
        <w:t xml:space="preserve">, M., Biondini, A., </w:t>
      </w:r>
      <w:proofErr w:type="spellStart"/>
      <w:r w:rsidRPr="009054AD">
        <w:rPr>
          <w:color w:val="000000" w:themeColor="text1"/>
        </w:rPr>
        <w:t>Scudellari</w:t>
      </w:r>
      <w:proofErr w:type="spellEnd"/>
      <w:r w:rsidRPr="009054AD">
        <w:rPr>
          <w:color w:val="000000" w:themeColor="text1"/>
        </w:rPr>
        <w:t xml:space="preserve">, P., &amp; De Ronchi, D. (2017). Sex-specific issues in eating disorders: A clinical and psychopathological investigation. </w:t>
      </w:r>
      <w:r w:rsidRPr="009054AD">
        <w:rPr>
          <w:i/>
          <w:color w:val="000000" w:themeColor="text1"/>
        </w:rPr>
        <w:t>Eating and Weight Disorders</w:t>
      </w:r>
      <w:r w:rsidRPr="009054AD">
        <w:rPr>
          <w:color w:val="000000" w:themeColor="text1"/>
        </w:rPr>
        <w:t xml:space="preserve">, </w:t>
      </w:r>
      <w:r w:rsidRPr="009054AD">
        <w:rPr>
          <w:i/>
          <w:color w:val="000000" w:themeColor="text1"/>
        </w:rPr>
        <w:t>22</w:t>
      </w:r>
      <w:r w:rsidRPr="009054AD">
        <w:rPr>
          <w:color w:val="000000" w:themeColor="text1"/>
        </w:rPr>
        <w:t xml:space="preserve">, 707-715. </w:t>
      </w:r>
      <w:hyperlink r:id="rId44" w:history="1">
        <w:r w:rsidRPr="009054AD">
          <w:rPr>
            <w:rStyle w:val="Hyperlink"/>
            <w:color w:val="000000" w:themeColor="text1"/>
          </w:rPr>
          <w:t>https://doi.org/10.1007/s40519-017-0432-7</w:t>
        </w:r>
      </w:hyperlink>
    </w:p>
    <w:p w14:paraId="5F81E212"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Westen</w:t>
      </w:r>
      <w:proofErr w:type="spellEnd"/>
      <w:r w:rsidRPr="009054AD">
        <w:rPr>
          <w:color w:val="000000" w:themeColor="text1"/>
        </w:rPr>
        <w:t xml:space="preserve">, D., Thompson-Brenner, H., &amp; Peart, J. (2006). Personality and eating disorders. In S. </w:t>
      </w:r>
      <w:proofErr w:type="spellStart"/>
      <w:r w:rsidRPr="009054AD">
        <w:rPr>
          <w:color w:val="000000" w:themeColor="text1"/>
        </w:rPr>
        <w:t>Wonderlich</w:t>
      </w:r>
      <w:proofErr w:type="spellEnd"/>
      <w:r w:rsidRPr="009054AD">
        <w:rPr>
          <w:color w:val="000000" w:themeColor="text1"/>
        </w:rPr>
        <w:t xml:space="preserve">, J. Mitchell, L. </w:t>
      </w:r>
      <w:proofErr w:type="spellStart"/>
      <w:r w:rsidRPr="009054AD">
        <w:rPr>
          <w:color w:val="000000" w:themeColor="text1"/>
        </w:rPr>
        <w:t>Boath</w:t>
      </w:r>
      <w:proofErr w:type="spellEnd"/>
      <w:r w:rsidRPr="009054AD">
        <w:rPr>
          <w:color w:val="000000" w:themeColor="text1"/>
        </w:rPr>
        <w:t xml:space="preserve">, H. </w:t>
      </w:r>
      <w:proofErr w:type="spellStart"/>
      <w:r w:rsidRPr="009054AD">
        <w:rPr>
          <w:color w:val="000000" w:themeColor="text1"/>
        </w:rPr>
        <w:t>Steiger</w:t>
      </w:r>
      <w:proofErr w:type="spellEnd"/>
      <w:r w:rsidRPr="009054AD">
        <w:rPr>
          <w:color w:val="000000" w:themeColor="text1"/>
        </w:rPr>
        <w:t xml:space="preserve">, &amp; S. Crow (Eds.), </w:t>
      </w:r>
      <w:r w:rsidRPr="009054AD">
        <w:rPr>
          <w:i/>
          <w:iCs/>
          <w:color w:val="000000" w:themeColor="text1"/>
        </w:rPr>
        <w:t>Annual review of eating disorders, Part 2 – 2006</w:t>
      </w:r>
      <w:r w:rsidRPr="009054AD">
        <w:rPr>
          <w:color w:val="000000" w:themeColor="text1"/>
        </w:rPr>
        <w:t xml:space="preserve"> (pp. 86-102). Taylor &amp; Francis. </w:t>
      </w:r>
    </w:p>
    <w:p w14:paraId="14CABCEF"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Wonderlich</w:t>
      </w:r>
      <w:proofErr w:type="spellEnd"/>
      <w:r w:rsidRPr="009054AD">
        <w:rPr>
          <w:color w:val="000000" w:themeColor="text1"/>
        </w:rPr>
        <w:t xml:space="preserve">, S., &amp; Mitchell, J. E. (2001). The role of personality in the onset of eating disorders and treatment implications. </w:t>
      </w:r>
      <w:r w:rsidRPr="009054AD">
        <w:rPr>
          <w:i/>
          <w:iCs/>
          <w:color w:val="000000" w:themeColor="text1"/>
        </w:rPr>
        <w:t>Psychiatric Clinics of North America</w:t>
      </w:r>
      <w:r w:rsidRPr="009054AD">
        <w:rPr>
          <w:color w:val="000000" w:themeColor="text1"/>
        </w:rPr>
        <w:t xml:space="preserve">, </w:t>
      </w:r>
      <w:r w:rsidRPr="009054AD">
        <w:rPr>
          <w:i/>
          <w:iCs/>
          <w:color w:val="000000" w:themeColor="text1"/>
        </w:rPr>
        <w:t>24</w:t>
      </w:r>
      <w:r w:rsidRPr="009054AD">
        <w:rPr>
          <w:color w:val="000000" w:themeColor="text1"/>
        </w:rPr>
        <w:t xml:space="preserve">(2), 249-258. </w:t>
      </w:r>
      <w:hyperlink r:id="rId45" w:history="1">
        <w:r w:rsidRPr="009054AD">
          <w:rPr>
            <w:rStyle w:val="Hyperlink"/>
            <w:color w:val="000000" w:themeColor="text1"/>
          </w:rPr>
          <w:t>https://doi.org/10.1016/S0193-953X(05)70221-5</w:t>
        </w:r>
      </w:hyperlink>
    </w:p>
    <w:p w14:paraId="40BEE1FC"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Wonderlich</w:t>
      </w:r>
      <w:proofErr w:type="spellEnd"/>
      <w:r w:rsidRPr="009054AD">
        <w:rPr>
          <w:color w:val="000000" w:themeColor="text1"/>
        </w:rPr>
        <w:t xml:space="preserve">, S. A., Peterson, C. B., Crosby, R. D., Smith, T. L., Klein, M. H., Mitchell, J. E., &amp; Crow, S. J. (2014). A randomized controlled comparison of integrative cognitive-affective therapy (ICAT) and enhanced cognitive-behavioral therapy (CBT-E) for bulimia nervosa. </w:t>
      </w:r>
      <w:r w:rsidRPr="009054AD">
        <w:rPr>
          <w:i/>
          <w:iCs/>
          <w:color w:val="000000" w:themeColor="text1"/>
        </w:rPr>
        <w:t>Psychological Medicine</w:t>
      </w:r>
      <w:r w:rsidRPr="009054AD">
        <w:rPr>
          <w:color w:val="000000" w:themeColor="text1"/>
        </w:rPr>
        <w:t xml:space="preserve">, </w:t>
      </w:r>
      <w:r w:rsidRPr="009054AD">
        <w:rPr>
          <w:i/>
          <w:iCs/>
          <w:color w:val="000000" w:themeColor="text1"/>
        </w:rPr>
        <w:t>44</w:t>
      </w:r>
      <w:r w:rsidRPr="009054AD">
        <w:rPr>
          <w:color w:val="000000" w:themeColor="text1"/>
        </w:rPr>
        <w:t xml:space="preserve">(3), 543-553. </w:t>
      </w:r>
      <w:hyperlink r:id="rId46" w:history="1">
        <w:r w:rsidRPr="009054AD">
          <w:rPr>
            <w:rStyle w:val="Hyperlink"/>
            <w:color w:val="000000" w:themeColor="text1"/>
          </w:rPr>
          <w:t>https://doi.org/10.1017/S0033291713001098</w:t>
        </w:r>
      </w:hyperlink>
    </w:p>
    <w:p w14:paraId="75F04D1F" w14:textId="3146AA84" w:rsidR="0082611C" w:rsidRPr="009054AD" w:rsidRDefault="0082611C" w:rsidP="00943629">
      <w:pPr>
        <w:pStyle w:val="MDPI71References"/>
        <w:numPr>
          <w:ilvl w:val="0"/>
          <w:numId w:val="32"/>
        </w:numPr>
        <w:rPr>
          <w:color w:val="000000" w:themeColor="text1"/>
        </w:rPr>
      </w:pPr>
      <w:r w:rsidRPr="009054AD">
        <w:rPr>
          <w:color w:val="000000" w:themeColor="text1"/>
        </w:rPr>
        <w:lastRenderedPageBreak/>
        <w:t xml:space="preserve">Young, S., Rhodes, P., </w:t>
      </w:r>
      <w:proofErr w:type="spellStart"/>
      <w:r w:rsidRPr="009054AD">
        <w:rPr>
          <w:color w:val="000000" w:themeColor="text1"/>
        </w:rPr>
        <w:t>Touyz</w:t>
      </w:r>
      <w:proofErr w:type="spellEnd"/>
      <w:r w:rsidRPr="009054AD">
        <w:rPr>
          <w:color w:val="000000" w:themeColor="text1"/>
        </w:rPr>
        <w:t>, S., &amp; Hay, P. (2013)</w:t>
      </w:r>
      <w:r w:rsidRPr="009054AD">
        <w:rPr>
          <w:i/>
          <w:iCs/>
          <w:color w:val="000000" w:themeColor="text1"/>
        </w:rPr>
        <w:t>.</w:t>
      </w:r>
      <w:r w:rsidR="00943629" w:rsidRPr="009054AD">
        <w:rPr>
          <w:color w:val="000000" w:themeColor="text1"/>
        </w:rPr>
        <w:t xml:space="preserve"> </w:t>
      </w:r>
      <w:r w:rsidRPr="009054AD">
        <w:rPr>
          <w:color w:val="000000" w:themeColor="text1"/>
        </w:rPr>
        <w:t>The relationship between obsessive-compulsive personality disorder traits, obsessive-compulsive disorder and excessive exercise in patients with anorexia nervosa: a systematic review.</w:t>
      </w:r>
      <w:r w:rsidR="00943629" w:rsidRPr="009054AD">
        <w:rPr>
          <w:color w:val="000000" w:themeColor="text1"/>
        </w:rPr>
        <w:t xml:space="preserve"> </w:t>
      </w:r>
      <w:r w:rsidRPr="009054AD">
        <w:rPr>
          <w:i/>
          <w:iCs/>
          <w:color w:val="000000" w:themeColor="text1"/>
        </w:rPr>
        <w:t xml:space="preserve">Journal of </w:t>
      </w:r>
      <w:proofErr w:type="spellStart"/>
      <w:r w:rsidRPr="009054AD">
        <w:rPr>
          <w:i/>
          <w:iCs/>
          <w:color w:val="000000" w:themeColor="text1"/>
        </w:rPr>
        <w:t>Eatng</w:t>
      </w:r>
      <w:proofErr w:type="spellEnd"/>
      <w:r w:rsidRPr="009054AD">
        <w:rPr>
          <w:i/>
          <w:iCs/>
          <w:color w:val="000000" w:themeColor="text1"/>
        </w:rPr>
        <w:t xml:space="preserve"> Disorders</w:t>
      </w:r>
      <w:r w:rsidRPr="009054AD">
        <w:rPr>
          <w:color w:val="000000" w:themeColor="text1"/>
        </w:rPr>
        <w:t xml:space="preserve">, </w:t>
      </w:r>
      <w:r w:rsidRPr="009054AD">
        <w:rPr>
          <w:i/>
          <w:iCs/>
          <w:color w:val="000000" w:themeColor="text1"/>
        </w:rPr>
        <w:t>1</w:t>
      </w:r>
      <w:r w:rsidRPr="009054AD">
        <w:rPr>
          <w:color w:val="000000" w:themeColor="text1"/>
        </w:rPr>
        <w:t xml:space="preserve">, 16. </w:t>
      </w:r>
      <w:hyperlink r:id="rId47" w:history="1">
        <w:r w:rsidRPr="009054AD">
          <w:rPr>
            <w:rStyle w:val="Hyperlink"/>
            <w:color w:val="000000" w:themeColor="text1"/>
          </w:rPr>
          <w:t>https://doi.org/10.1186/2050-2974-1-16</w:t>
        </w:r>
      </w:hyperlink>
    </w:p>
    <w:p w14:paraId="1ECB9088"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Zachar</w:t>
      </w:r>
      <w:proofErr w:type="spellEnd"/>
      <w:r w:rsidRPr="009054AD">
        <w:rPr>
          <w:color w:val="000000" w:themeColor="text1"/>
        </w:rPr>
        <w:t xml:space="preserve">, P., &amp; Kendler, K. S. (2007). Psychiatric disorders: A conceptual taxonomy. </w:t>
      </w:r>
      <w:r w:rsidRPr="009054AD">
        <w:rPr>
          <w:i/>
          <w:iCs/>
          <w:color w:val="000000" w:themeColor="text1"/>
        </w:rPr>
        <w:t>American Journal of Psychiatry</w:t>
      </w:r>
      <w:r w:rsidRPr="009054AD">
        <w:rPr>
          <w:color w:val="000000" w:themeColor="text1"/>
        </w:rPr>
        <w:t xml:space="preserve">, </w:t>
      </w:r>
      <w:r w:rsidRPr="009054AD">
        <w:rPr>
          <w:i/>
          <w:iCs/>
          <w:color w:val="000000" w:themeColor="text1"/>
        </w:rPr>
        <w:t>164</w:t>
      </w:r>
      <w:r w:rsidRPr="009054AD">
        <w:rPr>
          <w:color w:val="000000" w:themeColor="text1"/>
        </w:rPr>
        <w:t>(4), 557-565.</w:t>
      </w:r>
    </w:p>
    <w:p w14:paraId="02746509" w14:textId="77777777" w:rsidR="0082611C" w:rsidRPr="009054AD" w:rsidRDefault="0082611C" w:rsidP="00943629">
      <w:pPr>
        <w:pStyle w:val="MDPI71References"/>
        <w:numPr>
          <w:ilvl w:val="0"/>
          <w:numId w:val="32"/>
        </w:numPr>
        <w:rPr>
          <w:color w:val="000000" w:themeColor="text1"/>
        </w:rPr>
      </w:pPr>
      <w:proofErr w:type="spellStart"/>
      <w:r w:rsidRPr="009054AD">
        <w:rPr>
          <w:color w:val="000000" w:themeColor="text1"/>
        </w:rPr>
        <w:t>Zaider</w:t>
      </w:r>
      <w:proofErr w:type="spellEnd"/>
      <w:r w:rsidRPr="009054AD">
        <w:rPr>
          <w:color w:val="000000" w:themeColor="text1"/>
        </w:rPr>
        <w:t xml:space="preserve">, T. I., Johnson, J. G., &amp; Cockell, S. J. (2000). Psychiatric comorbidity associated with eating disorder symptomatology among adolescents in the community. </w:t>
      </w:r>
      <w:r w:rsidRPr="009054AD">
        <w:rPr>
          <w:i/>
          <w:color w:val="000000" w:themeColor="text1"/>
        </w:rPr>
        <w:t>International Journal of Eating Disorders</w:t>
      </w:r>
      <w:r w:rsidRPr="009054AD">
        <w:rPr>
          <w:color w:val="000000" w:themeColor="text1"/>
        </w:rPr>
        <w:t xml:space="preserve">, </w:t>
      </w:r>
      <w:r w:rsidRPr="009054AD">
        <w:rPr>
          <w:i/>
          <w:color w:val="000000" w:themeColor="text1"/>
        </w:rPr>
        <w:t>28</w:t>
      </w:r>
      <w:r w:rsidRPr="009054AD">
        <w:rPr>
          <w:iCs/>
          <w:color w:val="000000" w:themeColor="text1"/>
        </w:rPr>
        <w:t>(1)</w:t>
      </w:r>
      <w:r w:rsidRPr="009054AD">
        <w:rPr>
          <w:color w:val="000000" w:themeColor="text1"/>
        </w:rPr>
        <w:t xml:space="preserve">, 58-67. </w:t>
      </w:r>
      <w:hyperlink r:id="rId48" w:history="1">
        <w:r w:rsidRPr="009054AD">
          <w:rPr>
            <w:rStyle w:val="Hyperlink"/>
            <w:color w:val="000000" w:themeColor="text1"/>
          </w:rPr>
          <w:t>https://doi.org/10.1002/(SICI)1098-108X(200007)28:1&lt;58::AID-EAT7&gt;3.0.CO;2-V</w:t>
        </w:r>
      </w:hyperlink>
    </w:p>
    <w:p w14:paraId="4654C384" w14:textId="77777777" w:rsidR="0082611C" w:rsidRPr="009054AD" w:rsidRDefault="0082611C" w:rsidP="00943629">
      <w:pPr>
        <w:pStyle w:val="MDPI71References"/>
        <w:numPr>
          <w:ilvl w:val="0"/>
          <w:numId w:val="32"/>
        </w:numPr>
        <w:rPr>
          <w:bCs/>
          <w:color w:val="000000" w:themeColor="text1"/>
        </w:rPr>
      </w:pPr>
      <w:r w:rsidRPr="009054AD">
        <w:rPr>
          <w:color w:val="000000" w:themeColor="text1"/>
        </w:rPr>
        <w:t xml:space="preserve">Zammit, S., </w:t>
      </w:r>
      <w:proofErr w:type="spellStart"/>
      <w:r w:rsidRPr="009054AD">
        <w:rPr>
          <w:color w:val="000000" w:themeColor="text1"/>
        </w:rPr>
        <w:t>Kounali</w:t>
      </w:r>
      <w:proofErr w:type="spellEnd"/>
      <w:r w:rsidRPr="009054AD">
        <w:rPr>
          <w:color w:val="000000" w:themeColor="text1"/>
        </w:rPr>
        <w:t xml:space="preserve">, D., Cannon, M., David, A. S., Gunnell, D., Heron, H., … &amp; Lewis, G. (2013). </w:t>
      </w:r>
      <w:r w:rsidRPr="009054AD">
        <w:rPr>
          <w:bCs/>
          <w:color w:val="000000" w:themeColor="text1"/>
        </w:rPr>
        <w:t xml:space="preserve">Psychotic experiences and psychotic disorders at age 18 in relation to psychotic experiences at age 12 in a longitudinal population-based cohort study. </w:t>
      </w:r>
      <w:r w:rsidRPr="009054AD">
        <w:rPr>
          <w:bCs/>
          <w:i/>
          <w:color w:val="000000" w:themeColor="text1"/>
        </w:rPr>
        <w:t>American Journal of Psychiatry</w:t>
      </w:r>
      <w:r w:rsidRPr="009054AD">
        <w:rPr>
          <w:bCs/>
          <w:color w:val="000000" w:themeColor="text1"/>
        </w:rPr>
        <w:t xml:space="preserve">, </w:t>
      </w:r>
      <w:r w:rsidRPr="009054AD">
        <w:rPr>
          <w:bCs/>
          <w:i/>
          <w:color w:val="000000" w:themeColor="text1"/>
        </w:rPr>
        <w:t>170</w:t>
      </w:r>
      <w:r w:rsidRPr="009054AD">
        <w:rPr>
          <w:bCs/>
          <w:iCs/>
          <w:color w:val="000000" w:themeColor="text1"/>
        </w:rPr>
        <w:t>(7)</w:t>
      </w:r>
      <w:r w:rsidRPr="009054AD">
        <w:rPr>
          <w:bCs/>
          <w:color w:val="000000" w:themeColor="text1"/>
        </w:rPr>
        <w:t xml:space="preserve">, 742-750. </w:t>
      </w:r>
      <w:hyperlink r:id="rId49" w:history="1">
        <w:r w:rsidRPr="009054AD">
          <w:rPr>
            <w:rStyle w:val="Hyperlink"/>
            <w:color w:val="000000" w:themeColor="text1"/>
          </w:rPr>
          <w:t>https://doi.org/10.1176/appi.ajp.2013.12060768</w:t>
        </w:r>
      </w:hyperlink>
      <w:bookmarkEnd w:id="0"/>
      <w:bookmarkEnd w:id="1"/>
    </w:p>
    <w:sectPr w:rsidR="0082611C" w:rsidRPr="009054AD" w:rsidSect="00DB1D8D">
      <w:headerReference w:type="even" r:id="rId50"/>
      <w:headerReference w:type="default" r:id="rId51"/>
      <w:footerReference w:type="default" r:id="rId52"/>
      <w:headerReference w:type="first" r:id="rId53"/>
      <w:footerReference w:type="first" r:id="rId5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90816" w14:textId="77777777" w:rsidR="00CA06D0" w:rsidRDefault="00CA06D0">
      <w:r>
        <w:separator/>
      </w:r>
    </w:p>
  </w:endnote>
  <w:endnote w:type="continuationSeparator" w:id="0">
    <w:p w14:paraId="32F6AEF5" w14:textId="77777777" w:rsidR="00CA06D0" w:rsidRDefault="00CA0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8DFE" w14:textId="77777777" w:rsidR="00E90986" w:rsidRPr="00590BF9" w:rsidRDefault="00E9098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4FC1" w14:textId="77777777" w:rsidR="00953C94" w:rsidRDefault="00953C94" w:rsidP="00F32F04">
    <w:pPr>
      <w:pStyle w:val="MDPIfooterfirstpage"/>
      <w:pBdr>
        <w:top w:val="single" w:sz="4" w:space="0" w:color="000000"/>
      </w:pBdr>
      <w:adjustRightInd w:val="0"/>
      <w:snapToGrid w:val="0"/>
      <w:spacing w:before="480" w:line="100" w:lineRule="exact"/>
      <w:rPr>
        <w:i/>
        <w:szCs w:val="16"/>
      </w:rPr>
    </w:pPr>
  </w:p>
  <w:p w14:paraId="22DC8445" w14:textId="134FCFEF" w:rsidR="00E90986" w:rsidRPr="00943629" w:rsidRDefault="00E90986" w:rsidP="00B200C8">
    <w:pPr>
      <w:pStyle w:val="MDPIfooterfirstpage"/>
      <w:tabs>
        <w:tab w:val="clear" w:pos="8845"/>
        <w:tab w:val="right" w:pos="10466"/>
      </w:tabs>
      <w:spacing w:line="240" w:lineRule="auto"/>
      <w:jc w:val="both"/>
    </w:pPr>
    <w:r w:rsidRPr="009231ED">
      <w:rPr>
        <w:i/>
        <w:szCs w:val="16"/>
      </w:rPr>
      <w:t>Int. J. Environ. Res. Public Health</w:t>
    </w:r>
    <w:r w:rsidRPr="009231ED">
      <w:rPr>
        <w:szCs w:val="16"/>
      </w:rPr>
      <w:t xml:space="preserve"> </w:t>
    </w:r>
    <w:r w:rsidR="00072F70" w:rsidRPr="00072F70">
      <w:rPr>
        <w:b/>
        <w:szCs w:val="16"/>
      </w:rPr>
      <w:t>2021</w:t>
    </w:r>
    <w:r w:rsidR="00AE348C" w:rsidRPr="00AE348C">
      <w:rPr>
        <w:szCs w:val="16"/>
      </w:rPr>
      <w:t xml:space="preserve">, </w:t>
    </w:r>
    <w:r w:rsidR="00072F70" w:rsidRPr="00072F70">
      <w:rPr>
        <w:i/>
        <w:szCs w:val="16"/>
      </w:rPr>
      <w:t>18</w:t>
    </w:r>
    <w:r w:rsidR="00AE348C" w:rsidRPr="00AE348C">
      <w:rPr>
        <w:szCs w:val="16"/>
      </w:rPr>
      <w:t xml:space="preserve">, </w:t>
    </w:r>
    <w:r w:rsidR="001F0C32">
      <w:rPr>
        <w:szCs w:val="16"/>
      </w:rPr>
      <w:t>x</w:t>
    </w:r>
    <w:r w:rsidR="00953C94">
      <w:rPr>
        <w:szCs w:val="16"/>
      </w:rPr>
      <w:t>. https://doi.org/10.3390/xxxxx</w:t>
    </w:r>
    <w:r w:rsidR="00943629">
      <w:rPr>
        <w:lang w:val="fr-CH"/>
      </w:rPr>
      <w:ptab w:relativeTo="margin" w:alignment="right" w:leader="none"/>
    </w:r>
    <w:r w:rsidRPr="00943629">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5B6DA" w14:textId="77777777" w:rsidR="00CA06D0" w:rsidRDefault="00CA06D0">
      <w:r>
        <w:separator/>
      </w:r>
    </w:p>
  </w:footnote>
  <w:footnote w:type="continuationSeparator" w:id="0">
    <w:p w14:paraId="11BC0BD9" w14:textId="77777777" w:rsidR="00CA06D0" w:rsidRDefault="00CA0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6DB5" w14:textId="77777777" w:rsidR="00E90986" w:rsidRDefault="00E9098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31E4" w14:textId="77CC5590" w:rsidR="00953C94" w:rsidRDefault="00E90986" w:rsidP="00B200C8">
    <w:pPr>
      <w:tabs>
        <w:tab w:val="right" w:pos="10466"/>
      </w:tabs>
      <w:adjustRightInd w:val="0"/>
      <w:snapToGrid w:val="0"/>
      <w:rPr>
        <w:sz w:val="16"/>
      </w:rPr>
    </w:pPr>
    <w:r>
      <w:rPr>
        <w:i/>
        <w:sz w:val="16"/>
      </w:rPr>
      <w:t xml:space="preserve">Int. J. Environ. Res. Public Health </w:t>
    </w:r>
    <w:r w:rsidR="00B432DE" w:rsidRPr="00B432DE">
      <w:rPr>
        <w:b/>
        <w:sz w:val="16"/>
      </w:rPr>
      <w:t>2021</w:t>
    </w:r>
    <w:r w:rsidR="00AE348C" w:rsidRPr="00AE348C">
      <w:rPr>
        <w:sz w:val="16"/>
      </w:rPr>
      <w:t xml:space="preserve">, </w:t>
    </w:r>
    <w:r w:rsidR="00B432DE" w:rsidRPr="00B432DE">
      <w:rPr>
        <w:i/>
        <w:sz w:val="16"/>
      </w:rPr>
      <w:t>18</w:t>
    </w:r>
    <w:r w:rsidR="001F0C32">
      <w:rPr>
        <w:sz w:val="16"/>
      </w:rPr>
      <w:t>, x FOR PEER REVIEW</w:t>
    </w:r>
    <w:r w:rsidR="00943629">
      <w:rPr>
        <w:sz w:val="16"/>
      </w:rPr>
      <w:ptab w:relativeTo="margin" w:alignment="right" w:leader="none"/>
    </w:r>
    <w:r w:rsidR="001F0C32">
      <w:rPr>
        <w:sz w:val="16"/>
      </w:rPr>
      <w:fldChar w:fldCharType="begin"/>
    </w:r>
    <w:r w:rsidR="001F0C32">
      <w:rPr>
        <w:sz w:val="16"/>
      </w:rPr>
      <w:instrText xml:space="preserve"> PAGE   \* MERGEFORMAT </w:instrText>
    </w:r>
    <w:r w:rsidR="001F0C32">
      <w:rPr>
        <w:sz w:val="16"/>
      </w:rPr>
      <w:fldChar w:fldCharType="separate"/>
    </w:r>
    <w:r w:rsidR="009313EF">
      <w:rPr>
        <w:sz w:val="16"/>
      </w:rPr>
      <w:t>5</w:t>
    </w:r>
    <w:r w:rsidR="001F0C32">
      <w:rPr>
        <w:sz w:val="16"/>
      </w:rPr>
      <w:fldChar w:fldCharType="end"/>
    </w:r>
    <w:r w:rsidR="001F0C32">
      <w:rPr>
        <w:sz w:val="16"/>
      </w:rPr>
      <w:t xml:space="preserve"> of </w:t>
    </w:r>
    <w:r w:rsidR="001F0C32">
      <w:rPr>
        <w:sz w:val="16"/>
      </w:rPr>
      <w:fldChar w:fldCharType="begin"/>
    </w:r>
    <w:r w:rsidR="001F0C32">
      <w:rPr>
        <w:sz w:val="16"/>
      </w:rPr>
      <w:instrText xml:space="preserve"> NUMPAGES   \* MERGEFORMAT </w:instrText>
    </w:r>
    <w:r w:rsidR="001F0C32">
      <w:rPr>
        <w:sz w:val="16"/>
      </w:rPr>
      <w:fldChar w:fldCharType="separate"/>
    </w:r>
    <w:r w:rsidR="009313EF">
      <w:rPr>
        <w:sz w:val="16"/>
      </w:rPr>
      <w:t>5</w:t>
    </w:r>
    <w:r w:rsidR="001F0C32">
      <w:rPr>
        <w:sz w:val="16"/>
      </w:rPr>
      <w:fldChar w:fldCharType="end"/>
    </w:r>
  </w:p>
  <w:p w14:paraId="626FE2E6" w14:textId="77777777" w:rsidR="00E90986" w:rsidRPr="00305CED" w:rsidRDefault="00E90986" w:rsidP="00F32F04">
    <w:pPr>
      <w:pBdr>
        <w:bottom w:val="single" w:sz="4" w:space="1" w:color="000000"/>
      </w:pBdr>
      <w:tabs>
        <w:tab w:val="right" w:pos="8844"/>
      </w:tabs>
      <w:adjustRightInd w:val="0"/>
      <w:snapToGrid w:val="0"/>
      <w:spacing w:after="480" w:line="100" w:lineRule="exac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953C94" w:rsidRPr="00B200C8" w14:paraId="1E06701D" w14:textId="77777777" w:rsidTr="00B200C8">
      <w:trPr>
        <w:trHeight w:val="686"/>
      </w:trPr>
      <w:tc>
        <w:tcPr>
          <w:tcW w:w="3679" w:type="dxa"/>
          <w:shd w:val="clear" w:color="auto" w:fill="auto"/>
          <w:vAlign w:val="center"/>
        </w:tcPr>
        <w:p w14:paraId="025EA70C" w14:textId="21EBD84D" w:rsidR="00953C94" w:rsidRPr="006331AD" w:rsidRDefault="009054AD" w:rsidP="00B200C8">
          <w:pPr>
            <w:pStyle w:val="Header"/>
            <w:pBdr>
              <w:bottom w:val="none" w:sz="0" w:space="0" w:color="auto"/>
            </w:pBdr>
            <w:jc w:val="left"/>
            <w:rPr>
              <w:rFonts w:eastAsia="DengXian"/>
              <w:b/>
              <w:bCs/>
            </w:rPr>
          </w:pPr>
          <w:r w:rsidRPr="006331AD">
            <w:rPr>
              <w:rFonts w:eastAsia="DengXian"/>
              <w:b/>
              <w:bCs/>
            </w:rPr>
            <w:drawing>
              <wp:inline distT="0" distB="0" distL="0" distR="0" wp14:anchorId="50E5FE48" wp14:editId="6D6DA1FA">
                <wp:extent cx="1833880" cy="433705"/>
                <wp:effectExtent l="0" t="0" r="0" b="0"/>
                <wp:docPr id="5" name="Picture 3" descr="C:\Users\home\Desktop\logos\png\ijerp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880" cy="433705"/>
                        </a:xfrm>
                        <a:prstGeom prst="rect">
                          <a:avLst/>
                        </a:prstGeom>
                        <a:noFill/>
                        <a:ln>
                          <a:noFill/>
                        </a:ln>
                      </pic:spPr>
                    </pic:pic>
                  </a:graphicData>
                </a:graphic>
              </wp:inline>
            </w:drawing>
          </w:r>
        </w:p>
      </w:tc>
      <w:tc>
        <w:tcPr>
          <w:tcW w:w="4535" w:type="dxa"/>
          <w:shd w:val="clear" w:color="auto" w:fill="auto"/>
          <w:vAlign w:val="center"/>
        </w:tcPr>
        <w:p w14:paraId="043B2AB0" w14:textId="77777777" w:rsidR="00953C94" w:rsidRPr="006331AD" w:rsidRDefault="00953C94" w:rsidP="00B200C8">
          <w:pPr>
            <w:pStyle w:val="Header"/>
            <w:pBdr>
              <w:bottom w:val="none" w:sz="0" w:space="0" w:color="auto"/>
            </w:pBdr>
            <w:rPr>
              <w:rFonts w:eastAsia="DengXian"/>
              <w:b/>
              <w:bCs/>
            </w:rPr>
          </w:pPr>
        </w:p>
      </w:tc>
      <w:tc>
        <w:tcPr>
          <w:tcW w:w="2273" w:type="dxa"/>
          <w:shd w:val="clear" w:color="auto" w:fill="auto"/>
          <w:vAlign w:val="center"/>
        </w:tcPr>
        <w:p w14:paraId="6CE165AC" w14:textId="6B58A26A" w:rsidR="00953C94" w:rsidRPr="006331AD" w:rsidRDefault="009054AD" w:rsidP="00B200C8">
          <w:pPr>
            <w:pStyle w:val="Header"/>
            <w:pBdr>
              <w:bottom w:val="none" w:sz="0" w:space="0" w:color="auto"/>
            </w:pBdr>
            <w:jc w:val="right"/>
            <w:rPr>
              <w:rFonts w:eastAsia="DengXian"/>
              <w:b/>
              <w:bCs/>
            </w:rPr>
          </w:pPr>
          <w:r w:rsidRPr="006331AD">
            <w:rPr>
              <w:rFonts w:eastAsia="DengXian"/>
              <w:b/>
              <w:bCs/>
            </w:rPr>
            <w:drawing>
              <wp:inline distT="0" distB="0" distL="0" distR="0" wp14:anchorId="2258FB9B" wp14:editId="13136D66">
                <wp:extent cx="539115" cy="3543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115" cy="354330"/>
                        </a:xfrm>
                        <a:prstGeom prst="rect">
                          <a:avLst/>
                        </a:prstGeom>
                        <a:noFill/>
                        <a:ln>
                          <a:noFill/>
                        </a:ln>
                      </pic:spPr>
                    </pic:pic>
                  </a:graphicData>
                </a:graphic>
              </wp:inline>
            </w:drawing>
          </w:r>
        </w:p>
      </w:tc>
    </w:tr>
  </w:tbl>
  <w:p w14:paraId="7807BDCE" w14:textId="77777777" w:rsidR="00E90986" w:rsidRPr="00953C94" w:rsidRDefault="00E90986" w:rsidP="00F32F04">
    <w:pPr>
      <w:pBdr>
        <w:bottom w:val="single" w:sz="4" w:space="1" w:color="000000"/>
      </w:pBdr>
      <w:adjustRightInd w:val="0"/>
      <w:snapToGrid w:val="0"/>
      <w:spacing w:line="1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431"/>
    <w:multiLevelType w:val="hybridMultilevel"/>
    <w:tmpl w:val="DFDA3B58"/>
    <w:lvl w:ilvl="0" w:tplc="EF6C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01E49"/>
    <w:multiLevelType w:val="multilevel"/>
    <w:tmpl w:val="2D487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D74F5"/>
    <w:multiLevelType w:val="multilevel"/>
    <w:tmpl w:val="351C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A4458"/>
    <w:multiLevelType w:val="multilevel"/>
    <w:tmpl w:val="61FC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7" w15:restartNumberingAfterBreak="0">
    <w:nsid w:val="21A14F01"/>
    <w:multiLevelType w:val="multilevel"/>
    <w:tmpl w:val="2A6C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FC7CBF"/>
    <w:multiLevelType w:val="hybridMultilevel"/>
    <w:tmpl w:val="1B669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1"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4F7966"/>
    <w:multiLevelType w:val="multilevel"/>
    <w:tmpl w:val="03F0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A716C8"/>
    <w:multiLevelType w:val="multilevel"/>
    <w:tmpl w:val="46AA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EE2E87"/>
    <w:multiLevelType w:val="hybridMultilevel"/>
    <w:tmpl w:val="636E0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6" w15:restartNumberingAfterBreak="0">
    <w:nsid w:val="39617FD7"/>
    <w:multiLevelType w:val="hybridMultilevel"/>
    <w:tmpl w:val="61A2F2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89E256D"/>
    <w:multiLevelType w:val="multilevel"/>
    <w:tmpl w:val="F9B2B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961811"/>
    <w:multiLevelType w:val="multilevel"/>
    <w:tmpl w:val="F98C1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0" w15:restartNumberingAfterBreak="0">
    <w:nsid w:val="5EDB33F8"/>
    <w:multiLevelType w:val="hybridMultilevel"/>
    <w:tmpl w:val="76FC02E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15F3424"/>
    <w:multiLevelType w:val="multilevel"/>
    <w:tmpl w:val="1572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1A66DC"/>
    <w:multiLevelType w:val="multilevel"/>
    <w:tmpl w:val="8A84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3C7BDF"/>
    <w:multiLevelType w:val="multilevel"/>
    <w:tmpl w:val="B51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5" w15:restartNumberingAfterBreak="0">
    <w:nsid w:val="7A347E14"/>
    <w:multiLevelType w:val="multilevel"/>
    <w:tmpl w:val="33CC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C234A1"/>
    <w:multiLevelType w:val="multilevel"/>
    <w:tmpl w:val="933A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0896529">
    <w:abstractNumId w:val="10"/>
  </w:num>
  <w:num w:numId="2" w16cid:durableId="1903249649">
    <w:abstractNumId w:val="15"/>
  </w:num>
  <w:num w:numId="3" w16cid:durableId="240675053">
    <w:abstractNumId w:val="8"/>
  </w:num>
  <w:num w:numId="4" w16cid:durableId="453064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9600575">
    <w:abstractNumId w:val="11"/>
  </w:num>
  <w:num w:numId="6" w16cid:durableId="1019814206">
    <w:abstractNumId w:val="19"/>
  </w:num>
  <w:num w:numId="7" w16cid:durableId="2045673245">
    <w:abstractNumId w:val="6"/>
  </w:num>
  <w:num w:numId="8" w16cid:durableId="1457093700">
    <w:abstractNumId w:val="19"/>
  </w:num>
  <w:num w:numId="9" w16cid:durableId="223951388">
    <w:abstractNumId w:val="6"/>
  </w:num>
  <w:num w:numId="10" w16cid:durableId="13270278">
    <w:abstractNumId w:val="19"/>
  </w:num>
  <w:num w:numId="11" w16cid:durableId="904951204">
    <w:abstractNumId w:val="6"/>
  </w:num>
  <w:num w:numId="12" w16cid:durableId="1744983444">
    <w:abstractNumId w:val="24"/>
  </w:num>
  <w:num w:numId="13" w16cid:durableId="1342970705">
    <w:abstractNumId w:val="19"/>
  </w:num>
  <w:num w:numId="14" w16cid:durableId="744885035">
    <w:abstractNumId w:val="6"/>
  </w:num>
  <w:num w:numId="15" w16cid:durableId="992491574">
    <w:abstractNumId w:val="20"/>
  </w:num>
  <w:num w:numId="16" w16cid:durableId="472213061">
    <w:abstractNumId w:val="12"/>
  </w:num>
  <w:num w:numId="17" w16cid:durableId="642272600">
    <w:abstractNumId w:val="25"/>
  </w:num>
  <w:num w:numId="18" w16cid:durableId="15426854">
    <w:abstractNumId w:val="3"/>
  </w:num>
  <w:num w:numId="19" w16cid:durableId="850992495">
    <w:abstractNumId w:val="5"/>
  </w:num>
  <w:num w:numId="20" w16cid:durableId="1347564299">
    <w:abstractNumId w:val="26"/>
  </w:num>
  <w:num w:numId="21" w16cid:durableId="1968195382">
    <w:abstractNumId w:val="2"/>
  </w:num>
  <w:num w:numId="22" w16cid:durableId="736367219">
    <w:abstractNumId w:val="22"/>
  </w:num>
  <w:num w:numId="23" w16cid:durableId="30496048">
    <w:abstractNumId w:val="16"/>
  </w:num>
  <w:num w:numId="24" w16cid:durableId="1295985016">
    <w:abstractNumId w:val="17"/>
  </w:num>
  <w:num w:numId="25" w16cid:durableId="710227675">
    <w:abstractNumId w:val="21"/>
  </w:num>
  <w:num w:numId="26" w16cid:durableId="557940686">
    <w:abstractNumId w:val="23"/>
  </w:num>
  <w:num w:numId="27" w16cid:durableId="1287152568">
    <w:abstractNumId w:val="7"/>
  </w:num>
  <w:num w:numId="28" w16cid:durableId="1592815543">
    <w:abstractNumId w:val="13"/>
  </w:num>
  <w:num w:numId="29" w16cid:durableId="129134413">
    <w:abstractNumId w:val="18"/>
  </w:num>
  <w:num w:numId="30" w16cid:durableId="1357462764">
    <w:abstractNumId w:val="0"/>
  </w:num>
  <w:num w:numId="31" w16cid:durableId="1653563022">
    <w:abstractNumId w:val="14"/>
  </w:num>
  <w:num w:numId="32" w16cid:durableId="1935094170">
    <w:abstractNumId w:val="9"/>
  </w:num>
  <w:num w:numId="33" w16cid:durableId="1313096895">
    <w:abstractNumId w:val="19"/>
  </w:num>
  <w:num w:numId="34" w16cid:durableId="398745670">
    <w:abstractNumId w:val="6"/>
  </w:num>
  <w:num w:numId="35" w16cid:durableId="975262677">
    <w:abstractNumId w:val="1"/>
  </w:num>
  <w:num w:numId="36" w16cid:durableId="17501566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1C"/>
    <w:rsid w:val="0002554A"/>
    <w:rsid w:val="0003183D"/>
    <w:rsid w:val="00041937"/>
    <w:rsid w:val="00047C14"/>
    <w:rsid w:val="00062D64"/>
    <w:rsid w:val="00070BC3"/>
    <w:rsid w:val="00072F70"/>
    <w:rsid w:val="000C3D95"/>
    <w:rsid w:val="000D4CAC"/>
    <w:rsid w:val="001035B5"/>
    <w:rsid w:val="00113A18"/>
    <w:rsid w:val="00121956"/>
    <w:rsid w:val="001228BC"/>
    <w:rsid w:val="00177995"/>
    <w:rsid w:val="00183AB8"/>
    <w:rsid w:val="00194C32"/>
    <w:rsid w:val="001957FA"/>
    <w:rsid w:val="001D41F9"/>
    <w:rsid w:val="001E2AEB"/>
    <w:rsid w:val="001F0C32"/>
    <w:rsid w:val="001F53CA"/>
    <w:rsid w:val="001F6D18"/>
    <w:rsid w:val="002019E5"/>
    <w:rsid w:val="0020566A"/>
    <w:rsid w:val="00205AC7"/>
    <w:rsid w:val="0020625A"/>
    <w:rsid w:val="00214A6A"/>
    <w:rsid w:val="00223336"/>
    <w:rsid w:val="00257BA9"/>
    <w:rsid w:val="00284BEB"/>
    <w:rsid w:val="0028607E"/>
    <w:rsid w:val="002D57A5"/>
    <w:rsid w:val="002E3019"/>
    <w:rsid w:val="00306807"/>
    <w:rsid w:val="00322BD2"/>
    <w:rsid w:val="00326141"/>
    <w:rsid w:val="003663D4"/>
    <w:rsid w:val="0039002C"/>
    <w:rsid w:val="003938DA"/>
    <w:rsid w:val="003D25E2"/>
    <w:rsid w:val="00401B3A"/>
    <w:rsid w:val="00401D30"/>
    <w:rsid w:val="00407571"/>
    <w:rsid w:val="00407587"/>
    <w:rsid w:val="00414DE1"/>
    <w:rsid w:val="00417958"/>
    <w:rsid w:val="00421077"/>
    <w:rsid w:val="0042738E"/>
    <w:rsid w:val="0046726B"/>
    <w:rsid w:val="004A751A"/>
    <w:rsid w:val="004B5280"/>
    <w:rsid w:val="004D5A80"/>
    <w:rsid w:val="004D6B8D"/>
    <w:rsid w:val="00514646"/>
    <w:rsid w:val="00522304"/>
    <w:rsid w:val="00527484"/>
    <w:rsid w:val="00547C19"/>
    <w:rsid w:val="00551F28"/>
    <w:rsid w:val="00576272"/>
    <w:rsid w:val="005940DE"/>
    <w:rsid w:val="005B0E8A"/>
    <w:rsid w:val="005B6C3D"/>
    <w:rsid w:val="005D7CD2"/>
    <w:rsid w:val="006045A5"/>
    <w:rsid w:val="006116C2"/>
    <w:rsid w:val="006211DD"/>
    <w:rsid w:val="006331AD"/>
    <w:rsid w:val="00642EB2"/>
    <w:rsid w:val="00662E41"/>
    <w:rsid w:val="00692393"/>
    <w:rsid w:val="006C61EE"/>
    <w:rsid w:val="006D5FFD"/>
    <w:rsid w:val="00711C0C"/>
    <w:rsid w:val="007A0755"/>
    <w:rsid w:val="007B3E14"/>
    <w:rsid w:val="007C437A"/>
    <w:rsid w:val="007D1435"/>
    <w:rsid w:val="007E5A5B"/>
    <w:rsid w:val="00802FED"/>
    <w:rsid w:val="0082611C"/>
    <w:rsid w:val="00826149"/>
    <w:rsid w:val="008618D7"/>
    <w:rsid w:val="00875939"/>
    <w:rsid w:val="008B4E46"/>
    <w:rsid w:val="008C5CBF"/>
    <w:rsid w:val="008E3B5E"/>
    <w:rsid w:val="009054AD"/>
    <w:rsid w:val="009313EF"/>
    <w:rsid w:val="00943629"/>
    <w:rsid w:val="00953C94"/>
    <w:rsid w:val="0095454B"/>
    <w:rsid w:val="0096123A"/>
    <w:rsid w:val="00982C58"/>
    <w:rsid w:val="00985746"/>
    <w:rsid w:val="009974FF"/>
    <w:rsid w:val="00997B86"/>
    <w:rsid w:val="009A52C8"/>
    <w:rsid w:val="009B152D"/>
    <w:rsid w:val="009F274E"/>
    <w:rsid w:val="009F70E6"/>
    <w:rsid w:val="00A0136F"/>
    <w:rsid w:val="00A02301"/>
    <w:rsid w:val="00A146C0"/>
    <w:rsid w:val="00A41EC8"/>
    <w:rsid w:val="00A64950"/>
    <w:rsid w:val="00AC61B4"/>
    <w:rsid w:val="00AD2D7B"/>
    <w:rsid w:val="00AE348C"/>
    <w:rsid w:val="00AF44C1"/>
    <w:rsid w:val="00B00E09"/>
    <w:rsid w:val="00B06823"/>
    <w:rsid w:val="00B200C8"/>
    <w:rsid w:val="00B230E1"/>
    <w:rsid w:val="00B432DE"/>
    <w:rsid w:val="00B91113"/>
    <w:rsid w:val="00BE6750"/>
    <w:rsid w:val="00BF437C"/>
    <w:rsid w:val="00C018D2"/>
    <w:rsid w:val="00C13470"/>
    <w:rsid w:val="00C22823"/>
    <w:rsid w:val="00C243C9"/>
    <w:rsid w:val="00C639EA"/>
    <w:rsid w:val="00C65B0B"/>
    <w:rsid w:val="00C82596"/>
    <w:rsid w:val="00CA06D0"/>
    <w:rsid w:val="00CA7505"/>
    <w:rsid w:val="00CB597B"/>
    <w:rsid w:val="00CC3BD2"/>
    <w:rsid w:val="00CC57CC"/>
    <w:rsid w:val="00D412C1"/>
    <w:rsid w:val="00D64792"/>
    <w:rsid w:val="00D75394"/>
    <w:rsid w:val="00D801DD"/>
    <w:rsid w:val="00D81521"/>
    <w:rsid w:val="00D96023"/>
    <w:rsid w:val="00DB1D8D"/>
    <w:rsid w:val="00DC7F54"/>
    <w:rsid w:val="00DD5900"/>
    <w:rsid w:val="00E04E7D"/>
    <w:rsid w:val="00E66088"/>
    <w:rsid w:val="00E706A1"/>
    <w:rsid w:val="00E755FF"/>
    <w:rsid w:val="00E90986"/>
    <w:rsid w:val="00E958AB"/>
    <w:rsid w:val="00ED1BAB"/>
    <w:rsid w:val="00F005AA"/>
    <w:rsid w:val="00F01EEE"/>
    <w:rsid w:val="00F32F04"/>
    <w:rsid w:val="00F35C92"/>
    <w:rsid w:val="00F62C5C"/>
    <w:rsid w:val="00F71EC5"/>
    <w:rsid w:val="00F90EBA"/>
    <w:rsid w:val="00FA6084"/>
    <w:rsid w:val="00FB0D48"/>
    <w:rsid w:val="00FD5292"/>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4EE87"/>
  <w15:chartTrackingRefBased/>
  <w15:docId w15:val="{3529D81A-0A8A-416C-B8EA-31E0E834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FFD"/>
    <w:rPr>
      <w:rFonts w:ascii="Times New Roman" w:eastAsia="Times New Roman" w:hAnsi="Times New Roman"/>
      <w:sz w:val="24"/>
      <w:szCs w:val="24"/>
      <w:lang w:val="en-GB" w:eastAsia="en-GB"/>
    </w:rPr>
  </w:style>
  <w:style w:type="paragraph" w:styleId="Heading1">
    <w:name w:val="heading 1"/>
    <w:basedOn w:val="Normal"/>
    <w:link w:val="Heading1Char"/>
    <w:uiPriority w:val="9"/>
    <w:qFormat/>
    <w:rsid w:val="0082611C"/>
    <w:pPr>
      <w:spacing w:before="100" w:beforeAutospacing="1" w:after="100" w:afterAutospacing="1"/>
      <w:outlineLvl w:val="0"/>
    </w:pPr>
    <w:rPr>
      <w:b/>
      <w:bCs/>
      <w:kern w:val="36"/>
      <w:sz w:val="48"/>
      <w:szCs w:val="48"/>
      <w:lang w:eastAsia="en-US"/>
    </w:rPr>
  </w:style>
  <w:style w:type="paragraph" w:styleId="Heading2">
    <w:name w:val="heading 2"/>
    <w:basedOn w:val="Normal"/>
    <w:next w:val="Normal"/>
    <w:link w:val="Heading2Char"/>
    <w:uiPriority w:val="9"/>
    <w:unhideWhenUsed/>
    <w:qFormat/>
    <w:rsid w:val="0082611C"/>
    <w:pPr>
      <w:keepNext/>
      <w:keepLines/>
      <w:spacing w:before="40"/>
      <w:outlineLvl w:val="1"/>
    </w:pPr>
    <w:rPr>
      <w:rFonts w:ascii="Calibri Light" w:hAnsi="Calibri Light"/>
      <w:color w:val="2E74B5"/>
      <w:sz w:val="26"/>
      <w:szCs w:val="26"/>
      <w:lang w:eastAsia="en-US"/>
    </w:rPr>
  </w:style>
  <w:style w:type="paragraph" w:styleId="Heading4">
    <w:name w:val="heading 4"/>
    <w:basedOn w:val="Normal"/>
    <w:next w:val="Normal"/>
    <w:link w:val="Heading4Char"/>
    <w:uiPriority w:val="9"/>
    <w:semiHidden/>
    <w:unhideWhenUsed/>
    <w:qFormat/>
    <w:rsid w:val="0082611C"/>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4362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4362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4362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43629"/>
    <w:pPr>
      <w:adjustRightInd w:val="0"/>
      <w:snapToGrid w:val="0"/>
      <w:spacing w:line="240" w:lineRule="atLeast"/>
      <w:ind w:right="113"/>
    </w:pPr>
    <w:rPr>
      <w:rFonts w:ascii="Palatino Linotype" w:hAnsi="Palatino Linotype"/>
      <w:color w:val="000000"/>
      <w:sz w:val="14"/>
      <w:szCs w:val="20"/>
      <w:lang w:val="en-US" w:eastAsia="de-DE" w:bidi="en-US"/>
    </w:rPr>
  </w:style>
  <w:style w:type="paragraph" w:customStyle="1" w:styleId="MDPI16affiliation">
    <w:name w:val="MDPI_1.6_affiliation"/>
    <w:qFormat/>
    <w:rsid w:val="0094362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43629"/>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943629"/>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943629"/>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jc w:val="both"/>
    </w:pPr>
    <w:rPr>
      <w:rFonts w:ascii="Palatino Linotype" w:eastAsia="SimSun" w:hAnsi="Palatino Linotype"/>
      <w:noProof/>
      <w:color w:val="000000"/>
      <w:sz w:val="20"/>
      <w:szCs w:val="18"/>
      <w:lang w:val="en-US" w:eastAsia="zh-CN"/>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rFonts w:ascii="Palatino Linotype" w:eastAsia="SimSun" w:hAnsi="Palatino Linotype"/>
      <w:noProof/>
      <w:color w:val="000000"/>
      <w:sz w:val="20"/>
      <w:szCs w:val="18"/>
      <w:lang w:val="en-US" w:eastAsia="zh-CN"/>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943629"/>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43629"/>
    <w:pPr>
      <w:ind w:firstLine="0"/>
    </w:pPr>
  </w:style>
  <w:style w:type="paragraph" w:customStyle="1" w:styleId="MDPI31text">
    <w:name w:val="MDPI_3.1_text"/>
    <w:qFormat/>
    <w:rsid w:val="0094362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43629"/>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943629"/>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4362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43629"/>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943629"/>
    <w:pPr>
      <w:numPr>
        <w:numId w:val="3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943629"/>
    <w:pPr>
      <w:numPr>
        <w:numId w:val="3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43629"/>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43629"/>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43629"/>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943629"/>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43629"/>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43629"/>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94362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943629"/>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943629"/>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943629"/>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943629"/>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4362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94362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943629"/>
    <w:pPr>
      <w:numPr>
        <w:numId w:val="36"/>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pPr>
      <w:spacing w:line="260" w:lineRule="atLeast"/>
      <w:jc w:val="both"/>
    </w:pPr>
    <w:rPr>
      <w:rFonts w:ascii="Palatino Linotype" w:eastAsia="SimSun" w:hAnsi="Palatino Linotype" w:cs="Tahoma"/>
      <w:noProof/>
      <w:color w:val="000000"/>
      <w:sz w:val="20"/>
      <w:szCs w:val="18"/>
      <w:lang w:val="en-US" w:eastAsia="zh-CN"/>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943629"/>
    <w:rPr>
      <w:rFonts w:ascii="Palatino Linotype" w:hAnsi="Palatino Linotype"/>
      <w:sz w:val="16"/>
    </w:rPr>
  </w:style>
  <w:style w:type="table" w:customStyle="1" w:styleId="MDPI41threelinetable">
    <w:name w:val="MDPI_4.1_three_line_table"/>
    <w:basedOn w:val="TableNormal"/>
    <w:uiPriority w:val="99"/>
    <w:rsid w:val="00943629"/>
    <w:pPr>
      <w:adjustRightInd w:val="0"/>
      <w:snapToGrid w:val="0"/>
      <w:jc w:val="center"/>
    </w:pPr>
    <w:rPr>
      <w:rFonts w:ascii="Palatino Linotype" w:eastAsia="Calibri"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43629"/>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943629"/>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943629"/>
    <w:pPr>
      <w:adjustRightInd w:val="0"/>
      <w:snapToGrid w:val="0"/>
      <w:spacing w:after="120" w:line="240" w:lineRule="atLeast"/>
      <w:ind w:right="113"/>
    </w:pPr>
    <w:rPr>
      <w:rFonts w:ascii="Palatino Linotype" w:hAnsi="Palatino Linotype"/>
      <w:snapToGrid w:val="0"/>
      <w:color w:val="000000"/>
      <w:sz w:val="14"/>
      <w:lang w:bidi="en-US"/>
    </w:rPr>
  </w:style>
  <w:style w:type="paragraph" w:customStyle="1" w:styleId="MDPI15academiceditor">
    <w:name w:val="MDPI_1.5_academic_editor"/>
    <w:qFormat/>
    <w:rsid w:val="00943629"/>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943629"/>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943629"/>
    <w:pPr>
      <w:adjustRightInd w:val="0"/>
      <w:snapToGrid w:val="0"/>
      <w:spacing w:before="240" w:after="120" w:line="260" w:lineRule="atLeast"/>
      <w:jc w:val="center"/>
    </w:pPr>
    <w:rPr>
      <w:rFonts w:ascii="Palatino Linotype" w:eastAsia="Calibri" w:hAnsi="Palatino Linotype" w:cs="Cordia New"/>
      <w:noProof/>
      <w:color w:val="000000"/>
      <w:sz w:val="18"/>
      <w:szCs w:val="22"/>
      <w:lang w:bidi="en-US"/>
    </w:rPr>
  </w:style>
  <w:style w:type="paragraph" w:customStyle="1" w:styleId="MDPI511onefigurecaption">
    <w:name w:val="MDPI_5.1.1_one_figure_caption"/>
    <w:qFormat/>
    <w:rsid w:val="00943629"/>
    <w:pPr>
      <w:adjustRightInd w:val="0"/>
      <w:snapToGrid w:val="0"/>
      <w:spacing w:before="240" w:after="120" w:line="260" w:lineRule="atLeast"/>
      <w:jc w:val="center"/>
    </w:pPr>
    <w:rPr>
      <w:rFonts w:ascii="Palatino Linotype" w:eastAsia="Calibri" w:hAnsi="Palatino Linotype"/>
      <w:noProof/>
      <w:color w:val="000000"/>
      <w:sz w:val="18"/>
      <w:lang w:bidi="en-US"/>
    </w:rPr>
  </w:style>
  <w:style w:type="paragraph" w:customStyle="1" w:styleId="MDPI72Copyright">
    <w:name w:val="MDPI_7.2_Copyright"/>
    <w:qFormat/>
    <w:rsid w:val="0094362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943629"/>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943629"/>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943629"/>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943629"/>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943629"/>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943629"/>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943629"/>
    <w:rPr>
      <w:rFonts w:ascii="Palatino Linotype" w:hAnsi="Palatino Linotype"/>
      <w:color w:val="000000"/>
      <w:lang w:val="en-CA"/>
    </w:rPr>
    <w:tblPr>
      <w:tblCellMar>
        <w:left w:w="0" w:type="dxa"/>
        <w:right w:w="0" w:type="dxa"/>
      </w:tblCellMar>
    </w:tblPr>
  </w:style>
  <w:style w:type="paragraph" w:customStyle="1" w:styleId="MDPItext">
    <w:name w:val="MDPI_text"/>
    <w:qFormat/>
    <w:rsid w:val="00943629"/>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943629"/>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pPr>
      <w:spacing w:line="260" w:lineRule="atLeast"/>
      <w:jc w:val="both"/>
    </w:pPr>
    <w:rPr>
      <w:rFonts w:ascii="Palatino Linotype" w:eastAsia="SimSun" w:hAnsi="Palatino Linotype"/>
      <w:noProof/>
      <w:color w:val="000000"/>
      <w:sz w:val="20"/>
      <w:szCs w:val="20"/>
      <w:lang w:val="en-US" w:eastAsia="zh-CN"/>
    </w:rPr>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pPr>
      <w:spacing w:line="260" w:lineRule="atLeast"/>
      <w:jc w:val="both"/>
    </w:pPr>
    <w:rPr>
      <w:rFonts w:ascii="Palatino Linotype" w:eastAsia="SimSun" w:hAnsi="Palatino Linotype"/>
      <w:noProof/>
      <w:color w:val="000000"/>
      <w:sz w:val="20"/>
      <w:szCs w:val="20"/>
      <w:lang w:val="en-US" w:eastAsia="zh-CN"/>
    </w:rPr>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jc w:val="both"/>
    </w:pPr>
    <w:rPr>
      <w:rFonts w:ascii="Palatino Linotype" w:eastAsia="SimSun" w:hAnsi="Palatino Linotype"/>
      <w:noProof/>
      <w:color w:val="000000"/>
      <w:sz w:val="20"/>
      <w:szCs w:val="20"/>
      <w:lang w:val="en-US" w:eastAsia="zh-CN"/>
    </w:r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uiPriority w:val="99"/>
    <w:rsid w:val="00522304"/>
    <w:rPr>
      <w:color w:val="954F72"/>
      <w:u w:val="single"/>
    </w:rPr>
  </w:style>
  <w:style w:type="paragraph" w:styleId="FootnoteText">
    <w:name w:val="footnote text"/>
    <w:basedOn w:val="Normal"/>
    <w:link w:val="FootnoteTextChar"/>
    <w:semiHidden/>
    <w:unhideWhenUsed/>
    <w:rsid w:val="00522304"/>
    <w:pPr>
      <w:jc w:val="both"/>
    </w:pPr>
    <w:rPr>
      <w:rFonts w:ascii="Palatino Linotype" w:eastAsia="SimSun" w:hAnsi="Palatino Linotype"/>
      <w:noProof/>
      <w:color w:val="000000"/>
      <w:sz w:val="20"/>
      <w:szCs w:val="20"/>
      <w:lang w:val="en-US" w:eastAsia="zh-CN"/>
    </w:r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pPr>
      <w:spacing w:line="260" w:lineRule="atLeast"/>
      <w:jc w:val="both"/>
    </w:pPr>
    <w:rPr>
      <w:rFonts w:ascii="Palatino Linotype" w:eastAsia="SimSun" w:hAnsi="Palatino Linotype"/>
      <w:noProof/>
      <w:color w:val="000000"/>
      <w:sz w:val="20"/>
      <w:lang w:val="en-US" w:eastAsia="zh-CN"/>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character" w:customStyle="1" w:styleId="Heading1Char">
    <w:name w:val="Heading 1 Char"/>
    <w:basedOn w:val="DefaultParagraphFont"/>
    <w:link w:val="Heading1"/>
    <w:uiPriority w:val="9"/>
    <w:rsid w:val="0082611C"/>
    <w:rPr>
      <w:rFonts w:ascii="Times New Roman" w:eastAsia="Times New Roman" w:hAnsi="Times New Roman"/>
      <w:b/>
      <w:bCs/>
      <w:kern w:val="36"/>
      <w:sz w:val="48"/>
      <w:szCs w:val="48"/>
      <w:lang w:val="en-GB"/>
    </w:rPr>
  </w:style>
  <w:style w:type="character" w:customStyle="1" w:styleId="Heading2Char">
    <w:name w:val="Heading 2 Char"/>
    <w:basedOn w:val="DefaultParagraphFont"/>
    <w:link w:val="Heading2"/>
    <w:uiPriority w:val="9"/>
    <w:rsid w:val="0082611C"/>
    <w:rPr>
      <w:rFonts w:ascii="Calibri Light" w:eastAsia="Times New Roman" w:hAnsi="Calibri Light"/>
      <w:color w:val="2E74B5"/>
      <w:sz w:val="26"/>
      <w:szCs w:val="26"/>
      <w:lang w:val="en-GB"/>
    </w:rPr>
  </w:style>
  <w:style w:type="character" w:customStyle="1" w:styleId="Heading4Char">
    <w:name w:val="Heading 4 Char"/>
    <w:basedOn w:val="DefaultParagraphFont"/>
    <w:link w:val="Heading4"/>
    <w:uiPriority w:val="9"/>
    <w:semiHidden/>
    <w:rsid w:val="0082611C"/>
    <w:rPr>
      <w:rFonts w:ascii="Calibri Light" w:eastAsia="Times New Roman" w:hAnsi="Calibri Light"/>
      <w:i/>
      <w:iCs/>
      <w:color w:val="2E74B5"/>
      <w:sz w:val="24"/>
      <w:szCs w:val="24"/>
      <w:lang w:val="en-GB" w:eastAsia="en-GB"/>
    </w:rPr>
  </w:style>
  <w:style w:type="paragraph" w:styleId="ListParagraph">
    <w:name w:val="List Paragraph"/>
    <w:basedOn w:val="Normal"/>
    <w:uiPriority w:val="34"/>
    <w:qFormat/>
    <w:rsid w:val="0082611C"/>
    <w:pPr>
      <w:ind w:left="720"/>
      <w:contextualSpacing/>
    </w:pPr>
    <w:rPr>
      <w:lang w:eastAsia="en-US"/>
    </w:rPr>
  </w:style>
  <w:style w:type="character" w:customStyle="1" w:styleId="citationref">
    <w:name w:val="citationref"/>
    <w:basedOn w:val="DefaultParagraphFont"/>
    <w:rsid w:val="0082611C"/>
  </w:style>
  <w:style w:type="character" w:customStyle="1" w:styleId="UnresolvedMention1">
    <w:name w:val="Unresolved Mention1"/>
    <w:uiPriority w:val="99"/>
    <w:semiHidden/>
    <w:unhideWhenUsed/>
    <w:rsid w:val="0082611C"/>
    <w:rPr>
      <w:color w:val="605E5C"/>
      <w:shd w:val="clear" w:color="auto" w:fill="E1DFDD"/>
    </w:rPr>
  </w:style>
  <w:style w:type="paragraph" w:customStyle="1" w:styleId="EndNoteBibliography">
    <w:name w:val="EndNote Bibliography"/>
    <w:basedOn w:val="Normal"/>
    <w:link w:val="EndNoteBibliographyChar"/>
    <w:rsid w:val="0082611C"/>
    <w:rPr>
      <w:rFonts w:ascii="Calibri" w:hAnsi="Calibri" w:cs="Calibri"/>
      <w:noProof/>
      <w:lang w:val="en-US" w:eastAsia="en-US"/>
    </w:rPr>
  </w:style>
  <w:style w:type="character" w:customStyle="1" w:styleId="EndNoteBibliographyChar">
    <w:name w:val="EndNote Bibliography Char"/>
    <w:link w:val="EndNoteBibliography"/>
    <w:rsid w:val="0082611C"/>
    <w:rPr>
      <w:rFonts w:eastAsia="Times New Roman" w:cs="Calibri"/>
      <w:noProof/>
      <w:sz w:val="24"/>
      <w:szCs w:val="24"/>
    </w:rPr>
  </w:style>
  <w:style w:type="character" w:styleId="Emphasis">
    <w:name w:val="Emphasis"/>
    <w:uiPriority w:val="20"/>
    <w:qFormat/>
    <w:rsid w:val="0082611C"/>
    <w:rPr>
      <w:i/>
      <w:iCs/>
    </w:rPr>
  </w:style>
  <w:style w:type="character" w:styleId="Strong">
    <w:name w:val="Strong"/>
    <w:uiPriority w:val="22"/>
    <w:qFormat/>
    <w:rsid w:val="0082611C"/>
    <w:rPr>
      <w:b/>
      <w:bCs/>
    </w:rPr>
  </w:style>
  <w:style w:type="character" w:customStyle="1" w:styleId="journaltitle">
    <w:name w:val="journaltitle"/>
    <w:basedOn w:val="DefaultParagraphFont"/>
    <w:rsid w:val="0082611C"/>
  </w:style>
  <w:style w:type="paragraph" w:customStyle="1" w:styleId="icon--meta-keyline-before">
    <w:name w:val="icon--meta-keyline-before"/>
    <w:basedOn w:val="Normal"/>
    <w:rsid w:val="0082611C"/>
    <w:pPr>
      <w:spacing w:before="100" w:beforeAutospacing="1" w:after="100" w:afterAutospacing="1"/>
    </w:pPr>
    <w:rPr>
      <w:lang w:eastAsia="en-US"/>
    </w:rPr>
  </w:style>
  <w:style w:type="character" w:customStyle="1" w:styleId="articlecitationyear">
    <w:name w:val="articlecitation_year"/>
    <w:basedOn w:val="DefaultParagraphFont"/>
    <w:rsid w:val="0082611C"/>
  </w:style>
  <w:style w:type="character" w:customStyle="1" w:styleId="articlecitationvolume">
    <w:name w:val="articlecitation_volume"/>
    <w:basedOn w:val="DefaultParagraphFont"/>
    <w:rsid w:val="0082611C"/>
  </w:style>
  <w:style w:type="character" w:customStyle="1" w:styleId="articlecitationpages">
    <w:name w:val="articlecitation_pages"/>
    <w:basedOn w:val="DefaultParagraphFont"/>
    <w:rsid w:val="0082611C"/>
  </w:style>
  <w:style w:type="character" w:customStyle="1" w:styleId="u-inline-block">
    <w:name w:val="u-inline-block"/>
    <w:basedOn w:val="DefaultParagraphFont"/>
    <w:rsid w:val="0082611C"/>
  </w:style>
  <w:style w:type="paragraph" w:customStyle="1" w:styleId="u-mb-2">
    <w:name w:val="u-mb-2"/>
    <w:basedOn w:val="Normal"/>
    <w:rsid w:val="0082611C"/>
    <w:pPr>
      <w:spacing w:before="100" w:beforeAutospacing="1" w:after="100" w:afterAutospacing="1"/>
    </w:pPr>
    <w:rPr>
      <w:lang w:eastAsia="en-US"/>
    </w:rPr>
  </w:style>
  <w:style w:type="character" w:customStyle="1" w:styleId="authorsname">
    <w:name w:val="authors__name"/>
    <w:basedOn w:val="DefaultParagraphFont"/>
    <w:rsid w:val="0082611C"/>
  </w:style>
  <w:style w:type="character" w:customStyle="1" w:styleId="authorscontact">
    <w:name w:val="authors__contact"/>
    <w:basedOn w:val="DefaultParagraphFont"/>
    <w:rsid w:val="0082611C"/>
  </w:style>
  <w:style w:type="character" w:customStyle="1" w:styleId="epub-state">
    <w:name w:val="epub-state"/>
    <w:basedOn w:val="DefaultParagraphFont"/>
    <w:rsid w:val="0082611C"/>
  </w:style>
  <w:style w:type="character" w:customStyle="1" w:styleId="epub-date">
    <w:name w:val="epub-date"/>
    <w:basedOn w:val="DefaultParagraphFont"/>
    <w:rsid w:val="0082611C"/>
  </w:style>
  <w:style w:type="character" w:customStyle="1" w:styleId="title-text">
    <w:name w:val="title-text"/>
    <w:basedOn w:val="DefaultParagraphFont"/>
    <w:rsid w:val="0082611C"/>
  </w:style>
  <w:style w:type="character" w:customStyle="1" w:styleId="sr-only">
    <w:name w:val="sr-only"/>
    <w:basedOn w:val="DefaultParagraphFont"/>
    <w:rsid w:val="0082611C"/>
  </w:style>
  <w:style w:type="character" w:customStyle="1" w:styleId="text">
    <w:name w:val="text"/>
    <w:basedOn w:val="DefaultParagraphFont"/>
    <w:rsid w:val="0082611C"/>
  </w:style>
  <w:style w:type="character" w:customStyle="1" w:styleId="externalref">
    <w:name w:val="externalref"/>
    <w:basedOn w:val="DefaultParagraphFont"/>
    <w:rsid w:val="0082611C"/>
  </w:style>
  <w:style w:type="character" w:customStyle="1" w:styleId="refsource">
    <w:name w:val="refsource"/>
    <w:basedOn w:val="DefaultParagraphFont"/>
    <w:rsid w:val="0082611C"/>
  </w:style>
  <w:style w:type="paragraph" w:customStyle="1" w:styleId="p">
    <w:name w:val="p"/>
    <w:basedOn w:val="Normal"/>
    <w:rsid w:val="0082611C"/>
    <w:pPr>
      <w:spacing w:before="100" w:beforeAutospacing="1" w:after="100" w:afterAutospacing="1"/>
    </w:pPr>
    <w:rPr>
      <w:lang w:eastAsia="en-US"/>
    </w:rPr>
  </w:style>
  <w:style w:type="character" w:customStyle="1" w:styleId="ref-journal">
    <w:name w:val="ref-journal"/>
    <w:basedOn w:val="DefaultParagraphFont"/>
    <w:rsid w:val="0082611C"/>
  </w:style>
  <w:style w:type="character" w:customStyle="1" w:styleId="ref-vol">
    <w:name w:val="ref-vol"/>
    <w:basedOn w:val="DefaultParagraphFont"/>
    <w:rsid w:val="0082611C"/>
  </w:style>
  <w:style w:type="character" w:customStyle="1" w:styleId="author-ref">
    <w:name w:val="author-ref"/>
    <w:basedOn w:val="DefaultParagraphFont"/>
    <w:rsid w:val="0082611C"/>
  </w:style>
  <w:style w:type="paragraph" w:customStyle="1" w:styleId="author">
    <w:name w:val="author"/>
    <w:basedOn w:val="Normal"/>
    <w:rsid w:val="0082611C"/>
    <w:pPr>
      <w:spacing w:before="100" w:beforeAutospacing="1" w:after="100" w:afterAutospacing="1"/>
    </w:pPr>
    <w:rPr>
      <w:lang w:eastAsia="en-US"/>
    </w:rPr>
  </w:style>
  <w:style w:type="character" w:customStyle="1" w:styleId="authorname">
    <w:name w:val="authorname"/>
    <w:basedOn w:val="DefaultParagraphFont"/>
    <w:rsid w:val="0082611C"/>
  </w:style>
  <w:style w:type="character" w:customStyle="1" w:styleId="u-sronly">
    <w:name w:val="u-sronly"/>
    <w:basedOn w:val="DefaultParagraphFont"/>
    <w:rsid w:val="0082611C"/>
  </w:style>
  <w:style w:type="paragraph" w:customStyle="1" w:styleId="articledoi">
    <w:name w:val="articledoi"/>
    <w:basedOn w:val="Normal"/>
    <w:rsid w:val="0082611C"/>
    <w:pPr>
      <w:spacing w:before="100" w:beforeAutospacing="1" w:after="100" w:afterAutospacing="1"/>
    </w:pPr>
    <w:rPr>
      <w:lang w:eastAsia="en-US"/>
    </w:rPr>
  </w:style>
  <w:style w:type="paragraph" w:styleId="HTMLPreformatted">
    <w:name w:val="HTML Preformatted"/>
    <w:basedOn w:val="Normal"/>
    <w:link w:val="HTMLPreformattedChar"/>
    <w:uiPriority w:val="99"/>
    <w:semiHidden/>
    <w:unhideWhenUsed/>
    <w:rsid w:val="00826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2611C"/>
    <w:rPr>
      <w:rFonts w:ascii="Courier New" w:eastAsia="Times New Roman" w:hAnsi="Courier New" w:cs="Courier New"/>
      <w:lang w:val="en-GB" w:eastAsia="en-GB"/>
    </w:rPr>
  </w:style>
  <w:style w:type="character" w:customStyle="1" w:styleId="button-text">
    <w:name w:val="button-text"/>
    <w:basedOn w:val="DefaultParagraphFont"/>
    <w:rsid w:val="0082611C"/>
  </w:style>
  <w:style w:type="character" w:customStyle="1" w:styleId="product-banner-author">
    <w:name w:val="product-banner-author"/>
    <w:basedOn w:val="DefaultParagraphFont"/>
    <w:rsid w:val="0082611C"/>
  </w:style>
  <w:style w:type="character" w:customStyle="1" w:styleId="product-banner-author-name">
    <w:name w:val="product-banner-author-name"/>
    <w:basedOn w:val="DefaultParagraphFont"/>
    <w:rsid w:val="0082611C"/>
  </w:style>
  <w:style w:type="character" w:customStyle="1" w:styleId="product-book-text">
    <w:name w:val="product-book-text"/>
    <w:basedOn w:val="DefaultParagraphFont"/>
    <w:rsid w:val="0082611C"/>
  </w:style>
  <w:style w:type="character" w:customStyle="1" w:styleId="epub-sectionitem">
    <w:name w:val="epub-section__item"/>
    <w:basedOn w:val="DefaultParagraphFont"/>
    <w:rsid w:val="0082611C"/>
  </w:style>
  <w:style w:type="character" w:customStyle="1" w:styleId="epub-sectionstate">
    <w:name w:val="epub-section__state"/>
    <w:basedOn w:val="DefaultParagraphFont"/>
    <w:rsid w:val="0082611C"/>
  </w:style>
  <w:style w:type="character" w:customStyle="1" w:styleId="epub-sectiondate">
    <w:name w:val="epub-section__date"/>
    <w:basedOn w:val="DefaultParagraphFont"/>
    <w:rsid w:val="0082611C"/>
  </w:style>
  <w:style w:type="character" w:customStyle="1" w:styleId="issue-heading">
    <w:name w:val="issue-heading"/>
    <w:basedOn w:val="DefaultParagraphFont"/>
    <w:rsid w:val="0082611C"/>
  </w:style>
  <w:style w:type="character" w:customStyle="1" w:styleId="specialtitle">
    <w:name w:val="specialtitle"/>
    <w:basedOn w:val="DefaultParagraphFont"/>
    <w:rsid w:val="0082611C"/>
  </w:style>
  <w:style w:type="character" w:customStyle="1" w:styleId="metrics-score">
    <w:name w:val="metrics-score"/>
    <w:basedOn w:val="DefaultParagraphFont"/>
    <w:rsid w:val="0082611C"/>
  </w:style>
  <w:style w:type="character" w:customStyle="1" w:styleId="nlmarticle-title">
    <w:name w:val="nlm_article-title"/>
    <w:basedOn w:val="DefaultParagraphFont"/>
    <w:rsid w:val="0082611C"/>
  </w:style>
  <w:style w:type="character" w:customStyle="1" w:styleId="ref-lnk">
    <w:name w:val="ref-lnk"/>
    <w:basedOn w:val="DefaultParagraphFont"/>
    <w:rsid w:val="0082611C"/>
  </w:style>
  <w:style w:type="character" w:customStyle="1" w:styleId="contribdegrees">
    <w:name w:val="contribdegrees"/>
    <w:basedOn w:val="DefaultParagraphFont"/>
    <w:rsid w:val="0082611C"/>
  </w:style>
  <w:style w:type="paragraph" w:customStyle="1" w:styleId="downloadcitations">
    <w:name w:val="downloadcitations"/>
    <w:basedOn w:val="Normal"/>
    <w:rsid w:val="0082611C"/>
    <w:pPr>
      <w:spacing w:before="100" w:beforeAutospacing="1" w:after="100" w:afterAutospacing="1"/>
    </w:pPr>
  </w:style>
  <w:style w:type="paragraph" w:customStyle="1" w:styleId="dx-doi">
    <w:name w:val="dx-doi"/>
    <w:basedOn w:val="Normal"/>
    <w:rsid w:val="0082611C"/>
    <w:pPr>
      <w:spacing w:before="100" w:beforeAutospacing="1" w:after="100" w:afterAutospacing="1"/>
    </w:pPr>
  </w:style>
  <w:style w:type="character" w:customStyle="1" w:styleId="accordion-tabbedtab-mobile">
    <w:name w:val="accordion-tabbed__tab-mobile"/>
    <w:basedOn w:val="DefaultParagraphFont"/>
    <w:rsid w:val="0082611C"/>
  </w:style>
  <w:style w:type="character" w:customStyle="1" w:styleId="comma-separator">
    <w:name w:val="comma-separator"/>
    <w:basedOn w:val="DefaultParagraphFont"/>
    <w:rsid w:val="0082611C"/>
  </w:style>
  <w:style w:type="character" w:customStyle="1" w:styleId="publicationcontentepubdate">
    <w:name w:val="publicationcontentepubdate"/>
    <w:basedOn w:val="DefaultParagraphFont"/>
    <w:rsid w:val="0082611C"/>
  </w:style>
  <w:style w:type="character" w:customStyle="1" w:styleId="articletype">
    <w:name w:val="articletype"/>
    <w:basedOn w:val="DefaultParagraphFont"/>
    <w:rsid w:val="0082611C"/>
  </w:style>
  <w:style w:type="character" w:customStyle="1" w:styleId="crossmark">
    <w:name w:val="crossmark"/>
    <w:basedOn w:val="DefaultParagraphFont"/>
    <w:rsid w:val="0082611C"/>
  </w:style>
  <w:style w:type="character" w:customStyle="1" w:styleId="altmetric-embed">
    <w:name w:val="altmetric-embed"/>
    <w:basedOn w:val="DefaultParagraphFont"/>
    <w:rsid w:val="0082611C"/>
  </w:style>
  <w:style w:type="character" w:customStyle="1" w:styleId="expandable-author">
    <w:name w:val="expandable-author"/>
    <w:basedOn w:val="DefaultParagraphFont"/>
    <w:rsid w:val="0082611C"/>
  </w:style>
  <w:style w:type="character" w:customStyle="1" w:styleId="more-than">
    <w:name w:val="more-than"/>
    <w:basedOn w:val="DefaultParagraphFont"/>
    <w:rsid w:val="0082611C"/>
  </w:style>
  <w:style w:type="paragraph" w:customStyle="1" w:styleId="flex-spacer">
    <w:name w:val="flex-spacer"/>
    <w:basedOn w:val="Normal"/>
    <w:rsid w:val="0082611C"/>
    <w:pPr>
      <w:spacing w:before="100" w:beforeAutospacing="1" w:after="100" w:afterAutospacing="1"/>
    </w:pPr>
  </w:style>
  <w:style w:type="paragraph" w:customStyle="1" w:styleId="html-xx">
    <w:name w:val="html-xx"/>
    <w:basedOn w:val="Normal"/>
    <w:rsid w:val="0082611C"/>
    <w:pPr>
      <w:spacing w:before="100" w:beforeAutospacing="1" w:after="100" w:afterAutospacing="1"/>
    </w:pPr>
  </w:style>
  <w:style w:type="character" w:customStyle="1" w:styleId="html-italic">
    <w:name w:val="html-italic"/>
    <w:basedOn w:val="DefaultParagraphFont"/>
    <w:rsid w:val="0082611C"/>
  </w:style>
  <w:style w:type="character" w:customStyle="1" w:styleId="nlmyear">
    <w:name w:val="nlm_year"/>
    <w:basedOn w:val="DefaultParagraphFont"/>
    <w:rsid w:val="0082611C"/>
  </w:style>
  <w:style w:type="character" w:customStyle="1" w:styleId="nlmfpage">
    <w:name w:val="nlm_fpage"/>
    <w:basedOn w:val="DefaultParagraphFont"/>
    <w:rsid w:val="0082611C"/>
  </w:style>
  <w:style w:type="character" w:customStyle="1" w:styleId="nlmlpage">
    <w:name w:val="nlm_lpage"/>
    <w:basedOn w:val="DefaultParagraphFont"/>
    <w:rsid w:val="0082611C"/>
  </w:style>
  <w:style w:type="character" w:customStyle="1" w:styleId="nlmpublisher-loc">
    <w:name w:val="nlm_publisher-loc"/>
    <w:basedOn w:val="DefaultParagraphFont"/>
    <w:rsid w:val="0082611C"/>
  </w:style>
  <w:style w:type="character" w:customStyle="1" w:styleId="nlmpublisher-name">
    <w:name w:val="nlm_publisher-name"/>
    <w:basedOn w:val="DefaultParagraphFont"/>
    <w:rsid w:val="0082611C"/>
  </w:style>
  <w:style w:type="paragraph" w:customStyle="1" w:styleId="MDPI71FootNotes">
    <w:name w:val="MDPI_7.1_FootNotes"/>
    <w:qFormat/>
    <w:rsid w:val="00943629"/>
    <w:pPr>
      <w:numPr>
        <w:numId w:val="35"/>
      </w:numPr>
      <w:adjustRightInd w:val="0"/>
      <w:snapToGrid w:val="0"/>
      <w:spacing w:line="228" w:lineRule="auto"/>
    </w:pPr>
    <w:rPr>
      <w:rFonts w:ascii="Palatino Linotype" w:eastAsia="Calibri" w:hAnsi="Palatino Linotype"/>
      <w:noProof/>
      <w:color w:val="000000"/>
      <w:sz w:val="18"/>
    </w:rPr>
  </w:style>
  <w:style w:type="paragraph" w:styleId="Revision">
    <w:name w:val="Revision"/>
    <w:hidden/>
    <w:uiPriority w:val="99"/>
    <w:semiHidden/>
    <w:rsid w:val="005D7CD2"/>
    <w:rPr>
      <w:rFonts w:ascii="Palatino Linotype" w:hAnsi="Palatino Linotype"/>
      <w:noProof/>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8516">
      <w:bodyDiv w:val="1"/>
      <w:marLeft w:val="0"/>
      <w:marRight w:val="0"/>
      <w:marTop w:val="0"/>
      <w:marBottom w:val="0"/>
      <w:divBdr>
        <w:top w:val="none" w:sz="0" w:space="0" w:color="auto"/>
        <w:left w:val="none" w:sz="0" w:space="0" w:color="auto"/>
        <w:bottom w:val="none" w:sz="0" w:space="0" w:color="auto"/>
        <w:right w:val="none" w:sz="0" w:space="0" w:color="auto"/>
      </w:divBdr>
    </w:div>
    <w:div w:id="341202808">
      <w:bodyDiv w:val="1"/>
      <w:marLeft w:val="0"/>
      <w:marRight w:val="0"/>
      <w:marTop w:val="0"/>
      <w:marBottom w:val="0"/>
      <w:divBdr>
        <w:top w:val="none" w:sz="0" w:space="0" w:color="auto"/>
        <w:left w:val="none" w:sz="0" w:space="0" w:color="auto"/>
        <w:bottom w:val="none" w:sz="0" w:space="0" w:color="auto"/>
        <w:right w:val="none" w:sz="0" w:space="0" w:color="auto"/>
      </w:divBdr>
    </w:div>
    <w:div w:id="1903906054">
      <w:bodyDiv w:val="1"/>
      <w:marLeft w:val="0"/>
      <w:marRight w:val="0"/>
      <w:marTop w:val="0"/>
      <w:marBottom w:val="0"/>
      <w:divBdr>
        <w:top w:val="none" w:sz="0" w:space="0" w:color="auto"/>
        <w:left w:val="none" w:sz="0" w:space="0" w:color="auto"/>
        <w:bottom w:val="none" w:sz="0" w:space="0" w:color="auto"/>
        <w:right w:val="none" w:sz="0" w:space="0" w:color="auto"/>
      </w:divBdr>
      <w:divsChild>
        <w:div w:id="1994215139">
          <w:marLeft w:val="0"/>
          <w:marRight w:val="0"/>
          <w:marTop w:val="0"/>
          <w:marBottom w:val="0"/>
          <w:divBdr>
            <w:top w:val="none" w:sz="0" w:space="0" w:color="auto"/>
            <w:left w:val="none" w:sz="0" w:space="0" w:color="auto"/>
            <w:bottom w:val="none" w:sz="0" w:space="0" w:color="auto"/>
            <w:right w:val="none" w:sz="0" w:space="0" w:color="auto"/>
          </w:divBdr>
          <w:divsChild>
            <w:div w:id="470368764">
              <w:marLeft w:val="0"/>
              <w:marRight w:val="0"/>
              <w:marTop w:val="0"/>
              <w:marBottom w:val="0"/>
              <w:divBdr>
                <w:top w:val="none" w:sz="0" w:space="0" w:color="auto"/>
                <w:left w:val="none" w:sz="0" w:space="0" w:color="auto"/>
                <w:bottom w:val="none" w:sz="0" w:space="0" w:color="auto"/>
                <w:right w:val="none" w:sz="0" w:space="0" w:color="auto"/>
              </w:divBdr>
              <w:divsChild>
                <w:div w:id="7613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iso-8859-6"/>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i.org/10.1177/147470491201000306" TargetMode="External"/><Relationship Id="rId18" Type="http://schemas.openxmlformats.org/officeDocument/2006/relationships/hyperlink" Target="https://doi.org/10.1017/S0033291717001829" TargetMode="External"/><Relationship Id="rId26" Type="http://schemas.openxmlformats.org/officeDocument/2006/relationships/hyperlink" Target="https://doi.org/10.1016/j.schres.2017.07.001" TargetMode="External"/><Relationship Id="rId39" Type="http://schemas.openxmlformats.org/officeDocument/2006/relationships/hyperlink" Target="https://doi.org/10.1037/abn0000219" TargetMode="External"/><Relationship Id="rId21" Type="http://schemas.openxmlformats.org/officeDocument/2006/relationships/hyperlink" Target="https://doi.org/10.1016/S0924-9338(00)00212-1" TargetMode="External"/><Relationship Id="rId34" Type="http://schemas.openxmlformats.org/officeDocument/2006/relationships/hyperlink" Target="http://www.tc.umn.edu/~pemeehl/pubs.htm" TargetMode="External"/><Relationship Id="rId42" Type="http://schemas.openxmlformats.org/officeDocument/2006/relationships/hyperlink" Target="https://doi.org/10.1016/S0140-6736(03)12378-1" TargetMode="External"/><Relationship Id="rId47" Type="http://schemas.openxmlformats.org/officeDocument/2006/relationships/hyperlink" Target="https://doi.org/10.1186/2050-2974-1-16"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1007/s10862-010-9207-4" TargetMode="External"/><Relationship Id="rId29" Type="http://schemas.openxmlformats.org/officeDocument/2006/relationships/hyperlink" Target="https://doi.org/10.1016/j.appet.2016.07.024" TargetMode="External"/><Relationship Id="rId11" Type="http://schemas.openxmlformats.org/officeDocument/2006/relationships/hyperlink" Target="https://doi.org/10.1002/erv.2342" TargetMode="External"/><Relationship Id="rId24" Type="http://schemas.openxmlformats.org/officeDocument/2006/relationships/hyperlink" Target="https://doi.org/10.1155/2014/791573" TargetMode="External"/><Relationship Id="rId32" Type="http://schemas.openxmlformats.org/officeDocument/2006/relationships/hyperlink" Target="https://doi.org/10.1371/journal.pone.0111697" TargetMode="External"/><Relationship Id="rId37" Type="http://schemas.openxmlformats.org/officeDocument/2006/relationships/hyperlink" Target="https://doi.org/10.3390/nu1311820" TargetMode="External"/><Relationship Id="rId40" Type="http://schemas.openxmlformats.org/officeDocument/2006/relationships/hyperlink" Target="https://doi.org/10.1177/0004867411432071" TargetMode="External"/><Relationship Id="rId45" Type="http://schemas.openxmlformats.org/officeDocument/2006/relationships/hyperlink" Target="https://doi.org/10.1016/S0193-953X(05)70221-5" TargetMode="External"/><Relationship Id="rId53"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https://doi.org/10.1016/j.concog.2011.02.005" TargetMode="External"/><Relationship Id="rId19" Type="http://schemas.openxmlformats.org/officeDocument/2006/relationships/hyperlink" Target="https://doi.org/10.1016/j.schres.2021.11.002" TargetMode="External"/><Relationship Id="rId31" Type="http://schemas.openxmlformats.org/officeDocument/2006/relationships/hyperlink" Target="https://doi.org/10.1017/S0033291712001626" TargetMode="External"/><Relationship Id="rId44" Type="http://schemas.openxmlformats.org/officeDocument/2006/relationships/hyperlink" Target="https://doi.org/10.1007/s40519-017-0432-7"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01/archgenpsychiatry.2011.74" TargetMode="External"/><Relationship Id="rId14" Type="http://schemas.openxmlformats.org/officeDocument/2006/relationships/hyperlink" Target="https://doi.org/10.1016/j.cpr.2005.04.012" TargetMode="External"/><Relationship Id="rId22" Type="http://schemas.openxmlformats.org/officeDocument/2006/relationships/hyperlink" Target="https://doi.org/10.1016/j.psychres.2014.04.054" TargetMode="External"/><Relationship Id="rId27" Type="http://schemas.openxmlformats.org/officeDocument/2006/relationships/hyperlink" Target="https://doi.org/10.1016/j.eatbeh.2011.11.006" TargetMode="External"/><Relationship Id="rId30" Type="http://schemas.openxmlformats.org/officeDocument/2006/relationships/hyperlink" Target="https://doi.org/10.1016/j.cpr.2005.10.003" TargetMode="External"/><Relationship Id="rId35" Type="http://schemas.openxmlformats.org/officeDocument/2006/relationships/hyperlink" Target="https://doi.org/10.1192/bjp.bp.108.054742" TargetMode="External"/><Relationship Id="rId43" Type="http://schemas.openxmlformats.org/officeDocument/2006/relationships/hyperlink" Target="https://doi.org/10.1002/eat.23004" TargetMode="External"/><Relationship Id="rId48" Type="http://schemas.openxmlformats.org/officeDocument/2006/relationships/hyperlink" Target="https://doi.org/10.1002/(SICI)1098-108X(200007)28:1%3c58::AID-EAT7%3e3.0.CO;2-V" TargetMode="External"/><Relationship Id="rId56" Type="http://schemas.openxmlformats.org/officeDocument/2006/relationships/theme" Target="theme/theme1.xml"/><Relationship Id="rId8" Type="http://schemas.openxmlformats.org/officeDocument/2006/relationships/hyperlink" Target="https://doi.org/10.1002/eat.20987" TargetMode="External"/><Relationship Id="rId51"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hyperlink" Target="https://doi.org/10.1016/j.cpr.2016.10.010" TargetMode="External"/><Relationship Id="rId17" Type="http://schemas.openxmlformats.org/officeDocument/2006/relationships/hyperlink" Target="https://doi.org/10.1093/schbul/sbu176" TargetMode="External"/><Relationship Id="rId25" Type="http://schemas.openxmlformats.org/officeDocument/2006/relationships/hyperlink" Target="https://doi.org/10.1093/schbul/sbu186" TargetMode="External"/><Relationship Id="rId33" Type="http://schemas.openxmlformats.org/officeDocument/2006/relationships/hyperlink" Target="https://doi.org/10.1186/s40337-014-0020-4" TargetMode="External"/><Relationship Id="rId38" Type="http://schemas.openxmlformats.org/officeDocument/2006/relationships/hyperlink" Target="https://doi.org/10.1080/10640260701454345" TargetMode="External"/><Relationship Id="rId46" Type="http://schemas.openxmlformats.org/officeDocument/2006/relationships/hyperlink" Target="https://doi.org/10.1017/S0033291713001098" TargetMode="External"/><Relationship Id="rId20" Type="http://schemas.openxmlformats.org/officeDocument/2006/relationships/hyperlink" Target="https://doi.org/10.1093/schbul/sby012" TargetMode="External"/><Relationship Id="rId41" Type="http://schemas.openxmlformats.org/officeDocument/2006/relationships/hyperlink" Target="https://doi.org/10.1016/j.psycom.2022.100058"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16/j.eatbeh.2006.05.001" TargetMode="External"/><Relationship Id="rId23" Type="http://schemas.openxmlformats.org/officeDocument/2006/relationships/hyperlink" Target="https://doi.org/10.1186/s12991-020-00314-2" TargetMode="External"/><Relationship Id="rId28" Type="http://schemas.openxmlformats.org/officeDocument/2006/relationships/hyperlink" Target="https://doi.org/10.1177/2167702614548891" TargetMode="External"/><Relationship Id="rId36" Type="http://schemas.openxmlformats.org/officeDocument/2006/relationships/hyperlink" Target="https://doi.org/10.1016/j.eatbeh.2016.06.020" TargetMode="External"/><Relationship Id="rId49" Type="http://schemas.openxmlformats.org/officeDocument/2006/relationships/hyperlink" Target="https://doi.org/10.1176/appi.ajp.2013.12060768"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ijerph-template-2021%20-%20Copy%20(2)%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ijerph-template-2021 - Copy (2) - Copy</Template>
  <TotalTime>31</TotalTime>
  <Pages>10</Pages>
  <Words>5958</Words>
  <Characters>33963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Article_x000d_Multidimensional Schizotypy and Symptoms of Disordered Eating in Women_x000d_Viren Swami 1</vt:lpstr>
    </vt:vector>
  </TitlesOfParts>
  <Company/>
  <LinksUpToDate>false</LinksUpToDate>
  <CharactersWithSpaces>39842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Article_x000d_Multidimensional Schizotypy and Symptoms of Disordered Eating in Women_x000d_Viren Swami 1</dc:title>
  <dc:subject/>
  <dc:creator>MDPI</dc:creator>
  <cp:keywords/>
  <dc:description/>
  <cp:lastModifiedBy>Hellen, Catherine</cp:lastModifiedBy>
  <cp:revision>6</cp:revision>
  <cp:lastPrinted>2022-09-06T13:28:00Z</cp:lastPrinted>
  <dcterms:created xsi:type="dcterms:W3CDTF">2022-09-06T12:58:00Z</dcterms:created>
  <dcterms:modified xsi:type="dcterms:W3CDTF">2022-09-06T13:28:00Z</dcterms:modified>
</cp:coreProperties>
</file>